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CDF7A" w14:textId="77777777" w:rsidR="00B0781C" w:rsidRPr="00F55A8D" w:rsidRDefault="00B0781C" w:rsidP="0022658A">
      <w:pPr>
        <w:pageBreakBefore/>
        <w:tabs>
          <w:tab w:val="center" w:pos="4535"/>
          <w:tab w:val="right" w:pos="9070"/>
        </w:tabs>
        <w:spacing w:after="0" w:line="360" w:lineRule="auto"/>
        <w:jc w:val="right"/>
        <w:rPr>
          <w:color w:val="595959" w:themeColor="text1" w:themeTint="A6"/>
          <w:sz w:val="52"/>
          <w:szCs w:val="52"/>
        </w:rPr>
      </w:pPr>
      <w:r w:rsidRPr="00F55A8D">
        <w:rPr>
          <w:color w:val="595959" w:themeColor="text1" w:themeTint="A6"/>
          <w:sz w:val="52"/>
          <w:szCs w:val="52"/>
        </w:rPr>
        <w:t>Cigref</w:t>
      </w:r>
    </w:p>
    <w:p w14:paraId="48860012" w14:textId="77777777" w:rsidR="00B0781C" w:rsidRDefault="00B0781C" w:rsidP="00321791"/>
    <w:p w14:paraId="57BD8795" w14:textId="77777777" w:rsidR="00321791" w:rsidRPr="00516CF5" w:rsidRDefault="00321791" w:rsidP="00321791"/>
    <w:p w14:paraId="1D073F30" w14:textId="2815A47B" w:rsidR="00B0781C" w:rsidRPr="00D91C86" w:rsidRDefault="003C5E39" w:rsidP="00F55A8D">
      <w:pPr>
        <w:pStyle w:val="Titre"/>
        <w:spacing w:line="240" w:lineRule="auto"/>
        <w:rPr>
          <w:color w:val="4B5943"/>
        </w:rPr>
      </w:pPr>
      <w:r w:rsidRPr="003C5E39">
        <w:rPr>
          <w:color w:val="4B5943"/>
        </w:rPr>
        <w:t>Accessibilité numérique</w:t>
      </w:r>
    </w:p>
    <w:p w14:paraId="3A0FE908" w14:textId="3036EAEE" w:rsidR="00F55A8D" w:rsidRPr="00744FAB" w:rsidRDefault="003C5E39" w:rsidP="00F86DF4">
      <w:pPr>
        <w:pStyle w:val="Sous-titre"/>
      </w:pPr>
      <w:r w:rsidRPr="003C5E39">
        <w:t>Organiser, piloter et outiller le passage à l’échelle dans les grandes organisations</w:t>
      </w:r>
    </w:p>
    <w:p w14:paraId="0F6BB485" w14:textId="77777777" w:rsidR="00B32313" w:rsidRDefault="00B32313" w:rsidP="00F86DF4">
      <w:pPr>
        <w:pStyle w:val="Version"/>
      </w:pPr>
    </w:p>
    <w:p w14:paraId="31F91946" w14:textId="23611168" w:rsidR="00B0781C" w:rsidRDefault="001D5419" w:rsidP="00F86DF4">
      <w:pPr>
        <w:pStyle w:val="Version"/>
      </w:pPr>
      <w:r>
        <w:t>Mai 2026</w:t>
      </w:r>
    </w:p>
    <w:p w14:paraId="1F86A648" w14:textId="77777777" w:rsidR="00E1568B" w:rsidRDefault="00E1568B" w:rsidP="00F86DF4">
      <w:pPr>
        <w:pStyle w:val="Version"/>
        <w:rPr>
          <w:color w:val="EE0000"/>
        </w:rPr>
      </w:pPr>
    </w:p>
    <w:p w14:paraId="5C166469" w14:textId="77777777" w:rsidR="00D44F14" w:rsidRDefault="00D44F14" w:rsidP="00F86DF4">
      <w:pPr>
        <w:pStyle w:val="Version"/>
        <w:rPr>
          <w:color w:val="EE0000"/>
        </w:rPr>
      </w:pPr>
    </w:p>
    <w:p w14:paraId="71DDF941" w14:textId="10805BED" w:rsidR="00230C35" w:rsidRPr="00E1568B" w:rsidRDefault="00D44F14" w:rsidP="00D44F14">
      <w:pPr>
        <w:spacing w:after="0" w:line="360" w:lineRule="auto"/>
        <w:rPr>
          <w:rFonts w:cs="Calibri Light"/>
          <w:szCs w:val="18"/>
        </w:rPr>
      </w:pPr>
      <w:r w:rsidRPr="00D44F14">
        <w:rPr>
          <w:rFonts w:cs="Calibri Light"/>
          <w:i/>
          <w:iCs/>
          <w:szCs w:val="18"/>
        </w:rPr>
        <w:t>Nous avons apporté le plus grand soin à rendre ce rapport accessible au plus grand nombre, conformément aux bonnes pratiques en vigueur en matière d'accessibilité numérique. </w:t>
      </w:r>
      <w:r>
        <w:rPr>
          <w:rFonts w:cs="Calibri Light"/>
          <w:szCs w:val="18"/>
        </w:rPr>
        <w:t xml:space="preserve"> </w:t>
      </w:r>
      <w:r w:rsidRPr="00D44F14">
        <w:rPr>
          <w:rFonts w:cs="Calibri Light"/>
          <w:i/>
          <w:iCs/>
          <w:szCs w:val="18"/>
        </w:rPr>
        <w:t>Malgré nos efforts, il est possible que certaines limitations subsistent. Si vous rencontrez des difficultés pour accéder à tout ou partie de ce document, nous vous invitons à nous contacter afin que nous puissions vous fournir l'information dans un format adapté à vos besoins</w:t>
      </w:r>
      <w:r w:rsidRPr="00D44F14">
        <w:rPr>
          <w:rFonts w:cs="Calibri Light"/>
          <w:szCs w:val="18"/>
        </w:rPr>
        <w:t>.</w:t>
      </w:r>
    </w:p>
    <w:p w14:paraId="349983D6" w14:textId="77777777" w:rsidR="00F31C02" w:rsidRPr="00E1568B" w:rsidRDefault="00F31C02" w:rsidP="00321791">
      <w:pPr>
        <w:spacing w:after="0" w:line="360" w:lineRule="auto"/>
        <w:jc w:val="right"/>
        <w:rPr>
          <w:rFonts w:cs="Calibri Light"/>
          <w:szCs w:val="18"/>
        </w:rPr>
      </w:pPr>
    </w:p>
    <w:p w14:paraId="0063654A" w14:textId="77777777" w:rsidR="00F31C02" w:rsidRPr="00E1568B" w:rsidRDefault="00F31C02" w:rsidP="00321791">
      <w:pPr>
        <w:spacing w:after="0" w:line="360" w:lineRule="auto"/>
        <w:jc w:val="right"/>
        <w:rPr>
          <w:rFonts w:cs="Calibri Light"/>
          <w:szCs w:val="18"/>
        </w:rPr>
      </w:pPr>
    </w:p>
    <w:p w14:paraId="2963BF9B" w14:textId="77777777" w:rsidR="00F31C02" w:rsidRPr="00E1568B" w:rsidRDefault="00F31C02" w:rsidP="00DF1909">
      <w:pPr>
        <w:spacing w:after="0" w:line="360" w:lineRule="auto"/>
        <w:rPr>
          <w:rFonts w:cs="Calibri Light"/>
          <w:szCs w:val="18"/>
        </w:rPr>
      </w:pPr>
    </w:p>
    <w:p w14:paraId="72BA5A81" w14:textId="77777777" w:rsidR="00F31C02" w:rsidRPr="00E1568B" w:rsidRDefault="00F31C02" w:rsidP="00321791">
      <w:pPr>
        <w:spacing w:after="0" w:line="360" w:lineRule="auto"/>
        <w:jc w:val="right"/>
        <w:rPr>
          <w:rFonts w:cs="Calibri Light"/>
          <w:szCs w:val="18"/>
        </w:rPr>
      </w:pPr>
    </w:p>
    <w:p w14:paraId="722EF7ED" w14:textId="376A952B" w:rsidR="00121BD4" w:rsidRPr="00F31C02" w:rsidRDefault="00121BD4" w:rsidP="00F31C02">
      <w:pPr>
        <w:rPr>
          <w:color w:val="FF0000"/>
        </w:rPr>
        <w:sectPr w:rsidR="00121BD4" w:rsidRPr="00F31C02" w:rsidSect="004C4D0B">
          <w:headerReference w:type="default" r:id="rId11"/>
          <w:footerReference w:type="default" r:id="rId12"/>
          <w:headerReference w:type="first" r:id="rId13"/>
          <w:pgSz w:w="11906" w:h="16838" w:code="9"/>
          <w:pgMar w:top="5670" w:right="1418" w:bottom="1418" w:left="1418" w:header="709" w:footer="709" w:gutter="0"/>
          <w:cols w:space="708"/>
          <w:docGrid w:linePitch="360"/>
        </w:sectPr>
      </w:pPr>
    </w:p>
    <w:p w14:paraId="0EEA430D" w14:textId="77777777" w:rsidR="006A0726" w:rsidRPr="00516CF5" w:rsidRDefault="00516CF5" w:rsidP="00CF2255">
      <w:pPr>
        <w:pStyle w:val="En-ttedetabledesmatires"/>
        <w:spacing w:before="0"/>
      </w:pPr>
      <w:bookmarkStart w:id="0" w:name="_Toc117159539"/>
      <w:r w:rsidRPr="00516CF5">
        <w:lastRenderedPageBreak/>
        <w:t>É</w:t>
      </w:r>
      <w:r w:rsidR="006A0726" w:rsidRPr="00516CF5">
        <w:t>DITO</w:t>
      </w:r>
      <w:bookmarkEnd w:id="0"/>
      <w:r w:rsidR="006A0726" w:rsidRPr="00516CF5">
        <w:t xml:space="preserve"> </w:t>
      </w:r>
    </w:p>
    <w:p w14:paraId="633E36FE" w14:textId="11E5E869" w:rsidR="003C5E39" w:rsidRPr="003C5E39" w:rsidRDefault="003803FF" w:rsidP="003C5E39">
      <w:pPr>
        <w:rPr>
          <w:rFonts w:eastAsia="Calibri"/>
          <w:lang w:eastAsia="fr-FR"/>
        </w:rPr>
      </w:pPr>
      <w:r w:rsidRPr="003803FF">
        <w:rPr>
          <w:rFonts w:eastAsia="Calibri"/>
          <w:lang w:eastAsia="fr-FR"/>
        </w:rPr>
        <w:t>Si le rythme soutenu des révolutions technologiques nourrit notre engagement de DSI, force est de constater que l'histoire de l'informatique</w:t>
      </w:r>
      <w:r>
        <w:rPr>
          <w:rFonts w:eastAsia="Calibri"/>
          <w:lang w:eastAsia="fr-FR"/>
        </w:rPr>
        <w:t xml:space="preserve">, </w:t>
      </w:r>
      <w:r w:rsidRPr="003803FF">
        <w:rPr>
          <w:rFonts w:eastAsia="Calibri"/>
          <w:lang w:eastAsia="fr-FR"/>
        </w:rPr>
        <w:t>de l'apparition des premiers processeurs à la démocratisation des ordinateurs personnels</w:t>
      </w:r>
      <w:r>
        <w:rPr>
          <w:rFonts w:eastAsia="Calibri"/>
          <w:lang w:eastAsia="fr-FR"/>
        </w:rPr>
        <w:t xml:space="preserve">, </w:t>
      </w:r>
      <w:r w:rsidRPr="003803FF">
        <w:rPr>
          <w:rFonts w:eastAsia="Calibri"/>
          <w:lang w:eastAsia="fr-FR"/>
        </w:rPr>
        <w:t xml:space="preserve">a parfois progressé au détriment de l'inclusion, laissant certains utilisateurs </w:t>
      </w:r>
      <w:r>
        <w:rPr>
          <w:rFonts w:eastAsia="Calibri"/>
          <w:lang w:eastAsia="fr-FR"/>
        </w:rPr>
        <w:t xml:space="preserve">de côté. </w:t>
      </w:r>
    </w:p>
    <w:p w14:paraId="64D0AB67" w14:textId="4755E396" w:rsidR="003C5E39" w:rsidRPr="003C5E39" w:rsidRDefault="003C5E39" w:rsidP="003C5E39">
      <w:pPr>
        <w:rPr>
          <w:rFonts w:eastAsia="Calibri"/>
          <w:lang w:eastAsia="fr-FR"/>
        </w:rPr>
      </w:pPr>
      <w:r w:rsidRPr="003C5E39">
        <w:rPr>
          <w:rFonts w:eastAsia="Calibri"/>
          <w:lang w:eastAsia="fr-FR"/>
        </w:rPr>
        <w:t xml:space="preserve">Ainsi, la course aux innovations a involontairement créé des applications performantes mais souvent </w:t>
      </w:r>
      <w:r w:rsidR="002C19CD">
        <w:rPr>
          <w:rFonts w:eastAsia="Calibri"/>
          <w:lang w:eastAsia="fr-FR"/>
        </w:rPr>
        <w:t xml:space="preserve">peu </w:t>
      </w:r>
      <w:r w:rsidRPr="003C5E39">
        <w:rPr>
          <w:rFonts w:eastAsia="Calibri"/>
          <w:lang w:eastAsia="fr-FR"/>
        </w:rPr>
        <w:t xml:space="preserve">accessibles. Il est temps de porter une nouvelle ambition, celle </w:t>
      </w:r>
      <w:r w:rsidR="00434812">
        <w:rPr>
          <w:rFonts w:eastAsia="Calibri"/>
          <w:lang w:eastAsia="fr-FR"/>
        </w:rPr>
        <w:t>de rendre</w:t>
      </w:r>
      <w:r w:rsidR="00434812" w:rsidRPr="003C5E39">
        <w:rPr>
          <w:rFonts w:eastAsia="Calibri"/>
          <w:lang w:eastAsia="fr-FR"/>
        </w:rPr>
        <w:t xml:space="preserve"> </w:t>
      </w:r>
      <w:r w:rsidRPr="003C5E39">
        <w:rPr>
          <w:rFonts w:eastAsia="Calibri"/>
          <w:lang w:eastAsia="fr-FR"/>
        </w:rPr>
        <w:t xml:space="preserve">standard l’accessibilité, celle d’engager tous nos collectifs et à tous les niveaux. L'accessibilité numérique est certes une question de conformité réglementaire mais elle doit </w:t>
      </w:r>
      <w:r w:rsidR="00434812" w:rsidRPr="003C5E39">
        <w:rPr>
          <w:rFonts w:eastAsia="Calibri"/>
          <w:lang w:eastAsia="fr-FR"/>
        </w:rPr>
        <w:t xml:space="preserve">surtout </w:t>
      </w:r>
      <w:r w:rsidRPr="003C5E39">
        <w:rPr>
          <w:rFonts w:eastAsia="Calibri"/>
          <w:lang w:eastAsia="fr-FR"/>
        </w:rPr>
        <w:t>être le véritable jalon d'une qualité d'expérience utilisateur universelle, qu'il s'agisse de nos collaborateurs ou de nos clients.</w:t>
      </w:r>
    </w:p>
    <w:p w14:paraId="344C754C" w14:textId="18889DCB" w:rsidR="003C5E39" w:rsidRPr="003C5E39" w:rsidRDefault="003C5E39" w:rsidP="003C5E39">
      <w:pPr>
        <w:rPr>
          <w:rFonts w:eastAsia="Calibri"/>
          <w:lang w:eastAsia="fr-FR"/>
        </w:rPr>
      </w:pPr>
      <w:r w:rsidRPr="003C5E39">
        <w:rPr>
          <w:rFonts w:eastAsia="Calibri"/>
          <w:lang w:eastAsia="fr-FR"/>
        </w:rPr>
        <w:t>Cette conviction portée par le Cigref, a donné lieu à la création d’un groupe de travail (GT) dédié à l’</w:t>
      </w:r>
      <w:r w:rsidR="002C19CD">
        <w:rPr>
          <w:rFonts w:eastAsia="Calibri"/>
          <w:lang w:eastAsia="fr-FR"/>
        </w:rPr>
        <w:t>a</w:t>
      </w:r>
      <w:r w:rsidRPr="003C5E39">
        <w:rPr>
          <w:rFonts w:eastAsia="Calibri"/>
          <w:lang w:eastAsia="fr-FR"/>
        </w:rPr>
        <w:t xml:space="preserve">ccessibilité numérique et </w:t>
      </w:r>
      <w:r w:rsidR="002C19CD">
        <w:rPr>
          <w:rFonts w:eastAsia="Calibri"/>
          <w:lang w:eastAsia="fr-FR"/>
        </w:rPr>
        <w:t xml:space="preserve">à </w:t>
      </w:r>
      <w:r w:rsidRPr="003C5E39">
        <w:rPr>
          <w:rFonts w:eastAsia="Calibri"/>
          <w:lang w:eastAsia="fr-FR"/>
        </w:rPr>
        <w:t>son passage à l’échelle dans nos organisations.</w:t>
      </w:r>
    </w:p>
    <w:p w14:paraId="743CA725" w14:textId="76911F27" w:rsidR="003C5E39" w:rsidRPr="003C5E39" w:rsidRDefault="003C5E39" w:rsidP="003C5E39">
      <w:pPr>
        <w:rPr>
          <w:rFonts w:eastAsia="Calibri"/>
          <w:lang w:eastAsia="fr-FR"/>
        </w:rPr>
      </w:pPr>
      <w:r w:rsidRPr="003C5E39">
        <w:rPr>
          <w:rFonts w:eastAsia="Calibri"/>
          <w:lang w:eastAsia="fr-FR"/>
        </w:rPr>
        <w:t xml:space="preserve">Le succès de ce GT réside dans </w:t>
      </w:r>
      <w:r w:rsidR="00DB75E5">
        <w:rPr>
          <w:rFonts w:eastAsia="Calibri"/>
          <w:lang w:eastAsia="fr-FR"/>
        </w:rPr>
        <w:t>l</w:t>
      </w:r>
      <w:r w:rsidR="00DB75E5" w:rsidRPr="003C5E39">
        <w:rPr>
          <w:rFonts w:eastAsia="Calibri"/>
          <w:lang w:eastAsia="fr-FR"/>
        </w:rPr>
        <w:t xml:space="preserve">a </w:t>
      </w:r>
      <w:r w:rsidRPr="003C5E39">
        <w:rPr>
          <w:rFonts w:eastAsia="Calibri"/>
          <w:lang w:eastAsia="fr-FR"/>
        </w:rPr>
        <w:t xml:space="preserve">nature profondément transversale </w:t>
      </w:r>
      <w:r w:rsidR="00DB75E5">
        <w:rPr>
          <w:rFonts w:eastAsia="Calibri"/>
          <w:lang w:eastAsia="fr-FR"/>
        </w:rPr>
        <w:t>de son sujet, qui concerne tout à la fois</w:t>
      </w:r>
      <w:r w:rsidRPr="003C5E39">
        <w:rPr>
          <w:rFonts w:eastAsia="Calibri"/>
          <w:lang w:eastAsia="fr-FR"/>
        </w:rPr>
        <w:t xml:space="preserve"> </w:t>
      </w:r>
      <w:r w:rsidR="00DB75E5">
        <w:rPr>
          <w:rFonts w:eastAsia="Calibri"/>
          <w:lang w:eastAsia="fr-FR"/>
        </w:rPr>
        <w:t>l</w:t>
      </w:r>
      <w:r w:rsidRPr="003C5E39">
        <w:rPr>
          <w:rFonts w:eastAsia="Calibri"/>
          <w:lang w:eastAsia="fr-FR"/>
        </w:rPr>
        <w:t xml:space="preserve">es DSI, </w:t>
      </w:r>
      <w:r w:rsidR="00DB75E5">
        <w:rPr>
          <w:rFonts w:eastAsia="Calibri"/>
          <w:lang w:eastAsia="fr-FR"/>
        </w:rPr>
        <w:t>l</w:t>
      </w:r>
      <w:r w:rsidRPr="003C5E39">
        <w:rPr>
          <w:rFonts w:eastAsia="Calibri"/>
          <w:lang w:eastAsia="fr-FR"/>
        </w:rPr>
        <w:t xml:space="preserve">es </w:t>
      </w:r>
      <w:r w:rsidR="00434812">
        <w:rPr>
          <w:rFonts w:eastAsia="Calibri"/>
          <w:lang w:eastAsia="fr-FR"/>
        </w:rPr>
        <w:t>d</w:t>
      </w:r>
      <w:r w:rsidRPr="003C5E39">
        <w:rPr>
          <w:rFonts w:eastAsia="Calibri"/>
          <w:lang w:eastAsia="fr-FR"/>
        </w:rPr>
        <w:t xml:space="preserve">irections RSE, RH et Métiers. </w:t>
      </w:r>
      <w:r w:rsidR="00DB75E5">
        <w:rPr>
          <w:rFonts w:eastAsia="Calibri"/>
          <w:lang w:eastAsia="fr-FR"/>
        </w:rPr>
        <w:t>L’</w:t>
      </w:r>
      <w:r w:rsidRPr="003C5E39">
        <w:rPr>
          <w:rFonts w:eastAsia="Calibri"/>
          <w:lang w:eastAsia="fr-FR"/>
        </w:rPr>
        <w:t xml:space="preserve">approche </w:t>
      </w:r>
      <w:r w:rsidR="00DB75E5">
        <w:rPr>
          <w:rFonts w:eastAsia="Calibri"/>
          <w:lang w:eastAsia="fr-FR"/>
        </w:rPr>
        <w:t xml:space="preserve">d’intelligence </w:t>
      </w:r>
      <w:r w:rsidRPr="003C5E39">
        <w:rPr>
          <w:rFonts w:eastAsia="Calibri"/>
          <w:lang w:eastAsia="fr-FR"/>
        </w:rPr>
        <w:t xml:space="preserve">collective </w:t>
      </w:r>
      <w:r w:rsidR="00DB75E5">
        <w:rPr>
          <w:rFonts w:eastAsia="Calibri"/>
          <w:lang w:eastAsia="fr-FR"/>
        </w:rPr>
        <w:t xml:space="preserve">a </w:t>
      </w:r>
      <w:r w:rsidRPr="003C5E39">
        <w:rPr>
          <w:rFonts w:eastAsia="Calibri"/>
          <w:lang w:eastAsia="fr-FR"/>
        </w:rPr>
        <w:t>prouv</w:t>
      </w:r>
      <w:r w:rsidR="00DB75E5">
        <w:rPr>
          <w:rFonts w:eastAsia="Calibri"/>
          <w:lang w:eastAsia="fr-FR"/>
        </w:rPr>
        <w:t xml:space="preserve">é </w:t>
      </w:r>
      <w:r w:rsidRPr="003C5E39">
        <w:rPr>
          <w:rFonts w:eastAsia="Calibri"/>
          <w:lang w:eastAsia="fr-FR"/>
        </w:rPr>
        <w:t>que l'accessibilité est un levier stratégique qui dépasse désormais le seul périmètre technique.</w:t>
      </w:r>
    </w:p>
    <w:p w14:paraId="55E51BAB" w14:textId="7EE1CE8E" w:rsidR="003C5E39" w:rsidRPr="003C5E39" w:rsidRDefault="003C5E39" w:rsidP="003C5E39">
      <w:pPr>
        <w:rPr>
          <w:rFonts w:eastAsia="Calibri"/>
          <w:lang w:eastAsia="fr-FR"/>
        </w:rPr>
      </w:pPr>
      <w:r w:rsidRPr="003C5E39">
        <w:rPr>
          <w:rFonts w:eastAsia="Calibri"/>
          <w:lang w:eastAsia="fr-FR"/>
        </w:rPr>
        <w:t xml:space="preserve">Pour parvenir à rendre nos applications et services accessibles, 4 axes d'étude sont de mon point de vue nécessaires : la </w:t>
      </w:r>
      <w:r w:rsidR="002C19CD">
        <w:rPr>
          <w:rFonts w:eastAsia="Calibri"/>
          <w:lang w:eastAsia="fr-FR"/>
        </w:rPr>
        <w:t>g</w:t>
      </w:r>
      <w:r w:rsidRPr="003C5E39">
        <w:rPr>
          <w:rFonts w:eastAsia="Calibri"/>
          <w:lang w:eastAsia="fr-FR"/>
        </w:rPr>
        <w:t xml:space="preserve">ouvernance, la </w:t>
      </w:r>
      <w:r w:rsidR="002C19CD">
        <w:rPr>
          <w:rFonts w:eastAsia="Calibri"/>
          <w:lang w:eastAsia="fr-FR"/>
        </w:rPr>
        <w:t>m</w:t>
      </w:r>
      <w:r w:rsidRPr="003C5E39">
        <w:rPr>
          <w:rFonts w:eastAsia="Calibri"/>
          <w:lang w:eastAsia="fr-FR"/>
        </w:rPr>
        <w:t xml:space="preserve">éthodologie, la </w:t>
      </w:r>
      <w:r w:rsidR="002C19CD">
        <w:rPr>
          <w:rFonts w:eastAsia="Calibri"/>
          <w:lang w:eastAsia="fr-FR"/>
        </w:rPr>
        <w:t>f</w:t>
      </w:r>
      <w:r w:rsidRPr="003C5E39">
        <w:rPr>
          <w:rFonts w:eastAsia="Calibri"/>
          <w:lang w:eastAsia="fr-FR"/>
        </w:rPr>
        <w:t xml:space="preserve">ormation &amp; </w:t>
      </w:r>
      <w:r w:rsidR="002C19CD">
        <w:rPr>
          <w:rFonts w:eastAsia="Calibri"/>
          <w:lang w:eastAsia="fr-FR"/>
        </w:rPr>
        <w:t>s</w:t>
      </w:r>
      <w:r w:rsidRPr="003C5E39">
        <w:rPr>
          <w:rFonts w:eastAsia="Calibri"/>
          <w:lang w:eastAsia="fr-FR"/>
        </w:rPr>
        <w:t>ensibilisation, et enfin l'</w:t>
      </w:r>
      <w:r w:rsidR="002C19CD">
        <w:rPr>
          <w:rFonts w:eastAsia="Calibri"/>
          <w:lang w:eastAsia="fr-FR"/>
        </w:rPr>
        <w:t>o</w:t>
      </w:r>
      <w:r w:rsidRPr="003C5E39">
        <w:rPr>
          <w:rFonts w:eastAsia="Calibri"/>
          <w:lang w:eastAsia="fr-FR"/>
        </w:rPr>
        <w:t>utillage.</w:t>
      </w:r>
    </w:p>
    <w:p w14:paraId="5163583F" w14:textId="5D57D1B0" w:rsidR="003C5E39" w:rsidRPr="003C5E39" w:rsidRDefault="003C5E39" w:rsidP="003C5E39">
      <w:pPr>
        <w:rPr>
          <w:rFonts w:eastAsia="Calibri"/>
          <w:lang w:eastAsia="fr-FR"/>
        </w:rPr>
      </w:pPr>
      <w:r w:rsidRPr="003C5E39">
        <w:rPr>
          <w:rFonts w:eastAsia="Calibri"/>
          <w:lang w:eastAsia="fr-FR"/>
        </w:rPr>
        <w:t xml:space="preserve">Sur la base de ces </w:t>
      </w:r>
      <w:r w:rsidR="008D7E35">
        <w:rPr>
          <w:rFonts w:eastAsia="Calibri"/>
          <w:lang w:eastAsia="fr-FR"/>
        </w:rPr>
        <w:t>quatre</w:t>
      </w:r>
      <w:r w:rsidRPr="003C5E39">
        <w:rPr>
          <w:rFonts w:eastAsia="Calibri"/>
          <w:lang w:eastAsia="fr-FR"/>
        </w:rPr>
        <w:t xml:space="preserve"> domaines, ce rapport concentre plusieurs retours d’expérience visant à fournir à tous les adhérents du Cigref un plan d’action pragmatique. Nous avons d’ailleurs souhaité vous plonger au cœur de l’usage, en intégrant une vidéo d’un témoignage terrain de l’un des éminents participants du GT.</w:t>
      </w:r>
    </w:p>
    <w:p w14:paraId="6B3D3CA7" w14:textId="77777777" w:rsidR="003C5E39" w:rsidRPr="003C5E39" w:rsidRDefault="003C5E39" w:rsidP="003C5E39">
      <w:pPr>
        <w:rPr>
          <w:rFonts w:eastAsia="Calibri"/>
          <w:lang w:eastAsia="fr-FR"/>
        </w:rPr>
      </w:pPr>
      <w:r w:rsidRPr="003C5E39">
        <w:rPr>
          <w:rFonts w:eastAsia="Calibri"/>
          <w:lang w:eastAsia="fr-FR"/>
        </w:rPr>
        <w:t>Nous pouvons également souhaiter, et j’en fais le vœu, que nos formations en informatique intègrent à terme les compétences relatives à l’accessibilité, comme toute autre matière enseignée, en créant ainsi un levier d’accélération majeur pour le futur.</w:t>
      </w:r>
    </w:p>
    <w:p w14:paraId="274CD5B8" w14:textId="77777777" w:rsidR="003C5E39" w:rsidRPr="003C5E39" w:rsidRDefault="003C5E39" w:rsidP="003C5E39">
      <w:pPr>
        <w:rPr>
          <w:rFonts w:eastAsia="Calibri"/>
          <w:lang w:eastAsia="fr-FR"/>
        </w:rPr>
      </w:pPr>
      <w:r w:rsidRPr="003C5E39">
        <w:rPr>
          <w:rFonts w:eastAsia="Calibri"/>
          <w:lang w:eastAsia="fr-FR"/>
        </w:rPr>
        <w:t>Je suis profondément fier d'avoir animé ce groupe de travail passionné et concentrant autant de compétences. Je suis fier des sourires que j’ai pu remarquer au gré des rencontres. Ce rapport est la preuve que l'accessibilité n'est plus une démarche isolée, mais une œuvre collective essentielle à nos organisations.</w:t>
      </w:r>
    </w:p>
    <w:p w14:paraId="49AFC1D8" w14:textId="77777777" w:rsidR="003C5E39" w:rsidRPr="003C5E39" w:rsidRDefault="003C5E39" w:rsidP="003C5E39">
      <w:pPr>
        <w:rPr>
          <w:rFonts w:eastAsia="Calibri"/>
          <w:lang w:eastAsia="fr-FR"/>
        </w:rPr>
      </w:pPr>
      <w:r w:rsidRPr="003C5E39">
        <w:rPr>
          <w:rFonts w:eastAsia="Calibri"/>
          <w:lang w:eastAsia="fr-FR"/>
        </w:rPr>
        <w:t>Je vous invite à vous approprier sans attendre ces leviers. L'accessibilité est un chemin, et le moment est venu d'accélérer notre pas commun.</w:t>
      </w:r>
    </w:p>
    <w:p w14:paraId="70A50421" w14:textId="76AC58AD" w:rsidR="00782984" w:rsidRPr="00782984" w:rsidRDefault="003C5E39" w:rsidP="003C5E39">
      <w:pPr>
        <w:rPr>
          <w:rFonts w:ascii="Calibri" w:eastAsia="Calibri" w:hAnsi="Calibri" w:cs="Calibri"/>
          <w:color w:val="171717" w:themeColor="background2" w:themeShade="1A"/>
          <w:lang w:eastAsia="fr-FR"/>
        </w:rPr>
      </w:pPr>
      <w:r w:rsidRPr="003C5E39">
        <w:rPr>
          <w:rFonts w:eastAsia="Calibri"/>
          <w:lang w:eastAsia="fr-FR"/>
        </w:rPr>
        <w:t>Bonne lecture et bonne action,</w:t>
      </w:r>
    </w:p>
    <w:p w14:paraId="7627E2E4" w14:textId="77777777" w:rsidR="003C5E39" w:rsidRPr="003C5E39" w:rsidRDefault="003C5E39" w:rsidP="003C5E39">
      <w:pPr>
        <w:jc w:val="right"/>
        <w:rPr>
          <w:rFonts w:ascii="Calibri" w:eastAsia="Calibri" w:hAnsi="Calibri" w:cs="Calibri"/>
          <w:b/>
          <w:bCs/>
          <w:color w:val="171717" w:themeColor="background2" w:themeShade="1A"/>
          <w:lang w:eastAsia="fr-FR"/>
        </w:rPr>
      </w:pPr>
      <w:r w:rsidRPr="003C5E39">
        <w:rPr>
          <w:rFonts w:ascii="Calibri" w:eastAsia="Calibri" w:hAnsi="Calibri" w:cs="Calibri"/>
          <w:b/>
          <w:bCs/>
          <w:color w:val="171717" w:themeColor="background2" w:themeShade="1A"/>
          <w:lang w:eastAsia="fr-FR"/>
        </w:rPr>
        <w:t xml:space="preserve">Yannick PUGET, </w:t>
      </w:r>
    </w:p>
    <w:p w14:paraId="5D5D7ACF" w14:textId="5B5FC10E" w:rsidR="00276234" w:rsidRPr="003C5E39" w:rsidRDefault="003C5E39" w:rsidP="003C5E39">
      <w:pPr>
        <w:jc w:val="right"/>
        <w:rPr>
          <w:rFonts w:ascii="Calibri" w:eastAsia="Calibri" w:hAnsi="Calibri" w:cs="Calibri"/>
          <w:color w:val="171717" w:themeColor="background2" w:themeShade="1A"/>
          <w:lang w:eastAsia="fr-FR"/>
        </w:rPr>
      </w:pPr>
      <w:r w:rsidRPr="003C5E39">
        <w:rPr>
          <w:rFonts w:ascii="Calibri" w:eastAsia="Calibri" w:hAnsi="Calibri" w:cs="Calibri"/>
          <w:color w:val="171717" w:themeColor="background2" w:themeShade="1A"/>
          <w:lang w:eastAsia="fr-FR"/>
        </w:rPr>
        <w:t>Directeur des</w:t>
      </w:r>
      <w:r>
        <w:rPr>
          <w:rFonts w:ascii="Calibri" w:eastAsia="Calibri" w:hAnsi="Calibri" w:cs="Calibri"/>
          <w:color w:val="171717" w:themeColor="background2" w:themeShade="1A"/>
          <w:lang w:eastAsia="fr-FR"/>
        </w:rPr>
        <w:t xml:space="preserve"> O</w:t>
      </w:r>
      <w:r w:rsidRPr="003C5E39">
        <w:rPr>
          <w:rFonts w:ascii="Calibri" w:eastAsia="Calibri" w:hAnsi="Calibri" w:cs="Calibri"/>
          <w:color w:val="171717" w:themeColor="background2" w:themeShade="1A"/>
          <w:lang w:eastAsia="fr-FR"/>
        </w:rPr>
        <w:t xml:space="preserve">pérations et de l’Expérience Client chez </w:t>
      </w:r>
      <w:proofErr w:type="spellStart"/>
      <w:r w:rsidRPr="003C5E39">
        <w:rPr>
          <w:rFonts w:ascii="Calibri" w:eastAsia="Calibri" w:hAnsi="Calibri" w:cs="Calibri"/>
          <w:color w:val="171717" w:themeColor="background2" w:themeShade="1A"/>
          <w:lang w:eastAsia="fr-FR"/>
        </w:rPr>
        <w:t>iMSA</w:t>
      </w:r>
      <w:proofErr w:type="spellEnd"/>
    </w:p>
    <w:p w14:paraId="663D4D5C" w14:textId="77777777" w:rsidR="006A0726" w:rsidRPr="00276234" w:rsidRDefault="006A0726" w:rsidP="00CF2255">
      <w:pPr>
        <w:pStyle w:val="En-ttedetabledesmatires"/>
      </w:pPr>
      <w:bookmarkStart w:id="1" w:name="_Toc117159540"/>
      <w:r w:rsidRPr="00276234">
        <w:lastRenderedPageBreak/>
        <w:t>SYNTHÈSE</w:t>
      </w:r>
      <w:bookmarkEnd w:id="1"/>
    </w:p>
    <w:p w14:paraId="17DC4744" w14:textId="0DE825F9" w:rsidR="001A4E70" w:rsidRDefault="001A4E70" w:rsidP="00D53D7D">
      <w:pPr>
        <w:rPr>
          <w:rFonts w:eastAsia="Times New Roman"/>
          <w:lang w:eastAsia="fr-FR"/>
        </w:rPr>
      </w:pPr>
      <w:r w:rsidRPr="001A4E70">
        <w:rPr>
          <w:rFonts w:eastAsia="Times New Roman"/>
          <w:lang w:eastAsia="fr-FR"/>
        </w:rPr>
        <w:t xml:space="preserve">L'accessibilité numérique constitue une </w:t>
      </w:r>
      <w:r w:rsidRPr="002E3391">
        <w:rPr>
          <w:rFonts w:eastAsia="Times New Roman"/>
          <w:b/>
          <w:bCs/>
          <w:lang w:eastAsia="fr-FR"/>
        </w:rPr>
        <w:t>transformation d'entreprise</w:t>
      </w:r>
      <w:r w:rsidRPr="001A4E70">
        <w:rPr>
          <w:rFonts w:eastAsia="Times New Roman"/>
          <w:lang w:eastAsia="fr-FR"/>
        </w:rPr>
        <w:t xml:space="preserve"> de grande ampleur, comparable par ses implications stratégiques et organisationnelles à la mise en conformité au RGPD</w:t>
      </w:r>
      <w:r>
        <w:rPr>
          <w:rFonts w:eastAsia="Times New Roman"/>
          <w:lang w:eastAsia="fr-FR"/>
        </w:rPr>
        <w:t xml:space="preserve"> (</w:t>
      </w:r>
      <w:r w:rsidRPr="001A4E70">
        <w:rPr>
          <w:rFonts w:eastAsia="Times New Roman"/>
          <w:lang w:eastAsia="fr-FR"/>
        </w:rPr>
        <w:t>Règlement Général sur la Protection des Données</w:t>
      </w:r>
      <w:r>
        <w:rPr>
          <w:rFonts w:eastAsia="Times New Roman"/>
          <w:lang w:eastAsia="fr-FR"/>
        </w:rPr>
        <w:t>)</w:t>
      </w:r>
      <w:r w:rsidRPr="001A4E70">
        <w:rPr>
          <w:rFonts w:eastAsia="Times New Roman"/>
          <w:lang w:eastAsia="fr-FR"/>
        </w:rPr>
        <w:t xml:space="preserve">. Elle engage l'ensemble de l'organisation — directions numériques, RSE, RH, achats et métiers — autour d'un enjeu qui dépasse la seule conformité réglementaire : celui de garantir à chaque collaborateur et à chaque citoyen un </w:t>
      </w:r>
      <w:r w:rsidRPr="002E3391">
        <w:rPr>
          <w:rFonts w:eastAsia="Times New Roman"/>
          <w:b/>
          <w:bCs/>
          <w:lang w:eastAsia="fr-FR"/>
        </w:rPr>
        <w:t>accès équitable et autonome</w:t>
      </w:r>
      <w:r w:rsidRPr="001A4E70">
        <w:rPr>
          <w:rFonts w:eastAsia="Times New Roman"/>
          <w:lang w:eastAsia="fr-FR"/>
        </w:rPr>
        <w:t xml:space="preserve"> aux produits et services numériques.</w:t>
      </w:r>
      <w:r>
        <w:rPr>
          <w:rFonts w:eastAsia="Times New Roman"/>
          <w:lang w:eastAsia="fr-FR"/>
        </w:rPr>
        <w:t xml:space="preserve"> </w:t>
      </w:r>
    </w:p>
    <w:p w14:paraId="32B8F52D" w14:textId="02B497CF" w:rsidR="001A4E70" w:rsidRDefault="001A4E70" w:rsidP="00D53D7D">
      <w:pPr>
        <w:rPr>
          <w:rFonts w:eastAsia="Times New Roman"/>
          <w:lang w:eastAsia="fr-FR"/>
        </w:rPr>
      </w:pPr>
      <w:r w:rsidRPr="001A4E70">
        <w:rPr>
          <w:rFonts w:eastAsia="Times New Roman"/>
          <w:lang w:eastAsia="fr-FR"/>
        </w:rPr>
        <w:t>Le cadre réglementaire s'est fortement renforcé ces dernières années, avec notamment la transposition de l'</w:t>
      </w:r>
      <w:proofErr w:type="spellStart"/>
      <w:r w:rsidRPr="001A4E70">
        <w:rPr>
          <w:rFonts w:eastAsia="Times New Roman"/>
          <w:i/>
          <w:iCs/>
          <w:lang w:eastAsia="fr-FR"/>
        </w:rPr>
        <w:t>European</w:t>
      </w:r>
      <w:proofErr w:type="spellEnd"/>
      <w:r w:rsidRPr="001A4E70">
        <w:rPr>
          <w:rFonts w:eastAsia="Times New Roman"/>
          <w:i/>
          <w:iCs/>
          <w:lang w:eastAsia="fr-FR"/>
        </w:rPr>
        <w:t xml:space="preserve"> </w:t>
      </w:r>
      <w:proofErr w:type="spellStart"/>
      <w:r w:rsidRPr="001A4E70">
        <w:rPr>
          <w:rFonts w:eastAsia="Times New Roman"/>
          <w:i/>
          <w:iCs/>
          <w:lang w:eastAsia="fr-FR"/>
        </w:rPr>
        <w:t>Accessibility</w:t>
      </w:r>
      <w:proofErr w:type="spellEnd"/>
      <w:r w:rsidRPr="001A4E70">
        <w:rPr>
          <w:rFonts w:eastAsia="Times New Roman"/>
          <w:i/>
          <w:iCs/>
          <w:lang w:eastAsia="fr-FR"/>
        </w:rPr>
        <w:t xml:space="preserve"> Act</w:t>
      </w:r>
      <w:r w:rsidRPr="001A4E70">
        <w:rPr>
          <w:rFonts w:eastAsia="Times New Roman"/>
          <w:lang w:eastAsia="fr-FR"/>
        </w:rPr>
        <w:t xml:space="preserve"> (EAA) qui étend les obligations </w:t>
      </w:r>
      <w:r>
        <w:rPr>
          <w:rFonts w:eastAsia="Times New Roman"/>
          <w:lang w:eastAsia="fr-FR"/>
        </w:rPr>
        <w:t>à certaines</w:t>
      </w:r>
      <w:r w:rsidRPr="001A4E70">
        <w:rPr>
          <w:rFonts w:eastAsia="Times New Roman"/>
          <w:lang w:eastAsia="fr-FR"/>
        </w:rPr>
        <w:t xml:space="preserve"> entreprises privées dépassant un seuil de 2 millions d'euros de chiffre d'affaires. Les grandes organisations, bien que souvent engagées dans des politiques d'inclusion, se trouvent confrontées à des défis considérables pour déployer l'accessibilité à l'échelle de portefeuilles numériques complexes, composés de centaines voire de milliers d'applications et de plateformes hétérogènes.</w:t>
      </w:r>
    </w:p>
    <w:p w14:paraId="10FD48D1" w14:textId="30C56036" w:rsidR="001A4E70" w:rsidRDefault="001A4E70" w:rsidP="00D53D7D">
      <w:pPr>
        <w:rPr>
          <w:rFonts w:eastAsia="Times New Roman"/>
          <w:lang w:eastAsia="fr-FR"/>
        </w:rPr>
      </w:pPr>
      <w:r w:rsidRPr="001A4E70">
        <w:rPr>
          <w:rFonts w:eastAsia="Times New Roman"/>
          <w:lang w:eastAsia="fr-FR"/>
        </w:rPr>
        <w:t xml:space="preserve">Pour répondre à ces défis, le présent rapport s'articule en quatre parties complémentaires. La première dresse un </w:t>
      </w:r>
      <w:r w:rsidRPr="001A4E70">
        <w:rPr>
          <w:rFonts w:eastAsia="Times New Roman"/>
          <w:b/>
          <w:bCs/>
          <w:lang w:eastAsia="fr-FR"/>
        </w:rPr>
        <w:t>état des lieux du paysage réglementaire et des enjeux stratégiques</w:t>
      </w:r>
      <w:r w:rsidRPr="001A4E70">
        <w:rPr>
          <w:rFonts w:eastAsia="Times New Roman"/>
          <w:lang w:eastAsia="fr-FR"/>
        </w:rPr>
        <w:t xml:space="preserve"> de l'accessibilité numérique, afin de donner à chaque organisation les clés pour mesurer l'ampleur du sujet. La deuxième traite de la </w:t>
      </w:r>
      <w:r w:rsidRPr="001A4E70">
        <w:rPr>
          <w:rFonts w:eastAsia="Times New Roman"/>
          <w:b/>
          <w:bCs/>
          <w:lang w:eastAsia="fr-FR"/>
        </w:rPr>
        <w:t>structuration de la gouvernance</w:t>
      </w:r>
      <w:r w:rsidRPr="001A4E70">
        <w:rPr>
          <w:rFonts w:eastAsia="Times New Roman"/>
          <w:lang w:eastAsia="fr-FR"/>
        </w:rPr>
        <w:t xml:space="preserve"> : comment définir une ambition claire, attribuer les responsabilités et ancrer l'accessibilité dans l'organisation de manière durable. La troisième aborde le </w:t>
      </w:r>
      <w:r w:rsidRPr="001A4E70">
        <w:rPr>
          <w:rFonts w:eastAsia="Times New Roman"/>
          <w:b/>
          <w:bCs/>
          <w:lang w:eastAsia="fr-FR"/>
        </w:rPr>
        <w:t>pilotage opérationnel et l'outillage</w:t>
      </w:r>
      <w:r w:rsidRPr="001A4E70">
        <w:rPr>
          <w:rFonts w:eastAsia="Times New Roman"/>
          <w:lang w:eastAsia="fr-FR"/>
        </w:rPr>
        <w:t xml:space="preserve">, en détaillant comment intégrer l'accessibilité dans le cycle de vie des projets, quels indicateurs suivre et quels outils mobiliser. La quatrième et dernière partie propose enfin des </w:t>
      </w:r>
      <w:r w:rsidRPr="001A4E70">
        <w:rPr>
          <w:rFonts w:eastAsia="Times New Roman"/>
          <w:b/>
          <w:bCs/>
          <w:lang w:eastAsia="fr-FR"/>
        </w:rPr>
        <w:t>principes d'action pour accompagner le passage à l'échelle</w:t>
      </w:r>
      <w:r w:rsidRPr="001A4E70">
        <w:rPr>
          <w:rFonts w:eastAsia="Times New Roman"/>
          <w:lang w:eastAsia="fr-FR"/>
        </w:rPr>
        <w:t xml:space="preserve">, à travers une identification des chantiers prioritaires et des recommandations concrètes issues des </w:t>
      </w:r>
      <w:r>
        <w:rPr>
          <w:rFonts w:eastAsia="Times New Roman"/>
          <w:lang w:eastAsia="fr-FR"/>
        </w:rPr>
        <w:t xml:space="preserve">retours d’expérience des participants </w:t>
      </w:r>
      <w:r w:rsidRPr="001A4E70">
        <w:rPr>
          <w:rFonts w:eastAsia="Times New Roman"/>
          <w:lang w:eastAsia="fr-FR"/>
        </w:rPr>
        <w:t>du groupe de travail.</w:t>
      </w:r>
    </w:p>
    <w:p w14:paraId="6EDF81BE" w14:textId="77777777" w:rsidR="001A4E70" w:rsidRPr="001A4E70" w:rsidRDefault="001A4E70" w:rsidP="001A4E70">
      <w:pPr>
        <w:rPr>
          <w:rFonts w:eastAsia="Times New Roman"/>
          <w:lang w:eastAsia="fr-FR"/>
        </w:rPr>
      </w:pPr>
      <w:r w:rsidRPr="001A4E70">
        <w:rPr>
          <w:rFonts w:eastAsia="Times New Roman"/>
          <w:lang w:eastAsia="fr-FR"/>
        </w:rPr>
        <w:t xml:space="preserve">Au-delà de l'analyse, ce rapport met à disposition des </w:t>
      </w:r>
      <w:r w:rsidRPr="001A4E70">
        <w:rPr>
          <w:rFonts w:eastAsia="Times New Roman"/>
          <w:b/>
          <w:bCs/>
          <w:lang w:eastAsia="fr-FR"/>
        </w:rPr>
        <w:t>outils directement opérationnels</w:t>
      </w:r>
      <w:r w:rsidRPr="001A4E70">
        <w:rPr>
          <w:rFonts w:eastAsia="Times New Roman"/>
          <w:lang w:eastAsia="fr-FR"/>
        </w:rPr>
        <w:t xml:space="preserve"> : un tableau de bord de KPIs pour suivre la progression de la démarche, des recommandations priorisées issues des retours terrain, et une identification des </w:t>
      </w:r>
      <w:r w:rsidRPr="001A4E70">
        <w:rPr>
          <w:rFonts w:eastAsia="Times New Roman"/>
          <w:b/>
          <w:bCs/>
          <w:lang w:eastAsia="fr-FR"/>
        </w:rPr>
        <w:t>chantiers prioritaires</w:t>
      </w:r>
      <w:r w:rsidRPr="001A4E70">
        <w:rPr>
          <w:rFonts w:eastAsia="Times New Roman"/>
          <w:lang w:eastAsia="fr-FR"/>
        </w:rPr>
        <w:t xml:space="preserve"> à engager — gouvernance structurée, formation ciblée, intégration </w:t>
      </w:r>
      <w:r w:rsidRPr="001A4E70">
        <w:rPr>
          <w:rFonts w:eastAsia="Times New Roman"/>
          <w:i/>
          <w:iCs/>
          <w:lang w:eastAsia="fr-FR"/>
        </w:rPr>
        <w:t>by design</w:t>
      </w:r>
      <w:r w:rsidRPr="001A4E70">
        <w:rPr>
          <w:rFonts w:eastAsia="Times New Roman"/>
          <w:lang w:eastAsia="fr-FR"/>
        </w:rPr>
        <w:t xml:space="preserve"> dans les cycles projets. Ces livrables ont vocation à accompagner concrètement les équipes dans leur passage à l'échelle.</w:t>
      </w:r>
    </w:p>
    <w:p w14:paraId="0F81515C" w14:textId="6FA69344" w:rsidR="001A4E70" w:rsidRDefault="001A4E70" w:rsidP="001A4E70">
      <w:pPr>
        <w:rPr>
          <w:rFonts w:eastAsia="Times New Roman"/>
          <w:lang w:eastAsia="fr-FR"/>
        </w:rPr>
      </w:pPr>
      <w:r w:rsidRPr="001A4E70">
        <w:rPr>
          <w:rFonts w:eastAsia="Times New Roman"/>
          <w:lang w:eastAsia="fr-FR"/>
        </w:rPr>
        <w:t>Loin de se réduire à une contrainte de conformité, l'accessibilité numérique représente un levier stratégique à part entière : accès à un marché élargi, réduction du risque juridique, amélioration de l'expérience utilisateur pour tous, vecteur d'innovation</w:t>
      </w:r>
      <w:r w:rsidR="0014054B">
        <w:rPr>
          <w:rFonts w:eastAsia="Times New Roman"/>
          <w:lang w:eastAsia="fr-FR"/>
        </w:rPr>
        <w:t>…</w:t>
      </w:r>
    </w:p>
    <w:p w14:paraId="1576F0C4" w14:textId="228A2D6E" w:rsidR="001A4E70" w:rsidRDefault="0014054B" w:rsidP="00D53D7D">
      <w:pPr>
        <w:rPr>
          <w:rFonts w:eastAsia="Times New Roman"/>
          <w:lang w:eastAsia="fr-FR"/>
        </w:rPr>
      </w:pPr>
      <w:r w:rsidRPr="0014054B">
        <w:rPr>
          <w:rFonts w:eastAsia="Times New Roman"/>
          <w:lang w:eastAsia="fr-FR"/>
        </w:rPr>
        <w:t>L'accessibilité numérique se construit dans la durée. Ce rapport en est la conviction partagée : les organisations qui réussissent ce passage à l'échelle sont celles qui ont su en faire non pas une obligation ponctuelle, mais un réflexe collectif, ancré dans chaque étape de la conception et du déploiement de leurs services numériques.</w:t>
      </w:r>
    </w:p>
    <w:p w14:paraId="78B9B78F" w14:textId="77777777" w:rsidR="00D53D7D" w:rsidRDefault="00D53D7D" w:rsidP="00D53D7D">
      <w:pPr>
        <w:rPr>
          <w:lang w:eastAsia="fr-FR"/>
        </w:rPr>
      </w:pPr>
      <w:bookmarkStart w:id="2" w:name="_Toc117159541"/>
    </w:p>
    <w:p w14:paraId="39D07DE6" w14:textId="5079CA7E" w:rsidR="006A0726" w:rsidRDefault="006A0726" w:rsidP="00CF2255">
      <w:pPr>
        <w:pStyle w:val="En-ttedetabledesmatires"/>
      </w:pPr>
      <w:r>
        <w:lastRenderedPageBreak/>
        <w:t>REMERCIEMENTS</w:t>
      </w:r>
      <w:bookmarkEnd w:id="2"/>
    </w:p>
    <w:p w14:paraId="0E7AAC9C" w14:textId="03336B2D" w:rsidR="00B133D5" w:rsidRDefault="00782984" w:rsidP="00B133D5">
      <w:r w:rsidRPr="00782984">
        <w:t xml:space="preserve">Nos remerciements vont à </w:t>
      </w:r>
      <w:r w:rsidR="00D53D7D">
        <w:rPr>
          <w:b/>
          <w:bCs/>
        </w:rPr>
        <w:t>Yannick Puget</w:t>
      </w:r>
      <w:r w:rsidR="00F82842">
        <w:t>,</w:t>
      </w:r>
      <w:r w:rsidR="00D53D7D">
        <w:t xml:space="preserve"> </w:t>
      </w:r>
      <w:r w:rsidR="00D53D7D" w:rsidRPr="00D53D7D">
        <w:t xml:space="preserve">Directeur des Opérations et de l’Expérience Client chez </w:t>
      </w:r>
      <w:proofErr w:type="spellStart"/>
      <w:r w:rsidR="00D53D7D" w:rsidRPr="00D53D7D">
        <w:t>iMSA</w:t>
      </w:r>
      <w:proofErr w:type="spellEnd"/>
      <w:r w:rsidR="00D53D7D">
        <w:t>,</w:t>
      </w:r>
      <w:r w:rsidR="00F82842">
        <w:t xml:space="preserve"> </w:t>
      </w:r>
      <w:r w:rsidRPr="00F82842">
        <w:t>qui</w:t>
      </w:r>
      <w:r w:rsidRPr="00782984">
        <w:t xml:space="preserve"> a piloté ce travail, ainsi qu’à toutes les personnes qui ont participé et contribué à ce groupe de travail Cigref </w:t>
      </w:r>
      <w:r w:rsidR="002C19CD">
        <w:t>en 2024 et 2025 </w:t>
      </w:r>
      <w:r w:rsidRPr="00782984">
        <w:t>(</w:t>
      </w:r>
      <w:r w:rsidR="002C19CD">
        <w:t xml:space="preserve">par </w:t>
      </w:r>
      <w:r w:rsidRPr="00782984">
        <w:t>ordre alphabétique)</w:t>
      </w:r>
      <w:r w:rsidR="002C19CD">
        <w:t xml:space="preserve"> </w:t>
      </w:r>
      <w:r w:rsidR="00B133D5">
        <w:t>:</w:t>
      </w:r>
    </w:p>
    <w:p w14:paraId="259C6539" w14:textId="77777777" w:rsidR="000C48CF" w:rsidRDefault="000C48CF" w:rsidP="00C6698B">
      <w:pPr>
        <w:sectPr w:rsidR="000C48CF" w:rsidSect="000C48CF">
          <w:headerReference w:type="default" r:id="rId14"/>
          <w:footerReference w:type="default" r:id="rId15"/>
          <w:pgSz w:w="11906" w:h="16838" w:code="9"/>
          <w:pgMar w:top="1418" w:right="1418" w:bottom="1418" w:left="1418" w:header="709" w:footer="709" w:gutter="0"/>
          <w:cols w:space="708"/>
          <w:docGrid w:linePitch="360"/>
        </w:sectPr>
      </w:pPr>
    </w:p>
    <w:p w14:paraId="3B4B3973" w14:textId="77777777" w:rsidR="00C6698B" w:rsidRDefault="00C6698B" w:rsidP="00C6698B">
      <w:r>
        <w:t>Marie AIT DAOUD - VINCI</w:t>
      </w:r>
    </w:p>
    <w:p w14:paraId="4FE7C811" w14:textId="77777777" w:rsidR="00C6698B" w:rsidRDefault="00C6698B" w:rsidP="00C6698B">
      <w:r>
        <w:t>Jamshid KOHANDEL - DINUM</w:t>
      </w:r>
    </w:p>
    <w:p w14:paraId="09F32579" w14:textId="77777777" w:rsidR="00C6698B" w:rsidRDefault="00C6698B" w:rsidP="00C6698B">
      <w:r>
        <w:t>Grégory BARBÉ</w:t>
      </w:r>
      <w:r>
        <w:tab/>
        <w:t>- COVÉA</w:t>
      </w:r>
    </w:p>
    <w:p w14:paraId="4FF138A5" w14:textId="77777777" w:rsidR="00C6698B" w:rsidRDefault="00C6698B" w:rsidP="00C6698B">
      <w:r>
        <w:t>Fabienne LALOUX - BPI FRANCE</w:t>
      </w:r>
    </w:p>
    <w:p w14:paraId="7416F9CA" w14:textId="77777777" w:rsidR="00C6698B" w:rsidRDefault="00C6698B" w:rsidP="00C6698B">
      <w:r>
        <w:t>Jérôme</w:t>
      </w:r>
      <w:r>
        <w:tab/>
        <w:t>BARRE</w:t>
      </w:r>
      <w:r>
        <w:tab/>
        <w:t>- BNP PARIBAS</w:t>
      </w:r>
    </w:p>
    <w:p w14:paraId="3079B125" w14:textId="77777777" w:rsidR="00C6698B" w:rsidRDefault="00C6698B" w:rsidP="00C6698B">
      <w:r>
        <w:t>Gwladys MAMPOUYA - CRÉDIT AGRICOLE S.A.</w:t>
      </w:r>
    </w:p>
    <w:p w14:paraId="478DAE89" w14:textId="77777777" w:rsidR="00C6698B" w:rsidRDefault="00C6698B" w:rsidP="00C6698B">
      <w:r>
        <w:t>Sébastien BERNARD - FONDATION DE FRANCE</w:t>
      </w:r>
    </w:p>
    <w:p w14:paraId="216D8C4C" w14:textId="77777777" w:rsidR="00C6698B" w:rsidRDefault="00C6698B" w:rsidP="00C6698B">
      <w:r>
        <w:t>Fabrice</w:t>
      </w:r>
      <w:r>
        <w:tab/>
        <w:t>MAUFAY - SERVIER</w:t>
      </w:r>
    </w:p>
    <w:p w14:paraId="02AC00E0" w14:textId="77777777" w:rsidR="00C6698B" w:rsidRDefault="00C6698B" w:rsidP="00C6698B">
      <w:r>
        <w:t>Marie-Laure BOUTHIERE - MINISTÈRE DE LA TRANSITION ÉCOLOGIQUE, DE LA BIODIVERSITÉ ET DES NÉGOCIATIONS INTERNATIONALES SUR LE CLIMAT ET LA NATURE</w:t>
      </w:r>
    </w:p>
    <w:p w14:paraId="1BAA4CDF" w14:textId="77777777" w:rsidR="00C6698B" w:rsidRDefault="00C6698B" w:rsidP="00C6698B">
      <w:r>
        <w:t>Fabien MÉTIVET - CRÉDIT AGRICOLE S.A.</w:t>
      </w:r>
    </w:p>
    <w:p w14:paraId="6F53C307" w14:textId="77777777" w:rsidR="00C6698B" w:rsidRDefault="00C6698B" w:rsidP="00C6698B">
      <w:r>
        <w:t>Amar CADI - MINISTÈRES SOCIAUX</w:t>
      </w:r>
    </w:p>
    <w:p w14:paraId="7B6DE757" w14:textId="77777777" w:rsidR="00C6698B" w:rsidRDefault="00C6698B" w:rsidP="00C6698B">
      <w:r>
        <w:t>Virginie MOREL-GARDIEN - STELLANTIS</w:t>
      </w:r>
    </w:p>
    <w:p w14:paraId="4250E1ED" w14:textId="77777777" w:rsidR="00C6698B" w:rsidRDefault="00C6698B" w:rsidP="00C6698B">
      <w:r>
        <w:t>Mathilde CAILLOL - EDF</w:t>
      </w:r>
    </w:p>
    <w:p w14:paraId="33F81B8A" w14:textId="77777777" w:rsidR="00C6698B" w:rsidRDefault="00C6698B" w:rsidP="00C6698B">
      <w:r>
        <w:t>Anne-Cécile MORIN - COVÉA</w:t>
      </w:r>
    </w:p>
    <w:p w14:paraId="504539D3" w14:textId="77777777" w:rsidR="00C6698B" w:rsidRDefault="00C6698B" w:rsidP="00C6698B">
      <w:r>
        <w:t>Sandra CHARRIER - FRANCE TRAVAIL</w:t>
      </w:r>
    </w:p>
    <w:p w14:paraId="0AC83271" w14:textId="77777777" w:rsidR="00C6698B" w:rsidRDefault="00C6698B" w:rsidP="00C6698B">
      <w:r>
        <w:t>Stéphanie NAZARIAN - DINUM</w:t>
      </w:r>
    </w:p>
    <w:p w14:paraId="3D43C3E9" w14:textId="77777777" w:rsidR="00C6698B" w:rsidRDefault="00C6698B" w:rsidP="00C6698B">
      <w:r>
        <w:t>Barbara</w:t>
      </w:r>
      <w:r>
        <w:tab/>
        <w:t xml:space="preserve"> DEVAUX - EQUANS</w:t>
      </w:r>
    </w:p>
    <w:p w14:paraId="6BBF9796" w14:textId="77777777" w:rsidR="00C6698B" w:rsidRDefault="00C6698B" w:rsidP="00C6698B">
      <w:r>
        <w:t>Thierry</w:t>
      </w:r>
      <w:r>
        <w:tab/>
        <w:t>NÉEL - MATMUT</w:t>
      </w:r>
    </w:p>
    <w:p w14:paraId="30273C72" w14:textId="77777777" w:rsidR="00C6698B" w:rsidRPr="00C6698B" w:rsidRDefault="00C6698B" w:rsidP="00C6698B">
      <w:pPr>
        <w:rPr>
          <w:lang w:val="es-ES"/>
        </w:rPr>
      </w:pPr>
      <w:r w:rsidRPr="00C6698B">
        <w:rPr>
          <w:lang w:val="es-ES"/>
        </w:rPr>
        <w:t>Dorra DO VALE - COVÉA</w:t>
      </w:r>
    </w:p>
    <w:p w14:paraId="6C46AB11" w14:textId="77777777" w:rsidR="00C6698B" w:rsidRPr="00C6698B" w:rsidRDefault="00C6698B" w:rsidP="00C6698B">
      <w:pPr>
        <w:rPr>
          <w:lang w:val="es-ES"/>
        </w:rPr>
      </w:pPr>
      <w:r w:rsidRPr="00C6698B">
        <w:rPr>
          <w:lang w:val="es-ES"/>
        </w:rPr>
        <w:t>Julie PARRA - MSA</w:t>
      </w:r>
    </w:p>
    <w:p w14:paraId="6E1D9A38" w14:textId="77777777" w:rsidR="00C6698B" w:rsidRDefault="00C6698B" w:rsidP="00C6698B">
      <w:r>
        <w:t>Éric DRUESNES - CNAF</w:t>
      </w:r>
    </w:p>
    <w:p w14:paraId="00B237AE" w14:textId="77777777" w:rsidR="00C6698B" w:rsidRDefault="00C6698B" w:rsidP="00C6698B">
      <w:r>
        <w:t>Matthieu PAULIN - INVIVO</w:t>
      </w:r>
    </w:p>
    <w:p w14:paraId="500EBFE3" w14:textId="77777777" w:rsidR="00C6698B" w:rsidRDefault="00C6698B" w:rsidP="00C6698B">
      <w:r>
        <w:t>Barbara</w:t>
      </w:r>
      <w:r>
        <w:tab/>
        <w:t xml:space="preserve"> DUFRESNE MICHELETTI - AG2R LA MONDIALE</w:t>
      </w:r>
    </w:p>
    <w:p w14:paraId="60E451B6" w14:textId="77777777" w:rsidR="00C6698B" w:rsidRPr="00C6698B" w:rsidRDefault="00C6698B" w:rsidP="00C6698B">
      <w:pPr>
        <w:rPr>
          <w:lang w:val="en-GB"/>
        </w:rPr>
      </w:pPr>
      <w:r w:rsidRPr="00C6698B">
        <w:rPr>
          <w:lang w:val="en-GB"/>
        </w:rPr>
        <w:t>Caroline PIC - RENAULT</w:t>
      </w:r>
    </w:p>
    <w:p w14:paraId="321FAE27" w14:textId="77777777" w:rsidR="00C6698B" w:rsidRPr="00C6698B" w:rsidRDefault="00C6698B" w:rsidP="00C6698B">
      <w:pPr>
        <w:rPr>
          <w:lang w:val="en-GB"/>
        </w:rPr>
      </w:pPr>
      <w:r w:rsidRPr="00C6698B">
        <w:rPr>
          <w:lang w:val="en-GB"/>
        </w:rPr>
        <w:t>Hugues</w:t>
      </w:r>
      <w:r w:rsidRPr="00C6698B">
        <w:rPr>
          <w:lang w:val="en-GB"/>
        </w:rPr>
        <w:tab/>
        <w:t>FOSSEY - SODEXO</w:t>
      </w:r>
    </w:p>
    <w:p w14:paraId="0468CB63" w14:textId="77777777" w:rsidR="00C6698B" w:rsidRDefault="00C6698B" w:rsidP="00C6698B">
      <w:r>
        <w:t>Claire QUINTANAR - ENEDIS</w:t>
      </w:r>
    </w:p>
    <w:p w14:paraId="434F57CD" w14:textId="77777777" w:rsidR="00C6698B" w:rsidRDefault="00C6698B" w:rsidP="00C6698B">
      <w:r>
        <w:t>Délia GARBARINI - CAISSE DES DÉPÔTS</w:t>
      </w:r>
    </w:p>
    <w:p w14:paraId="55E82E36" w14:textId="77777777" w:rsidR="00C6698B" w:rsidRDefault="00C6698B" w:rsidP="00C6698B">
      <w:r>
        <w:t>Nicolas</w:t>
      </w:r>
      <w:r>
        <w:tab/>
        <w:t>SCHMITT - BNP PARIBAS</w:t>
      </w:r>
    </w:p>
    <w:p w14:paraId="4741A62F" w14:textId="77777777" w:rsidR="00C6698B" w:rsidRDefault="00C6698B" w:rsidP="00C6698B">
      <w:r>
        <w:t>Yann GOUPIL - CAISSE DES DÉPÔTS</w:t>
      </w:r>
    </w:p>
    <w:p w14:paraId="3C912760" w14:textId="77777777" w:rsidR="00C6698B" w:rsidRDefault="00C6698B" w:rsidP="00C6698B">
      <w:r>
        <w:t>Jean-Philippe SIMONNET - MINISTÈRE DE LA TRANSITION ÉCOLOGIQUE, DE LA BIODIVERSITÉ ET DES NÉGOCIATIONS INTERNATIONALES SUR LE CLIMAT ET LA NATURE</w:t>
      </w:r>
    </w:p>
    <w:p w14:paraId="27A06099" w14:textId="77777777" w:rsidR="00C6698B" w:rsidRDefault="00C6698B" w:rsidP="00C6698B">
      <w:r>
        <w:t>Jimi KELLY - PIERRE FABRE</w:t>
      </w:r>
    </w:p>
    <w:p w14:paraId="4EA69570" w14:textId="77777777" w:rsidR="00C6698B" w:rsidRDefault="00C6698B" w:rsidP="00C6698B">
      <w:r>
        <w:t>Annie STEINMETZ - AG2R LA MONDIALE</w:t>
      </w:r>
    </w:p>
    <w:p w14:paraId="67BFCAF1" w14:textId="77777777" w:rsidR="00C6698B" w:rsidRDefault="00C6698B" w:rsidP="00C6698B">
      <w:r>
        <w:t>Benoît KLEIN - MSA</w:t>
      </w:r>
    </w:p>
    <w:p w14:paraId="71F3ED60" w14:textId="43D976E9" w:rsidR="00C6698B" w:rsidRDefault="00C6698B" w:rsidP="00C6698B">
      <w:r>
        <w:t>Élodie TESSON - CRÉDIT AGRICOLE SA</w:t>
      </w:r>
    </w:p>
    <w:p w14:paraId="7BE4092E" w14:textId="77777777" w:rsidR="000C48CF" w:rsidRDefault="000C48CF" w:rsidP="00DA4697">
      <w:pPr>
        <w:keepNext/>
        <w:keepLines/>
        <w:pageBreakBefore/>
        <w:sectPr w:rsidR="000C48CF" w:rsidSect="000C48CF">
          <w:type w:val="continuous"/>
          <w:pgSz w:w="11906" w:h="16838" w:code="9"/>
          <w:pgMar w:top="1418" w:right="1418" w:bottom="1418" w:left="1418" w:header="709" w:footer="709" w:gutter="0"/>
          <w:pgNumType w:start="1"/>
          <w:cols w:num="2" w:space="708"/>
          <w:docGrid w:linePitch="360"/>
        </w:sectPr>
      </w:pPr>
    </w:p>
    <w:p w14:paraId="604F0E67" w14:textId="77777777" w:rsidR="00782984" w:rsidRPr="00782984" w:rsidRDefault="00612F10" w:rsidP="00DA4697">
      <w:pPr>
        <w:keepNext/>
        <w:keepLines/>
        <w:pageBreakBefore/>
      </w:pPr>
      <w:r>
        <w:lastRenderedPageBreak/>
        <w:t>N</w:t>
      </w:r>
      <w:r w:rsidR="00782984" w:rsidRPr="00782984">
        <w:t>ous remercions également vivement tous les intervenants qui ont nourri la réflexion de notre groupe de travail :</w:t>
      </w:r>
    </w:p>
    <w:p w14:paraId="6E9380B8" w14:textId="77777777" w:rsidR="00D53D7D" w:rsidRDefault="00D53D7D" w:rsidP="00D53D7D">
      <w:pPr>
        <w:pStyle w:val="Paragraphedeliste"/>
        <w:numPr>
          <w:ilvl w:val="0"/>
          <w:numId w:val="2"/>
        </w:numPr>
      </w:pPr>
      <w:r w:rsidRPr="00D53D7D">
        <w:rPr>
          <w:b/>
          <w:bCs/>
        </w:rPr>
        <w:t>Luce Carević</w:t>
      </w:r>
      <w:r w:rsidRPr="00D53D7D">
        <w:t xml:space="preserve">, Directrice des opérations chez Access42 </w:t>
      </w:r>
      <w:r w:rsidR="00F82842" w:rsidRPr="00F82842">
        <w:t xml:space="preserve"> </w:t>
      </w:r>
    </w:p>
    <w:p w14:paraId="33CBD02F" w14:textId="2EB02CDE" w:rsidR="00D53D7D" w:rsidRDefault="00D53D7D" w:rsidP="00D53D7D">
      <w:pPr>
        <w:pStyle w:val="Paragraphedeliste"/>
        <w:numPr>
          <w:ilvl w:val="0"/>
          <w:numId w:val="2"/>
        </w:numPr>
      </w:pPr>
      <w:r w:rsidRPr="00D53D7D">
        <w:rPr>
          <w:b/>
          <w:bCs/>
        </w:rPr>
        <w:t>Yann Goupil</w:t>
      </w:r>
      <w:r w:rsidRPr="00D53D7D">
        <w:t>, Référent accessibilité numérique de l'Établissement Public, Responsable de la conformité RGAA à la DSI</w:t>
      </w:r>
      <w:r>
        <w:t xml:space="preserve"> Caisse des Dépôts, et </w:t>
      </w:r>
      <w:r w:rsidRPr="00D53D7D">
        <w:rPr>
          <w:b/>
          <w:bCs/>
        </w:rPr>
        <w:t>Délia Garbarini</w:t>
      </w:r>
      <w:r w:rsidRPr="00D53D7D">
        <w:t>, Référente et experte accessibilité numérique, Direction Ingénierie Logicielle Pôle Fondations</w:t>
      </w:r>
      <w:r>
        <w:t xml:space="preserve">, </w:t>
      </w:r>
      <w:r w:rsidRPr="00D53D7D">
        <w:t>Caisse des Dépôts</w:t>
      </w:r>
    </w:p>
    <w:p w14:paraId="7648BEB6" w14:textId="2CA2BAE9" w:rsidR="00D53D7D" w:rsidRPr="00D53D7D" w:rsidRDefault="00D53D7D" w:rsidP="00D53D7D">
      <w:pPr>
        <w:pStyle w:val="Paragraphedeliste"/>
        <w:numPr>
          <w:ilvl w:val="0"/>
          <w:numId w:val="2"/>
        </w:numPr>
      </w:pPr>
      <w:r w:rsidRPr="00D53D7D">
        <w:rPr>
          <w:b/>
          <w:bCs/>
        </w:rPr>
        <w:t>Élodie Vuarchex</w:t>
      </w:r>
      <w:r w:rsidRPr="00D53D7D">
        <w:t>, Référente Accessibilité Numérique et Product Owner au sein de CACD2</w:t>
      </w:r>
      <w:r>
        <w:t xml:space="preserve"> et </w:t>
      </w:r>
      <w:r w:rsidRPr="00D53D7D">
        <w:rPr>
          <w:b/>
          <w:bCs/>
        </w:rPr>
        <w:t>Charlotte Danino</w:t>
      </w:r>
      <w:r w:rsidRPr="00D53D7D">
        <w:t xml:space="preserve"> – Sponsor Numérique responsable CACD2 - Head of desig</w:t>
      </w:r>
      <w:r>
        <w:t xml:space="preserve">n - </w:t>
      </w:r>
      <w:r w:rsidRPr="00D53D7D">
        <w:t>Crédit Agricole Conseil et Développement Digital</w:t>
      </w:r>
      <w:r>
        <w:t xml:space="preserve"> (</w:t>
      </w:r>
      <w:r w:rsidRPr="00D53D7D">
        <w:t>CACD2</w:t>
      </w:r>
      <w:r>
        <w:t>)</w:t>
      </w:r>
    </w:p>
    <w:p w14:paraId="68B610ED" w14:textId="2056AD5F" w:rsidR="00D53D7D" w:rsidRDefault="00D53D7D" w:rsidP="00D53D7D">
      <w:pPr>
        <w:pStyle w:val="Paragraphedeliste"/>
        <w:numPr>
          <w:ilvl w:val="0"/>
          <w:numId w:val="2"/>
        </w:numPr>
      </w:pPr>
      <w:r w:rsidRPr="00D53D7D">
        <w:rPr>
          <w:b/>
          <w:bCs/>
        </w:rPr>
        <w:t>Jérémy Bardeau</w:t>
      </w:r>
      <w:r w:rsidRPr="00D53D7D">
        <w:t>, Fondateur et directeur des opération</w:t>
      </w:r>
      <w:r>
        <w:t xml:space="preserve">, et </w:t>
      </w:r>
      <w:r w:rsidRPr="00D53D7D">
        <w:rPr>
          <w:b/>
          <w:bCs/>
        </w:rPr>
        <w:t>Patrick Ouvrard</w:t>
      </w:r>
      <w:r w:rsidRPr="00D53D7D">
        <w:t>, Directeur commercial,</w:t>
      </w:r>
      <w:r>
        <w:t xml:space="preserve"> </w:t>
      </w:r>
      <w:proofErr w:type="spellStart"/>
      <w:r>
        <w:t>Ethic</w:t>
      </w:r>
      <w:proofErr w:type="spellEnd"/>
      <w:r>
        <w:t xml:space="preserve"> First</w:t>
      </w:r>
    </w:p>
    <w:p w14:paraId="3A7BEBBF" w14:textId="4BEC3A46" w:rsidR="00D53D7D" w:rsidRDefault="00D53D7D" w:rsidP="00D53D7D">
      <w:pPr>
        <w:pStyle w:val="Paragraphedeliste"/>
        <w:numPr>
          <w:ilvl w:val="0"/>
          <w:numId w:val="2"/>
        </w:numPr>
      </w:pPr>
      <w:r w:rsidRPr="006B1F4D">
        <w:rPr>
          <w:b/>
          <w:bCs/>
        </w:rPr>
        <w:t>Marie-Laure Bouthière</w:t>
      </w:r>
      <w:r w:rsidRPr="00D53D7D">
        <w:t xml:space="preserve">, </w:t>
      </w:r>
      <w:r w:rsidR="006B1F4D">
        <w:t>C</w:t>
      </w:r>
      <w:r w:rsidRPr="00D53D7D">
        <w:t>hargée de la direction du programme Handi et Numérique</w:t>
      </w:r>
      <w:r w:rsidRPr="006B1F4D">
        <w:rPr>
          <w:b/>
          <w:bCs/>
        </w:rPr>
        <w:t>, Jean-Philippe Simonnet</w:t>
      </w:r>
      <w:r w:rsidRPr="00D53D7D">
        <w:t xml:space="preserve">, Chargé de mission hospitalité numérique, </w:t>
      </w:r>
      <w:r w:rsidRPr="006B1F4D">
        <w:rPr>
          <w:b/>
          <w:bCs/>
        </w:rPr>
        <w:t>Geoffrey Arthaud</w:t>
      </w:r>
      <w:r w:rsidRPr="00D53D7D">
        <w:t xml:space="preserve">, </w:t>
      </w:r>
      <w:r w:rsidR="006B1F4D">
        <w:t>C</w:t>
      </w:r>
      <w:r w:rsidRPr="00D53D7D">
        <w:t xml:space="preserve">hef du groupe Méthodes, </w:t>
      </w:r>
      <w:r w:rsidRPr="006B1F4D">
        <w:rPr>
          <w:b/>
          <w:bCs/>
        </w:rPr>
        <w:t>Laetitia Legrand</w:t>
      </w:r>
      <w:r w:rsidRPr="00D53D7D">
        <w:t>, UX/UI designer</w:t>
      </w:r>
      <w:r w:rsidR="006B1F4D">
        <w:t xml:space="preserve"> au sein de la </w:t>
      </w:r>
      <w:r w:rsidR="006B1F4D" w:rsidRPr="006B1F4D">
        <w:t>Direction du numérique des ministères de la Transition écologique et Aménagement des territoires</w:t>
      </w:r>
    </w:p>
    <w:p w14:paraId="3D8C51E0" w14:textId="31B788B4" w:rsidR="006B1F4D" w:rsidRDefault="006B1F4D" w:rsidP="00D53D7D">
      <w:pPr>
        <w:pStyle w:val="Paragraphedeliste"/>
        <w:numPr>
          <w:ilvl w:val="0"/>
          <w:numId w:val="2"/>
        </w:numPr>
      </w:pPr>
      <w:r w:rsidRPr="006B1F4D">
        <w:rPr>
          <w:b/>
          <w:bCs/>
        </w:rPr>
        <w:t>Fabien Métivet</w:t>
      </w:r>
      <w:r w:rsidRPr="006B1F4D">
        <w:t xml:space="preserve">, </w:t>
      </w:r>
      <w:r w:rsidR="003D27CD">
        <w:t>Responsable du Programme</w:t>
      </w:r>
      <w:r w:rsidRPr="006B1F4D">
        <w:t xml:space="preserve"> Numérique Responsable, Crédit Agricole</w:t>
      </w:r>
      <w:r>
        <w:t xml:space="preserve"> S</w:t>
      </w:r>
      <w:r w:rsidR="003D27CD">
        <w:t>.</w:t>
      </w:r>
      <w:r>
        <w:t>A</w:t>
      </w:r>
      <w:r w:rsidR="003D27CD">
        <w:t>.</w:t>
      </w:r>
    </w:p>
    <w:p w14:paraId="0E13CB76" w14:textId="0FA3CF5B" w:rsidR="006B1F4D" w:rsidRPr="00D53D7D" w:rsidRDefault="006B1F4D" w:rsidP="00D53D7D">
      <w:pPr>
        <w:pStyle w:val="Paragraphedeliste"/>
        <w:numPr>
          <w:ilvl w:val="0"/>
          <w:numId w:val="2"/>
        </w:numPr>
      </w:pPr>
      <w:r w:rsidRPr="006B1F4D">
        <w:rPr>
          <w:b/>
          <w:bCs/>
        </w:rPr>
        <w:t>Jamshid Kohandel</w:t>
      </w:r>
      <w:r w:rsidRPr="006B1F4D">
        <w:t>, Chargé de mission Accessibilité à la DINUM</w:t>
      </w:r>
    </w:p>
    <w:p w14:paraId="42233E20" w14:textId="0DE04233" w:rsidR="00F82842" w:rsidRPr="00F82842" w:rsidRDefault="00D53D7D" w:rsidP="00F82842">
      <w:pPr>
        <w:pStyle w:val="Paragraphedeliste"/>
        <w:numPr>
          <w:ilvl w:val="0"/>
          <w:numId w:val="2"/>
        </w:numPr>
      </w:pPr>
      <w:r w:rsidRPr="006B1F4D">
        <w:rPr>
          <w:b/>
          <w:bCs/>
        </w:rPr>
        <w:t>Benoit Klein</w:t>
      </w:r>
      <w:r w:rsidRPr="00D53D7D">
        <w:t xml:space="preserve">, Référent Accessibilité Numérique, </w:t>
      </w:r>
      <w:proofErr w:type="spellStart"/>
      <w:r w:rsidRPr="00D53D7D">
        <w:t>iMSA</w:t>
      </w:r>
      <w:proofErr w:type="spellEnd"/>
      <w:r w:rsidRPr="00D53D7D">
        <w:t xml:space="preserve"> </w:t>
      </w:r>
    </w:p>
    <w:p w14:paraId="36EC8C43" w14:textId="3CA76089" w:rsidR="00782984" w:rsidRDefault="00782984" w:rsidP="006B1F4D">
      <w:pPr>
        <w:pStyle w:val="Paragraphedeliste"/>
      </w:pPr>
    </w:p>
    <w:p w14:paraId="2BCDA6EE" w14:textId="0809AEFC" w:rsidR="00782984" w:rsidRPr="00782984" w:rsidRDefault="00782984" w:rsidP="00782984">
      <w:r w:rsidRPr="00782984">
        <w:t xml:space="preserve">Ce document a été construit et rédigé par </w:t>
      </w:r>
      <w:r w:rsidR="006B1F4D" w:rsidRPr="00753226">
        <w:rPr>
          <w:b/>
          <w:bCs/>
        </w:rPr>
        <w:t>Flora FISCHER</w:t>
      </w:r>
      <w:r w:rsidR="006B1F4D">
        <w:t>, Directrice de mission, déléguée au Numérique Responsable</w:t>
      </w:r>
      <w:r w:rsidR="00753226">
        <w:t xml:space="preserve"> </w:t>
      </w:r>
      <w:r w:rsidR="006B1F4D">
        <w:t xml:space="preserve">et </w:t>
      </w:r>
      <w:r w:rsidR="006B1F4D" w:rsidRPr="00753226">
        <w:rPr>
          <w:b/>
          <w:bCs/>
        </w:rPr>
        <w:t xml:space="preserve">Pierre </w:t>
      </w:r>
      <w:r w:rsidR="00753226" w:rsidRPr="00753226">
        <w:rPr>
          <w:b/>
          <w:bCs/>
        </w:rPr>
        <w:t>SKRZYPCZAK</w:t>
      </w:r>
      <w:r w:rsidR="00753226">
        <w:t xml:space="preserve">, Chargé de mission Senior, </w:t>
      </w:r>
      <w:r w:rsidR="006B1F4D">
        <w:t>au Cigref</w:t>
      </w:r>
      <w:r w:rsidR="00753226">
        <w:t>.</w:t>
      </w:r>
    </w:p>
    <w:p w14:paraId="0B89C1F8" w14:textId="77777777" w:rsidR="00276234" w:rsidRPr="00276234" w:rsidRDefault="00276234" w:rsidP="00276234"/>
    <w:p w14:paraId="3EE301D7" w14:textId="77777777" w:rsidR="003610E9" w:rsidRPr="006A501E" w:rsidRDefault="006A0726" w:rsidP="00CF2255">
      <w:pPr>
        <w:pStyle w:val="En-ttedetabledesmatires"/>
        <w:pageBreakBefore/>
      </w:pPr>
      <w:bookmarkStart w:id="3" w:name="_Toc117159542"/>
      <w:r>
        <w:lastRenderedPageBreak/>
        <w:t>TABLE DES MATIÈRES</w:t>
      </w:r>
      <w:bookmarkEnd w:id="3"/>
    </w:p>
    <w:p w14:paraId="1FEA1E0F" w14:textId="2398EA5D" w:rsidR="008D7E35" w:rsidRDefault="004C7112">
      <w:pPr>
        <w:pStyle w:val="TM1"/>
        <w:rPr>
          <w:rFonts w:eastAsiaTheme="minorEastAsia"/>
          <w:b w:val="0"/>
          <w:caps w:val="0"/>
          <w:color w:val="auto"/>
          <w:kern w:val="2"/>
          <w:sz w:val="24"/>
          <w:szCs w:val="24"/>
          <w:lang w:val="fr-FR" w:eastAsia="fr-FR"/>
          <w14:ligatures w14:val="standardContextual"/>
        </w:rPr>
      </w:pPr>
      <w:r>
        <w:rPr>
          <w:rFonts w:eastAsia="Times New Roman" w:cs="Times New Roman"/>
          <w:b w:val="0"/>
          <w:caps w:val="0"/>
          <w:color w:val="6C0A1A"/>
          <w:sz w:val="32"/>
          <w:szCs w:val="32"/>
        </w:rPr>
        <w:fldChar w:fldCharType="begin"/>
      </w:r>
      <w:r>
        <w:rPr>
          <w:rFonts w:eastAsia="Times New Roman" w:cs="Times New Roman"/>
          <w:b w:val="0"/>
          <w:caps w:val="0"/>
          <w:color w:val="6C0A1A"/>
          <w:sz w:val="32"/>
          <w:szCs w:val="32"/>
        </w:rPr>
        <w:instrText xml:space="preserve"> TOC \o "1-3" \h \z \t "à retenir;2" </w:instrText>
      </w:r>
      <w:r>
        <w:rPr>
          <w:rFonts w:eastAsia="Times New Roman" w:cs="Times New Roman"/>
          <w:b w:val="0"/>
          <w:caps w:val="0"/>
          <w:color w:val="6C0A1A"/>
          <w:sz w:val="32"/>
          <w:szCs w:val="32"/>
        </w:rPr>
        <w:fldChar w:fldCharType="separate"/>
      </w:r>
      <w:hyperlink w:anchor="_Toc230076992" w:history="1">
        <w:r w:rsidR="008D7E35" w:rsidRPr="00594ED3">
          <w:rPr>
            <w:rStyle w:val="Lienhypertexte"/>
          </w:rPr>
          <w:t>INTRODUCTION</w:t>
        </w:r>
        <w:r w:rsidR="008D7E35">
          <w:rPr>
            <w:webHidden/>
          </w:rPr>
          <w:tab/>
        </w:r>
        <w:r w:rsidR="008D7E35">
          <w:rPr>
            <w:webHidden/>
          </w:rPr>
          <w:fldChar w:fldCharType="begin"/>
        </w:r>
        <w:r w:rsidR="008D7E35">
          <w:rPr>
            <w:webHidden/>
          </w:rPr>
          <w:instrText xml:space="preserve"> PAGEREF _Toc230076992 \h </w:instrText>
        </w:r>
        <w:r w:rsidR="008D7E35">
          <w:rPr>
            <w:webHidden/>
          </w:rPr>
        </w:r>
        <w:r w:rsidR="008D7E35">
          <w:rPr>
            <w:webHidden/>
          </w:rPr>
          <w:fldChar w:fldCharType="separate"/>
        </w:r>
        <w:r w:rsidR="005C5DEE">
          <w:rPr>
            <w:webHidden/>
          </w:rPr>
          <w:t>9</w:t>
        </w:r>
        <w:r w:rsidR="008D7E35">
          <w:rPr>
            <w:webHidden/>
          </w:rPr>
          <w:fldChar w:fldCharType="end"/>
        </w:r>
      </w:hyperlink>
    </w:p>
    <w:p w14:paraId="738FE56F" w14:textId="7914A0A2" w:rsidR="008D7E35" w:rsidRDefault="008D7E35">
      <w:pPr>
        <w:pStyle w:val="TM1"/>
        <w:rPr>
          <w:rFonts w:eastAsiaTheme="minorEastAsia"/>
          <w:b w:val="0"/>
          <w:caps w:val="0"/>
          <w:color w:val="auto"/>
          <w:kern w:val="2"/>
          <w:sz w:val="24"/>
          <w:szCs w:val="24"/>
          <w:lang w:val="fr-FR" w:eastAsia="fr-FR"/>
          <w14:ligatures w14:val="standardContextual"/>
        </w:rPr>
      </w:pPr>
      <w:hyperlink w:anchor="_Toc230076993" w:history="1">
        <w:r w:rsidRPr="00594ED3">
          <w:rPr>
            <w:rStyle w:val="Lienhypertexte"/>
          </w:rPr>
          <w:t>1</w:t>
        </w:r>
        <w:r>
          <w:rPr>
            <w:rFonts w:eastAsiaTheme="minorEastAsia"/>
            <w:b w:val="0"/>
            <w:caps w:val="0"/>
            <w:color w:val="auto"/>
            <w:kern w:val="2"/>
            <w:sz w:val="24"/>
            <w:szCs w:val="24"/>
            <w:lang w:val="fr-FR" w:eastAsia="fr-FR"/>
            <w14:ligatures w14:val="standardContextual"/>
          </w:rPr>
          <w:tab/>
        </w:r>
        <w:r w:rsidRPr="00594ED3">
          <w:rPr>
            <w:rStyle w:val="Lienhypertexte"/>
          </w:rPr>
          <w:t>Contexte et enjeux de l’accessibilité numérique</w:t>
        </w:r>
        <w:r>
          <w:rPr>
            <w:webHidden/>
          </w:rPr>
          <w:tab/>
        </w:r>
        <w:r>
          <w:rPr>
            <w:webHidden/>
          </w:rPr>
          <w:fldChar w:fldCharType="begin"/>
        </w:r>
        <w:r>
          <w:rPr>
            <w:webHidden/>
          </w:rPr>
          <w:instrText xml:space="preserve"> PAGEREF _Toc230076993 \h </w:instrText>
        </w:r>
        <w:r>
          <w:rPr>
            <w:webHidden/>
          </w:rPr>
        </w:r>
        <w:r>
          <w:rPr>
            <w:webHidden/>
          </w:rPr>
          <w:fldChar w:fldCharType="separate"/>
        </w:r>
        <w:r w:rsidR="005C5DEE">
          <w:rPr>
            <w:webHidden/>
          </w:rPr>
          <w:t>11</w:t>
        </w:r>
        <w:r>
          <w:rPr>
            <w:webHidden/>
          </w:rPr>
          <w:fldChar w:fldCharType="end"/>
        </w:r>
      </w:hyperlink>
    </w:p>
    <w:p w14:paraId="7261D82B" w14:textId="79DE6B6A" w:rsidR="008D7E35" w:rsidRDefault="008D7E35">
      <w:pPr>
        <w:pStyle w:val="TM2"/>
        <w:rPr>
          <w:rFonts w:cstheme="minorBidi"/>
          <w:color w:val="auto"/>
          <w:kern w:val="2"/>
          <w:sz w:val="24"/>
          <w:szCs w:val="24"/>
          <w14:ligatures w14:val="standardContextual"/>
        </w:rPr>
      </w:pPr>
      <w:hyperlink w:anchor="_Toc230076994" w:history="1">
        <w:r w:rsidRPr="00594ED3">
          <w:rPr>
            <w:rStyle w:val="Lienhypertexte"/>
          </w:rPr>
          <w:t>1.1</w:t>
        </w:r>
        <w:r>
          <w:rPr>
            <w:rFonts w:cstheme="minorBidi"/>
            <w:color w:val="auto"/>
            <w:kern w:val="2"/>
            <w:sz w:val="24"/>
            <w:szCs w:val="24"/>
            <w14:ligatures w14:val="standardContextual"/>
          </w:rPr>
          <w:tab/>
        </w:r>
        <w:r w:rsidRPr="00594ED3">
          <w:rPr>
            <w:rStyle w:val="Lienhypertexte"/>
          </w:rPr>
          <w:t>Définition et compréhension du cadre légal</w:t>
        </w:r>
        <w:r>
          <w:rPr>
            <w:webHidden/>
          </w:rPr>
          <w:tab/>
        </w:r>
        <w:r>
          <w:rPr>
            <w:webHidden/>
          </w:rPr>
          <w:fldChar w:fldCharType="begin"/>
        </w:r>
        <w:r>
          <w:rPr>
            <w:webHidden/>
          </w:rPr>
          <w:instrText xml:space="preserve"> PAGEREF _Toc230076994 \h </w:instrText>
        </w:r>
        <w:r>
          <w:rPr>
            <w:webHidden/>
          </w:rPr>
        </w:r>
        <w:r>
          <w:rPr>
            <w:webHidden/>
          </w:rPr>
          <w:fldChar w:fldCharType="separate"/>
        </w:r>
        <w:r w:rsidR="005C5DEE">
          <w:rPr>
            <w:webHidden/>
          </w:rPr>
          <w:t>11</w:t>
        </w:r>
        <w:r>
          <w:rPr>
            <w:webHidden/>
          </w:rPr>
          <w:fldChar w:fldCharType="end"/>
        </w:r>
      </w:hyperlink>
    </w:p>
    <w:p w14:paraId="2EAEEBC6" w14:textId="6D2E92BA" w:rsidR="008D7E35" w:rsidRDefault="008D7E35">
      <w:pPr>
        <w:pStyle w:val="TM3"/>
        <w:rPr>
          <w:rFonts w:cstheme="minorBidi"/>
          <w:color w:val="auto"/>
          <w:kern w:val="2"/>
          <w:sz w:val="24"/>
          <w:szCs w:val="24"/>
          <w14:ligatures w14:val="standardContextual"/>
        </w:rPr>
      </w:pPr>
      <w:hyperlink w:anchor="_Toc230076995" w:history="1">
        <w:r w:rsidRPr="00594ED3">
          <w:rPr>
            <w:rStyle w:val="Lienhypertexte"/>
          </w:rPr>
          <w:t>1.1.1</w:t>
        </w:r>
        <w:r>
          <w:rPr>
            <w:rFonts w:cstheme="minorBidi"/>
            <w:color w:val="auto"/>
            <w:kern w:val="2"/>
            <w:sz w:val="24"/>
            <w:szCs w:val="24"/>
            <w14:ligatures w14:val="standardContextual"/>
          </w:rPr>
          <w:tab/>
        </w:r>
        <w:r w:rsidRPr="00594ED3">
          <w:rPr>
            <w:rStyle w:val="Lienhypertexte"/>
          </w:rPr>
          <w:t>Définition</w:t>
        </w:r>
        <w:r>
          <w:rPr>
            <w:webHidden/>
          </w:rPr>
          <w:tab/>
        </w:r>
        <w:r>
          <w:rPr>
            <w:webHidden/>
          </w:rPr>
          <w:fldChar w:fldCharType="begin"/>
        </w:r>
        <w:r>
          <w:rPr>
            <w:webHidden/>
          </w:rPr>
          <w:instrText xml:space="preserve"> PAGEREF _Toc230076995 \h </w:instrText>
        </w:r>
        <w:r>
          <w:rPr>
            <w:webHidden/>
          </w:rPr>
        </w:r>
        <w:r>
          <w:rPr>
            <w:webHidden/>
          </w:rPr>
          <w:fldChar w:fldCharType="separate"/>
        </w:r>
        <w:r w:rsidR="005C5DEE">
          <w:rPr>
            <w:webHidden/>
          </w:rPr>
          <w:t>11</w:t>
        </w:r>
        <w:r>
          <w:rPr>
            <w:webHidden/>
          </w:rPr>
          <w:fldChar w:fldCharType="end"/>
        </w:r>
      </w:hyperlink>
    </w:p>
    <w:p w14:paraId="0797D20A" w14:textId="55549BBD" w:rsidR="008D7E35" w:rsidRDefault="008D7E35">
      <w:pPr>
        <w:pStyle w:val="TM3"/>
        <w:rPr>
          <w:rFonts w:cstheme="minorBidi"/>
          <w:color w:val="auto"/>
          <w:kern w:val="2"/>
          <w:sz w:val="24"/>
          <w:szCs w:val="24"/>
          <w14:ligatures w14:val="standardContextual"/>
        </w:rPr>
      </w:pPr>
      <w:hyperlink w:anchor="_Toc230076996" w:history="1">
        <w:r w:rsidRPr="00594ED3">
          <w:rPr>
            <w:rStyle w:val="Lienhypertexte"/>
          </w:rPr>
          <w:t>1.1.2</w:t>
        </w:r>
        <w:r>
          <w:rPr>
            <w:rFonts w:cstheme="minorBidi"/>
            <w:color w:val="auto"/>
            <w:kern w:val="2"/>
            <w:sz w:val="24"/>
            <w:szCs w:val="24"/>
            <w14:ligatures w14:val="standardContextual"/>
          </w:rPr>
          <w:tab/>
        </w:r>
        <w:r w:rsidRPr="00594ED3">
          <w:rPr>
            <w:rStyle w:val="Lienhypertexte"/>
          </w:rPr>
          <w:t>Comprendre le cadre légal</w:t>
        </w:r>
        <w:r>
          <w:rPr>
            <w:webHidden/>
          </w:rPr>
          <w:tab/>
        </w:r>
        <w:r>
          <w:rPr>
            <w:webHidden/>
          </w:rPr>
          <w:fldChar w:fldCharType="begin"/>
        </w:r>
        <w:r>
          <w:rPr>
            <w:webHidden/>
          </w:rPr>
          <w:instrText xml:space="preserve"> PAGEREF _Toc230076996 \h </w:instrText>
        </w:r>
        <w:r>
          <w:rPr>
            <w:webHidden/>
          </w:rPr>
        </w:r>
        <w:r>
          <w:rPr>
            <w:webHidden/>
          </w:rPr>
          <w:fldChar w:fldCharType="separate"/>
        </w:r>
        <w:r w:rsidR="005C5DEE">
          <w:rPr>
            <w:webHidden/>
          </w:rPr>
          <w:t>12</w:t>
        </w:r>
        <w:r>
          <w:rPr>
            <w:webHidden/>
          </w:rPr>
          <w:fldChar w:fldCharType="end"/>
        </w:r>
      </w:hyperlink>
    </w:p>
    <w:p w14:paraId="66618B91" w14:textId="19AAF14E" w:rsidR="008D7E35" w:rsidRDefault="008D7E35">
      <w:pPr>
        <w:pStyle w:val="TM3"/>
        <w:rPr>
          <w:rFonts w:cstheme="minorBidi"/>
          <w:color w:val="auto"/>
          <w:kern w:val="2"/>
          <w:sz w:val="24"/>
          <w:szCs w:val="24"/>
          <w14:ligatures w14:val="standardContextual"/>
        </w:rPr>
      </w:pPr>
      <w:hyperlink w:anchor="_Toc230076997" w:history="1">
        <w:r w:rsidRPr="00594ED3">
          <w:rPr>
            <w:rStyle w:val="Lienhypertexte"/>
          </w:rPr>
          <w:t>1.1.3</w:t>
        </w:r>
        <w:r>
          <w:rPr>
            <w:rFonts w:cstheme="minorBidi"/>
            <w:color w:val="auto"/>
            <w:kern w:val="2"/>
            <w:sz w:val="24"/>
            <w:szCs w:val="24"/>
            <w14:ligatures w14:val="standardContextual"/>
          </w:rPr>
          <w:tab/>
        </w:r>
        <w:r w:rsidRPr="00594ED3">
          <w:rPr>
            <w:rStyle w:val="Lienhypertexte"/>
          </w:rPr>
          <w:t>Qui est concerné ?</w:t>
        </w:r>
        <w:r>
          <w:rPr>
            <w:webHidden/>
          </w:rPr>
          <w:tab/>
        </w:r>
        <w:r>
          <w:rPr>
            <w:webHidden/>
          </w:rPr>
          <w:fldChar w:fldCharType="begin"/>
        </w:r>
        <w:r>
          <w:rPr>
            <w:webHidden/>
          </w:rPr>
          <w:instrText xml:space="preserve"> PAGEREF _Toc230076997 \h </w:instrText>
        </w:r>
        <w:r>
          <w:rPr>
            <w:webHidden/>
          </w:rPr>
        </w:r>
        <w:r>
          <w:rPr>
            <w:webHidden/>
          </w:rPr>
          <w:fldChar w:fldCharType="separate"/>
        </w:r>
        <w:r w:rsidR="005C5DEE">
          <w:rPr>
            <w:webHidden/>
          </w:rPr>
          <w:t>13</w:t>
        </w:r>
        <w:r>
          <w:rPr>
            <w:webHidden/>
          </w:rPr>
          <w:fldChar w:fldCharType="end"/>
        </w:r>
      </w:hyperlink>
    </w:p>
    <w:p w14:paraId="473433E2" w14:textId="64631024" w:rsidR="008D7E35" w:rsidRDefault="008D7E35">
      <w:pPr>
        <w:pStyle w:val="TM3"/>
        <w:rPr>
          <w:rFonts w:cstheme="minorBidi"/>
          <w:color w:val="auto"/>
          <w:kern w:val="2"/>
          <w:sz w:val="24"/>
          <w:szCs w:val="24"/>
          <w14:ligatures w14:val="standardContextual"/>
        </w:rPr>
      </w:pPr>
      <w:hyperlink w:anchor="_Toc230076998" w:history="1">
        <w:r w:rsidRPr="00594ED3">
          <w:rPr>
            <w:rStyle w:val="Lienhypertexte"/>
          </w:rPr>
          <w:t>1.1.4</w:t>
        </w:r>
        <w:r>
          <w:rPr>
            <w:rFonts w:cstheme="minorBidi"/>
            <w:color w:val="auto"/>
            <w:kern w:val="2"/>
            <w:sz w:val="24"/>
            <w:szCs w:val="24"/>
            <w14:ligatures w14:val="standardContextual"/>
          </w:rPr>
          <w:tab/>
        </w:r>
        <w:r w:rsidRPr="00594ED3">
          <w:rPr>
            <w:rStyle w:val="Lienhypertexte"/>
          </w:rPr>
          <w:t>Quel calendrier pour la mise en conformité À l’EAA ?</w:t>
        </w:r>
        <w:r>
          <w:rPr>
            <w:webHidden/>
          </w:rPr>
          <w:tab/>
        </w:r>
        <w:r>
          <w:rPr>
            <w:webHidden/>
          </w:rPr>
          <w:fldChar w:fldCharType="begin"/>
        </w:r>
        <w:r>
          <w:rPr>
            <w:webHidden/>
          </w:rPr>
          <w:instrText xml:space="preserve"> PAGEREF _Toc230076998 \h </w:instrText>
        </w:r>
        <w:r>
          <w:rPr>
            <w:webHidden/>
          </w:rPr>
        </w:r>
        <w:r>
          <w:rPr>
            <w:webHidden/>
          </w:rPr>
          <w:fldChar w:fldCharType="separate"/>
        </w:r>
        <w:r w:rsidR="005C5DEE">
          <w:rPr>
            <w:webHidden/>
          </w:rPr>
          <w:t>14</w:t>
        </w:r>
        <w:r>
          <w:rPr>
            <w:webHidden/>
          </w:rPr>
          <w:fldChar w:fldCharType="end"/>
        </w:r>
      </w:hyperlink>
    </w:p>
    <w:p w14:paraId="38B748C2" w14:textId="380FEC04" w:rsidR="008D7E35" w:rsidRDefault="008D7E35">
      <w:pPr>
        <w:pStyle w:val="TM3"/>
        <w:rPr>
          <w:rFonts w:cstheme="minorBidi"/>
          <w:color w:val="auto"/>
          <w:kern w:val="2"/>
          <w:sz w:val="24"/>
          <w:szCs w:val="24"/>
          <w14:ligatures w14:val="standardContextual"/>
        </w:rPr>
      </w:pPr>
      <w:hyperlink w:anchor="_Toc230076999" w:history="1">
        <w:r w:rsidRPr="00594ED3">
          <w:rPr>
            <w:rStyle w:val="Lienhypertexte"/>
          </w:rPr>
          <w:t>1.1.5</w:t>
        </w:r>
        <w:r>
          <w:rPr>
            <w:rFonts w:cstheme="minorBidi"/>
            <w:color w:val="auto"/>
            <w:kern w:val="2"/>
            <w:sz w:val="24"/>
            <w:szCs w:val="24"/>
            <w14:ligatures w14:val="standardContextual"/>
          </w:rPr>
          <w:tab/>
        </w:r>
        <w:r w:rsidRPr="00594ED3">
          <w:rPr>
            <w:rStyle w:val="Lienhypertexte"/>
          </w:rPr>
          <w:t>Les sanctions</w:t>
        </w:r>
        <w:r>
          <w:rPr>
            <w:webHidden/>
          </w:rPr>
          <w:tab/>
        </w:r>
        <w:r>
          <w:rPr>
            <w:webHidden/>
          </w:rPr>
          <w:fldChar w:fldCharType="begin"/>
        </w:r>
        <w:r>
          <w:rPr>
            <w:webHidden/>
          </w:rPr>
          <w:instrText xml:space="preserve"> PAGEREF _Toc230076999 \h </w:instrText>
        </w:r>
        <w:r>
          <w:rPr>
            <w:webHidden/>
          </w:rPr>
        </w:r>
        <w:r>
          <w:rPr>
            <w:webHidden/>
          </w:rPr>
          <w:fldChar w:fldCharType="separate"/>
        </w:r>
        <w:r w:rsidR="005C5DEE">
          <w:rPr>
            <w:webHidden/>
          </w:rPr>
          <w:t>15</w:t>
        </w:r>
        <w:r>
          <w:rPr>
            <w:webHidden/>
          </w:rPr>
          <w:fldChar w:fldCharType="end"/>
        </w:r>
      </w:hyperlink>
    </w:p>
    <w:p w14:paraId="6A6F0447" w14:textId="5E9634B5" w:rsidR="008D7E35" w:rsidRDefault="008D7E35">
      <w:pPr>
        <w:pStyle w:val="TM2"/>
        <w:rPr>
          <w:rFonts w:cstheme="minorBidi"/>
          <w:color w:val="auto"/>
          <w:kern w:val="2"/>
          <w:sz w:val="24"/>
          <w:szCs w:val="24"/>
          <w14:ligatures w14:val="standardContextual"/>
        </w:rPr>
      </w:pPr>
      <w:hyperlink w:anchor="_Toc230077000" w:history="1">
        <w:r w:rsidRPr="00594ED3">
          <w:rPr>
            <w:rStyle w:val="Lienhypertexte"/>
          </w:rPr>
          <w:t>1.2</w:t>
        </w:r>
        <w:r>
          <w:rPr>
            <w:rFonts w:cstheme="minorBidi"/>
            <w:color w:val="auto"/>
            <w:kern w:val="2"/>
            <w:sz w:val="24"/>
            <w:szCs w:val="24"/>
            <w14:ligatures w14:val="standardContextual"/>
          </w:rPr>
          <w:tab/>
        </w:r>
        <w:r w:rsidRPr="00594ED3">
          <w:rPr>
            <w:rStyle w:val="Lienhypertexte"/>
          </w:rPr>
          <w:t>Un enjeu stratégique et économique</w:t>
        </w:r>
        <w:r>
          <w:rPr>
            <w:webHidden/>
          </w:rPr>
          <w:tab/>
        </w:r>
        <w:r>
          <w:rPr>
            <w:webHidden/>
          </w:rPr>
          <w:fldChar w:fldCharType="begin"/>
        </w:r>
        <w:r>
          <w:rPr>
            <w:webHidden/>
          </w:rPr>
          <w:instrText xml:space="preserve"> PAGEREF _Toc230077000 \h </w:instrText>
        </w:r>
        <w:r>
          <w:rPr>
            <w:webHidden/>
          </w:rPr>
        </w:r>
        <w:r>
          <w:rPr>
            <w:webHidden/>
          </w:rPr>
          <w:fldChar w:fldCharType="separate"/>
        </w:r>
        <w:r w:rsidR="005C5DEE">
          <w:rPr>
            <w:webHidden/>
          </w:rPr>
          <w:t>16</w:t>
        </w:r>
        <w:r>
          <w:rPr>
            <w:webHidden/>
          </w:rPr>
          <w:fldChar w:fldCharType="end"/>
        </w:r>
      </w:hyperlink>
    </w:p>
    <w:p w14:paraId="400414C6" w14:textId="32D45FDE" w:rsidR="008D7E35" w:rsidRDefault="008D7E35">
      <w:pPr>
        <w:pStyle w:val="TM2"/>
        <w:rPr>
          <w:rFonts w:cstheme="minorBidi"/>
          <w:color w:val="auto"/>
          <w:kern w:val="2"/>
          <w:sz w:val="24"/>
          <w:szCs w:val="24"/>
          <w14:ligatures w14:val="standardContextual"/>
        </w:rPr>
      </w:pPr>
      <w:hyperlink w:anchor="_Toc230077001" w:history="1">
        <w:r w:rsidRPr="00594ED3">
          <w:rPr>
            <w:rStyle w:val="Lienhypertexte"/>
          </w:rPr>
          <w:t>1.3</w:t>
        </w:r>
        <w:r>
          <w:rPr>
            <w:rFonts w:cstheme="minorBidi"/>
            <w:color w:val="auto"/>
            <w:kern w:val="2"/>
            <w:sz w:val="24"/>
            <w:szCs w:val="24"/>
            <w14:ligatures w14:val="standardContextual"/>
          </w:rPr>
          <w:tab/>
        </w:r>
        <w:r w:rsidRPr="00594ED3">
          <w:rPr>
            <w:rStyle w:val="Lienhypertexte"/>
          </w:rPr>
          <w:t>État des lieux dans les grandes organisations</w:t>
        </w:r>
        <w:r>
          <w:rPr>
            <w:webHidden/>
          </w:rPr>
          <w:tab/>
        </w:r>
        <w:r>
          <w:rPr>
            <w:webHidden/>
          </w:rPr>
          <w:fldChar w:fldCharType="begin"/>
        </w:r>
        <w:r>
          <w:rPr>
            <w:webHidden/>
          </w:rPr>
          <w:instrText xml:space="preserve"> PAGEREF _Toc230077001 \h </w:instrText>
        </w:r>
        <w:r>
          <w:rPr>
            <w:webHidden/>
          </w:rPr>
        </w:r>
        <w:r>
          <w:rPr>
            <w:webHidden/>
          </w:rPr>
          <w:fldChar w:fldCharType="separate"/>
        </w:r>
        <w:r w:rsidR="005C5DEE">
          <w:rPr>
            <w:webHidden/>
          </w:rPr>
          <w:t>16</w:t>
        </w:r>
        <w:r>
          <w:rPr>
            <w:webHidden/>
          </w:rPr>
          <w:fldChar w:fldCharType="end"/>
        </w:r>
      </w:hyperlink>
    </w:p>
    <w:p w14:paraId="779DC8DE" w14:textId="76D3C06C" w:rsidR="008D7E35" w:rsidRDefault="008D7E35">
      <w:pPr>
        <w:pStyle w:val="TM3"/>
        <w:rPr>
          <w:rFonts w:cstheme="minorBidi"/>
          <w:color w:val="auto"/>
          <w:kern w:val="2"/>
          <w:sz w:val="24"/>
          <w:szCs w:val="24"/>
          <w14:ligatures w14:val="standardContextual"/>
        </w:rPr>
      </w:pPr>
      <w:hyperlink w:anchor="_Toc230077002" w:history="1">
        <w:r w:rsidRPr="00594ED3">
          <w:rPr>
            <w:rStyle w:val="Lienhypertexte"/>
          </w:rPr>
          <w:t>1.3.1</w:t>
        </w:r>
        <w:r>
          <w:rPr>
            <w:rFonts w:cstheme="minorBidi"/>
            <w:color w:val="auto"/>
            <w:kern w:val="2"/>
            <w:sz w:val="24"/>
            <w:szCs w:val="24"/>
            <w14:ligatures w14:val="standardContextual"/>
          </w:rPr>
          <w:tab/>
        </w:r>
        <w:r w:rsidRPr="00594ED3">
          <w:rPr>
            <w:rStyle w:val="Lienhypertexte"/>
          </w:rPr>
          <w:t>Gouvernance et transformation d’entreprise</w:t>
        </w:r>
        <w:r>
          <w:rPr>
            <w:webHidden/>
          </w:rPr>
          <w:tab/>
        </w:r>
        <w:r>
          <w:rPr>
            <w:webHidden/>
          </w:rPr>
          <w:fldChar w:fldCharType="begin"/>
        </w:r>
        <w:r>
          <w:rPr>
            <w:webHidden/>
          </w:rPr>
          <w:instrText xml:space="preserve"> PAGEREF _Toc230077002 \h </w:instrText>
        </w:r>
        <w:r>
          <w:rPr>
            <w:webHidden/>
          </w:rPr>
        </w:r>
        <w:r>
          <w:rPr>
            <w:webHidden/>
          </w:rPr>
          <w:fldChar w:fldCharType="separate"/>
        </w:r>
        <w:r w:rsidR="005C5DEE">
          <w:rPr>
            <w:webHidden/>
          </w:rPr>
          <w:t>17</w:t>
        </w:r>
        <w:r>
          <w:rPr>
            <w:webHidden/>
          </w:rPr>
          <w:fldChar w:fldCharType="end"/>
        </w:r>
      </w:hyperlink>
    </w:p>
    <w:p w14:paraId="7B2FDDC9" w14:textId="4A16D5D9" w:rsidR="008D7E35" w:rsidRDefault="008D7E35">
      <w:pPr>
        <w:pStyle w:val="TM3"/>
        <w:rPr>
          <w:rFonts w:cstheme="minorBidi"/>
          <w:color w:val="auto"/>
          <w:kern w:val="2"/>
          <w:sz w:val="24"/>
          <w:szCs w:val="24"/>
          <w14:ligatures w14:val="standardContextual"/>
        </w:rPr>
      </w:pPr>
      <w:hyperlink w:anchor="_Toc230077003" w:history="1">
        <w:r w:rsidRPr="00594ED3">
          <w:rPr>
            <w:rStyle w:val="Lienhypertexte"/>
          </w:rPr>
          <w:t>1.3.2</w:t>
        </w:r>
        <w:r>
          <w:rPr>
            <w:rFonts w:cstheme="minorBidi"/>
            <w:color w:val="auto"/>
            <w:kern w:val="2"/>
            <w:sz w:val="24"/>
            <w:szCs w:val="24"/>
            <w14:ligatures w14:val="standardContextual"/>
          </w:rPr>
          <w:tab/>
        </w:r>
        <w:r w:rsidRPr="00594ED3">
          <w:rPr>
            <w:rStyle w:val="Lienhypertexte"/>
          </w:rPr>
          <w:t>Formation et acculturation des équipes</w:t>
        </w:r>
        <w:r>
          <w:rPr>
            <w:webHidden/>
          </w:rPr>
          <w:tab/>
        </w:r>
        <w:r>
          <w:rPr>
            <w:webHidden/>
          </w:rPr>
          <w:fldChar w:fldCharType="begin"/>
        </w:r>
        <w:r>
          <w:rPr>
            <w:webHidden/>
          </w:rPr>
          <w:instrText xml:space="preserve"> PAGEREF _Toc230077003 \h </w:instrText>
        </w:r>
        <w:r>
          <w:rPr>
            <w:webHidden/>
          </w:rPr>
        </w:r>
        <w:r>
          <w:rPr>
            <w:webHidden/>
          </w:rPr>
          <w:fldChar w:fldCharType="separate"/>
        </w:r>
        <w:r w:rsidR="005C5DEE">
          <w:rPr>
            <w:webHidden/>
          </w:rPr>
          <w:t>18</w:t>
        </w:r>
        <w:r>
          <w:rPr>
            <w:webHidden/>
          </w:rPr>
          <w:fldChar w:fldCharType="end"/>
        </w:r>
      </w:hyperlink>
    </w:p>
    <w:p w14:paraId="765C7302" w14:textId="66DA7CD1" w:rsidR="008D7E35" w:rsidRDefault="008D7E35">
      <w:pPr>
        <w:pStyle w:val="TM3"/>
        <w:rPr>
          <w:rFonts w:cstheme="minorBidi"/>
          <w:color w:val="auto"/>
          <w:kern w:val="2"/>
          <w:sz w:val="24"/>
          <w:szCs w:val="24"/>
          <w14:ligatures w14:val="standardContextual"/>
        </w:rPr>
      </w:pPr>
      <w:hyperlink w:anchor="_Toc230077004" w:history="1">
        <w:r w:rsidRPr="00594ED3">
          <w:rPr>
            <w:rStyle w:val="Lienhypertexte"/>
          </w:rPr>
          <w:t>1.3.3</w:t>
        </w:r>
        <w:r>
          <w:rPr>
            <w:rFonts w:cstheme="minorBidi"/>
            <w:color w:val="auto"/>
            <w:kern w:val="2"/>
            <w:sz w:val="24"/>
            <w:szCs w:val="24"/>
            <w14:ligatures w14:val="standardContextual"/>
          </w:rPr>
          <w:tab/>
        </w:r>
        <w:r w:rsidRPr="00594ED3">
          <w:rPr>
            <w:rStyle w:val="Lienhypertexte"/>
          </w:rPr>
          <w:t>Pilotage et outillage</w:t>
        </w:r>
        <w:r>
          <w:rPr>
            <w:webHidden/>
          </w:rPr>
          <w:tab/>
        </w:r>
        <w:r>
          <w:rPr>
            <w:webHidden/>
          </w:rPr>
          <w:fldChar w:fldCharType="begin"/>
        </w:r>
        <w:r>
          <w:rPr>
            <w:webHidden/>
          </w:rPr>
          <w:instrText xml:space="preserve"> PAGEREF _Toc230077004 \h </w:instrText>
        </w:r>
        <w:r>
          <w:rPr>
            <w:webHidden/>
          </w:rPr>
        </w:r>
        <w:r>
          <w:rPr>
            <w:webHidden/>
          </w:rPr>
          <w:fldChar w:fldCharType="separate"/>
        </w:r>
        <w:r w:rsidR="005C5DEE">
          <w:rPr>
            <w:webHidden/>
          </w:rPr>
          <w:t>18</w:t>
        </w:r>
        <w:r>
          <w:rPr>
            <w:webHidden/>
          </w:rPr>
          <w:fldChar w:fldCharType="end"/>
        </w:r>
      </w:hyperlink>
    </w:p>
    <w:p w14:paraId="53B511D4" w14:textId="24A5CC5E" w:rsidR="008D7E35" w:rsidRDefault="008D7E35">
      <w:pPr>
        <w:pStyle w:val="TM2"/>
        <w:rPr>
          <w:rFonts w:cstheme="minorBidi"/>
          <w:color w:val="auto"/>
          <w:kern w:val="2"/>
          <w:sz w:val="24"/>
          <w:szCs w:val="24"/>
          <w14:ligatures w14:val="standardContextual"/>
        </w:rPr>
      </w:pPr>
      <w:hyperlink w:anchor="_Toc230077005" w:history="1">
        <w:r w:rsidRPr="00594ED3">
          <w:rPr>
            <w:rStyle w:val="Lienhypertexte"/>
          </w:rPr>
          <w:t>À retenir</w:t>
        </w:r>
        <w:r>
          <w:rPr>
            <w:webHidden/>
          </w:rPr>
          <w:tab/>
        </w:r>
        <w:r>
          <w:rPr>
            <w:webHidden/>
          </w:rPr>
          <w:fldChar w:fldCharType="begin"/>
        </w:r>
        <w:r>
          <w:rPr>
            <w:webHidden/>
          </w:rPr>
          <w:instrText xml:space="preserve"> PAGEREF _Toc230077005 \h </w:instrText>
        </w:r>
        <w:r>
          <w:rPr>
            <w:webHidden/>
          </w:rPr>
        </w:r>
        <w:r>
          <w:rPr>
            <w:webHidden/>
          </w:rPr>
          <w:fldChar w:fldCharType="separate"/>
        </w:r>
        <w:r w:rsidR="005C5DEE">
          <w:rPr>
            <w:webHidden/>
          </w:rPr>
          <w:t>22</w:t>
        </w:r>
        <w:r>
          <w:rPr>
            <w:webHidden/>
          </w:rPr>
          <w:fldChar w:fldCharType="end"/>
        </w:r>
      </w:hyperlink>
    </w:p>
    <w:p w14:paraId="6479E6D4" w14:textId="7E1955B6" w:rsidR="008D7E35" w:rsidRDefault="008D7E35">
      <w:pPr>
        <w:pStyle w:val="TM1"/>
        <w:rPr>
          <w:rFonts w:eastAsiaTheme="minorEastAsia"/>
          <w:b w:val="0"/>
          <w:caps w:val="0"/>
          <w:color w:val="auto"/>
          <w:kern w:val="2"/>
          <w:sz w:val="24"/>
          <w:szCs w:val="24"/>
          <w:lang w:val="fr-FR" w:eastAsia="fr-FR"/>
          <w14:ligatures w14:val="standardContextual"/>
        </w:rPr>
      </w:pPr>
      <w:hyperlink w:anchor="_Toc230077006" w:history="1">
        <w:r w:rsidRPr="00594ED3">
          <w:rPr>
            <w:rStyle w:val="Lienhypertexte"/>
          </w:rPr>
          <w:t>2</w:t>
        </w:r>
        <w:r>
          <w:rPr>
            <w:rFonts w:eastAsiaTheme="minorEastAsia"/>
            <w:b w:val="0"/>
            <w:caps w:val="0"/>
            <w:color w:val="auto"/>
            <w:kern w:val="2"/>
            <w:sz w:val="24"/>
            <w:szCs w:val="24"/>
            <w:lang w:val="fr-FR" w:eastAsia="fr-FR"/>
            <w14:ligatures w14:val="standardContextual"/>
          </w:rPr>
          <w:tab/>
        </w:r>
        <w:r w:rsidRPr="00594ED3">
          <w:rPr>
            <w:rStyle w:val="Lienhypertexte"/>
          </w:rPr>
          <w:t>Structuration de la démarche de gouvernance</w:t>
        </w:r>
        <w:r>
          <w:rPr>
            <w:webHidden/>
          </w:rPr>
          <w:tab/>
        </w:r>
        <w:r>
          <w:rPr>
            <w:webHidden/>
          </w:rPr>
          <w:fldChar w:fldCharType="begin"/>
        </w:r>
        <w:r>
          <w:rPr>
            <w:webHidden/>
          </w:rPr>
          <w:instrText xml:space="preserve"> PAGEREF _Toc230077006 \h </w:instrText>
        </w:r>
        <w:r>
          <w:rPr>
            <w:webHidden/>
          </w:rPr>
        </w:r>
        <w:r>
          <w:rPr>
            <w:webHidden/>
          </w:rPr>
          <w:fldChar w:fldCharType="separate"/>
        </w:r>
        <w:r w:rsidR="005C5DEE">
          <w:rPr>
            <w:webHidden/>
          </w:rPr>
          <w:t>23</w:t>
        </w:r>
        <w:r>
          <w:rPr>
            <w:webHidden/>
          </w:rPr>
          <w:fldChar w:fldCharType="end"/>
        </w:r>
      </w:hyperlink>
    </w:p>
    <w:p w14:paraId="339933AD" w14:textId="5EF9FF39" w:rsidR="008D7E35" w:rsidRDefault="008D7E35">
      <w:pPr>
        <w:pStyle w:val="TM2"/>
        <w:rPr>
          <w:rFonts w:cstheme="minorBidi"/>
          <w:color w:val="auto"/>
          <w:kern w:val="2"/>
          <w:sz w:val="24"/>
          <w:szCs w:val="24"/>
          <w14:ligatures w14:val="standardContextual"/>
        </w:rPr>
      </w:pPr>
      <w:hyperlink w:anchor="_Toc230077007" w:history="1">
        <w:r w:rsidRPr="00594ED3">
          <w:rPr>
            <w:rStyle w:val="Lienhypertexte"/>
          </w:rPr>
          <w:t>2.1</w:t>
        </w:r>
        <w:r>
          <w:rPr>
            <w:rFonts w:cstheme="minorBidi"/>
            <w:color w:val="auto"/>
            <w:kern w:val="2"/>
            <w:sz w:val="24"/>
            <w:szCs w:val="24"/>
            <w14:ligatures w14:val="standardContextual"/>
          </w:rPr>
          <w:tab/>
        </w:r>
        <w:r w:rsidRPr="00594ED3">
          <w:rPr>
            <w:rStyle w:val="Lienhypertexte"/>
          </w:rPr>
          <w:t>Définir son ambition et attribuer les missions</w:t>
        </w:r>
        <w:r>
          <w:rPr>
            <w:webHidden/>
          </w:rPr>
          <w:tab/>
        </w:r>
        <w:r>
          <w:rPr>
            <w:webHidden/>
          </w:rPr>
          <w:fldChar w:fldCharType="begin"/>
        </w:r>
        <w:r>
          <w:rPr>
            <w:webHidden/>
          </w:rPr>
          <w:instrText xml:space="preserve"> PAGEREF _Toc230077007 \h </w:instrText>
        </w:r>
        <w:r>
          <w:rPr>
            <w:webHidden/>
          </w:rPr>
        </w:r>
        <w:r>
          <w:rPr>
            <w:webHidden/>
          </w:rPr>
          <w:fldChar w:fldCharType="separate"/>
        </w:r>
        <w:r w:rsidR="005C5DEE">
          <w:rPr>
            <w:webHidden/>
          </w:rPr>
          <w:t>23</w:t>
        </w:r>
        <w:r>
          <w:rPr>
            <w:webHidden/>
          </w:rPr>
          <w:fldChar w:fldCharType="end"/>
        </w:r>
      </w:hyperlink>
    </w:p>
    <w:p w14:paraId="17603377" w14:textId="63F60E5E" w:rsidR="008D7E35" w:rsidRDefault="008D7E35">
      <w:pPr>
        <w:pStyle w:val="TM3"/>
        <w:rPr>
          <w:rFonts w:cstheme="minorBidi"/>
          <w:color w:val="auto"/>
          <w:kern w:val="2"/>
          <w:sz w:val="24"/>
          <w:szCs w:val="24"/>
          <w14:ligatures w14:val="standardContextual"/>
        </w:rPr>
      </w:pPr>
      <w:hyperlink w:anchor="_Toc230077008" w:history="1">
        <w:r w:rsidRPr="00594ED3">
          <w:rPr>
            <w:rStyle w:val="Lienhypertexte"/>
          </w:rPr>
          <w:t>2.1.1</w:t>
        </w:r>
        <w:r>
          <w:rPr>
            <w:rFonts w:cstheme="minorBidi"/>
            <w:color w:val="auto"/>
            <w:kern w:val="2"/>
            <w:sz w:val="24"/>
            <w:szCs w:val="24"/>
            <w14:ligatures w14:val="standardContextual"/>
          </w:rPr>
          <w:tab/>
        </w:r>
        <w:r w:rsidRPr="00594ED3">
          <w:rPr>
            <w:rStyle w:val="Lienhypertexte"/>
          </w:rPr>
          <w:t>Vision et ambition de la démarche d’accessibilité</w:t>
        </w:r>
        <w:r>
          <w:rPr>
            <w:webHidden/>
          </w:rPr>
          <w:tab/>
        </w:r>
        <w:r>
          <w:rPr>
            <w:webHidden/>
          </w:rPr>
          <w:fldChar w:fldCharType="begin"/>
        </w:r>
        <w:r>
          <w:rPr>
            <w:webHidden/>
          </w:rPr>
          <w:instrText xml:space="preserve"> PAGEREF _Toc230077008 \h </w:instrText>
        </w:r>
        <w:r>
          <w:rPr>
            <w:webHidden/>
          </w:rPr>
        </w:r>
        <w:r>
          <w:rPr>
            <w:webHidden/>
          </w:rPr>
          <w:fldChar w:fldCharType="separate"/>
        </w:r>
        <w:r w:rsidR="005C5DEE">
          <w:rPr>
            <w:webHidden/>
          </w:rPr>
          <w:t>23</w:t>
        </w:r>
        <w:r>
          <w:rPr>
            <w:webHidden/>
          </w:rPr>
          <w:fldChar w:fldCharType="end"/>
        </w:r>
      </w:hyperlink>
    </w:p>
    <w:p w14:paraId="60A317DF" w14:textId="718B319D" w:rsidR="008D7E35" w:rsidRDefault="008D7E35">
      <w:pPr>
        <w:pStyle w:val="TM3"/>
        <w:rPr>
          <w:rFonts w:cstheme="minorBidi"/>
          <w:color w:val="auto"/>
          <w:kern w:val="2"/>
          <w:sz w:val="24"/>
          <w:szCs w:val="24"/>
          <w14:ligatures w14:val="standardContextual"/>
        </w:rPr>
      </w:pPr>
      <w:hyperlink w:anchor="_Toc230077009" w:history="1">
        <w:r w:rsidRPr="00594ED3">
          <w:rPr>
            <w:rStyle w:val="Lienhypertexte"/>
          </w:rPr>
          <w:t>2.1.2</w:t>
        </w:r>
        <w:r>
          <w:rPr>
            <w:rFonts w:cstheme="minorBidi"/>
            <w:color w:val="auto"/>
            <w:kern w:val="2"/>
            <w:sz w:val="24"/>
            <w:szCs w:val="24"/>
            <w14:ligatures w14:val="standardContextual"/>
          </w:rPr>
          <w:tab/>
        </w:r>
        <w:r w:rsidRPr="00594ED3">
          <w:rPr>
            <w:rStyle w:val="Lienhypertexte"/>
          </w:rPr>
          <w:t>Missions et responsabilités du référent accessibilité numérique</w:t>
        </w:r>
        <w:r>
          <w:rPr>
            <w:webHidden/>
          </w:rPr>
          <w:tab/>
        </w:r>
        <w:r>
          <w:rPr>
            <w:webHidden/>
          </w:rPr>
          <w:fldChar w:fldCharType="begin"/>
        </w:r>
        <w:r>
          <w:rPr>
            <w:webHidden/>
          </w:rPr>
          <w:instrText xml:space="preserve"> PAGEREF _Toc230077009 \h </w:instrText>
        </w:r>
        <w:r>
          <w:rPr>
            <w:webHidden/>
          </w:rPr>
        </w:r>
        <w:r>
          <w:rPr>
            <w:webHidden/>
          </w:rPr>
          <w:fldChar w:fldCharType="separate"/>
        </w:r>
        <w:r w:rsidR="005C5DEE">
          <w:rPr>
            <w:webHidden/>
          </w:rPr>
          <w:t>23</w:t>
        </w:r>
        <w:r>
          <w:rPr>
            <w:webHidden/>
          </w:rPr>
          <w:fldChar w:fldCharType="end"/>
        </w:r>
      </w:hyperlink>
    </w:p>
    <w:p w14:paraId="6BD7B654" w14:textId="400017E1" w:rsidR="008D7E35" w:rsidRDefault="008D7E35">
      <w:pPr>
        <w:pStyle w:val="TM2"/>
        <w:rPr>
          <w:rFonts w:cstheme="minorBidi"/>
          <w:color w:val="auto"/>
          <w:kern w:val="2"/>
          <w:sz w:val="24"/>
          <w:szCs w:val="24"/>
          <w14:ligatures w14:val="standardContextual"/>
        </w:rPr>
      </w:pPr>
      <w:hyperlink w:anchor="_Toc230077010" w:history="1">
        <w:r w:rsidRPr="00594ED3">
          <w:rPr>
            <w:rStyle w:val="Lienhypertexte"/>
          </w:rPr>
          <w:t>2.2</w:t>
        </w:r>
        <w:r>
          <w:rPr>
            <w:rFonts w:cstheme="minorBidi"/>
            <w:color w:val="auto"/>
            <w:kern w:val="2"/>
            <w:sz w:val="24"/>
            <w:szCs w:val="24"/>
            <w14:ligatures w14:val="standardContextual"/>
          </w:rPr>
          <w:tab/>
        </w:r>
        <w:r w:rsidRPr="00594ED3">
          <w:rPr>
            <w:rStyle w:val="Lienhypertexte"/>
          </w:rPr>
          <w:t>Structuration de la démarche et mise en place d’une gouvernance dédiée</w:t>
        </w:r>
        <w:r>
          <w:rPr>
            <w:webHidden/>
          </w:rPr>
          <w:tab/>
        </w:r>
        <w:r>
          <w:rPr>
            <w:webHidden/>
          </w:rPr>
          <w:fldChar w:fldCharType="begin"/>
        </w:r>
        <w:r>
          <w:rPr>
            <w:webHidden/>
          </w:rPr>
          <w:instrText xml:space="preserve"> PAGEREF _Toc230077010 \h </w:instrText>
        </w:r>
        <w:r>
          <w:rPr>
            <w:webHidden/>
          </w:rPr>
        </w:r>
        <w:r>
          <w:rPr>
            <w:webHidden/>
          </w:rPr>
          <w:fldChar w:fldCharType="separate"/>
        </w:r>
        <w:r w:rsidR="005C5DEE">
          <w:rPr>
            <w:webHidden/>
          </w:rPr>
          <w:t>27</w:t>
        </w:r>
        <w:r>
          <w:rPr>
            <w:webHidden/>
          </w:rPr>
          <w:fldChar w:fldCharType="end"/>
        </w:r>
      </w:hyperlink>
    </w:p>
    <w:p w14:paraId="4D7A9912" w14:textId="135FC5DE" w:rsidR="008D7E35" w:rsidRDefault="008D7E35">
      <w:pPr>
        <w:pStyle w:val="TM3"/>
        <w:rPr>
          <w:rFonts w:cstheme="minorBidi"/>
          <w:color w:val="auto"/>
          <w:kern w:val="2"/>
          <w:sz w:val="24"/>
          <w:szCs w:val="24"/>
          <w14:ligatures w14:val="standardContextual"/>
        </w:rPr>
      </w:pPr>
      <w:hyperlink w:anchor="_Toc230077011" w:history="1">
        <w:r w:rsidRPr="00594ED3">
          <w:rPr>
            <w:rStyle w:val="Lienhypertexte"/>
          </w:rPr>
          <w:t>2.2.1</w:t>
        </w:r>
        <w:r>
          <w:rPr>
            <w:rFonts w:cstheme="minorBidi"/>
            <w:color w:val="auto"/>
            <w:kern w:val="2"/>
            <w:sz w:val="24"/>
            <w:szCs w:val="24"/>
            <w14:ligatures w14:val="standardContextual"/>
          </w:rPr>
          <w:tab/>
        </w:r>
        <w:r w:rsidRPr="00594ED3">
          <w:rPr>
            <w:rStyle w:val="Lienhypertexte"/>
          </w:rPr>
          <w:t>Ancrage organisationnel</w:t>
        </w:r>
        <w:r>
          <w:rPr>
            <w:webHidden/>
          </w:rPr>
          <w:tab/>
        </w:r>
        <w:r>
          <w:rPr>
            <w:webHidden/>
          </w:rPr>
          <w:fldChar w:fldCharType="begin"/>
        </w:r>
        <w:r>
          <w:rPr>
            <w:webHidden/>
          </w:rPr>
          <w:instrText xml:space="preserve"> PAGEREF _Toc230077011 \h </w:instrText>
        </w:r>
        <w:r>
          <w:rPr>
            <w:webHidden/>
          </w:rPr>
        </w:r>
        <w:r>
          <w:rPr>
            <w:webHidden/>
          </w:rPr>
          <w:fldChar w:fldCharType="separate"/>
        </w:r>
        <w:r w:rsidR="005C5DEE">
          <w:rPr>
            <w:webHidden/>
          </w:rPr>
          <w:t>27</w:t>
        </w:r>
        <w:r>
          <w:rPr>
            <w:webHidden/>
          </w:rPr>
          <w:fldChar w:fldCharType="end"/>
        </w:r>
      </w:hyperlink>
    </w:p>
    <w:p w14:paraId="734F1862" w14:textId="5CB5C25E" w:rsidR="008D7E35" w:rsidRDefault="008D7E35">
      <w:pPr>
        <w:pStyle w:val="TM3"/>
        <w:rPr>
          <w:rFonts w:cstheme="minorBidi"/>
          <w:color w:val="auto"/>
          <w:kern w:val="2"/>
          <w:sz w:val="24"/>
          <w:szCs w:val="24"/>
          <w14:ligatures w14:val="standardContextual"/>
        </w:rPr>
      </w:pPr>
      <w:hyperlink w:anchor="_Toc230077012" w:history="1">
        <w:r w:rsidRPr="00594ED3">
          <w:rPr>
            <w:rStyle w:val="Lienhypertexte"/>
          </w:rPr>
          <w:t>2.2.2</w:t>
        </w:r>
        <w:r>
          <w:rPr>
            <w:rFonts w:cstheme="minorBidi"/>
            <w:color w:val="auto"/>
            <w:kern w:val="2"/>
            <w:sz w:val="24"/>
            <w:szCs w:val="24"/>
            <w14:ligatures w14:val="standardContextual"/>
          </w:rPr>
          <w:tab/>
        </w:r>
        <w:r w:rsidRPr="00594ED3">
          <w:rPr>
            <w:rStyle w:val="Lienhypertexte"/>
          </w:rPr>
          <w:t>Connaissance du périmètre numérique et politique</w:t>
        </w:r>
        <w:r>
          <w:rPr>
            <w:webHidden/>
          </w:rPr>
          <w:tab/>
        </w:r>
        <w:r>
          <w:rPr>
            <w:webHidden/>
          </w:rPr>
          <w:fldChar w:fldCharType="begin"/>
        </w:r>
        <w:r>
          <w:rPr>
            <w:webHidden/>
          </w:rPr>
          <w:instrText xml:space="preserve"> PAGEREF _Toc230077012 \h </w:instrText>
        </w:r>
        <w:r>
          <w:rPr>
            <w:webHidden/>
          </w:rPr>
        </w:r>
        <w:r>
          <w:rPr>
            <w:webHidden/>
          </w:rPr>
          <w:fldChar w:fldCharType="separate"/>
        </w:r>
        <w:r w:rsidR="005C5DEE">
          <w:rPr>
            <w:webHidden/>
          </w:rPr>
          <w:t>28</w:t>
        </w:r>
        <w:r>
          <w:rPr>
            <w:webHidden/>
          </w:rPr>
          <w:fldChar w:fldCharType="end"/>
        </w:r>
      </w:hyperlink>
    </w:p>
    <w:p w14:paraId="3C67676E" w14:textId="4A520F7F" w:rsidR="008D7E35" w:rsidRDefault="008D7E35">
      <w:pPr>
        <w:pStyle w:val="TM3"/>
        <w:rPr>
          <w:rFonts w:cstheme="minorBidi"/>
          <w:color w:val="auto"/>
          <w:kern w:val="2"/>
          <w:sz w:val="24"/>
          <w:szCs w:val="24"/>
          <w14:ligatures w14:val="standardContextual"/>
        </w:rPr>
      </w:pPr>
      <w:hyperlink w:anchor="_Toc230077013" w:history="1">
        <w:r w:rsidRPr="00594ED3">
          <w:rPr>
            <w:rStyle w:val="Lienhypertexte"/>
          </w:rPr>
          <w:t>2.2.3</w:t>
        </w:r>
        <w:r>
          <w:rPr>
            <w:rFonts w:cstheme="minorBidi"/>
            <w:color w:val="auto"/>
            <w:kern w:val="2"/>
            <w:sz w:val="24"/>
            <w:szCs w:val="24"/>
            <w14:ligatures w14:val="standardContextual"/>
          </w:rPr>
          <w:tab/>
        </w:r>
        <w:r w:rsidRPr="00594ED3">
          <w:rPr>
            <w:rStyle w:val="Lienhypertexte"/>
          </w:rPr>
          <w:t>Préparation opérationnelle à court et moyen terme</w:t>
        </w:r>
        <w:r>
          <w:rPr>
            <w:webHidden/>
          </w:rPr>
          <w:tab/>
        </w:r>
        <w:r>
          <w:rPr>
            <w:webHidden/>
          </w:rPr>
          <w:fldChar w:fldCharType="begin"/>
        </w:r>
        <w:r>
          <w:rPr>
            <w:webHidden/>
          </w:rPr>
          <w:instrText xml:space="preserve"> PAGEREF _Toc230077013 \h </w:instrText>
        </w:r>
        <w:r>
          <w:rPr>
            <w:webHidden/>
          </w:rPr>
        </w:r>
        <w:r>
          <w:rPr>
            <w:webHidden/>
          </w:rPr>
          <w:fldChar w:fldCharType="separate"/>
        </w:r>
        <w:r w:rsidR="005C5DEE">
          <w:rPr>
            <w:webHidden/>
          </w:rPr>
          <w:t>28</w:t>
        </w:r>
        <w:r>
          <w:rPr>
            <w:webHidden/>
          </w:rPr>
          <w:fldChar w:fldCharType="end"/>
        </w:r>
      </w:hyperlink>
    </w:p>
    <w:p w14:paraId="65F7BC4D" w14:textId="0A8A6852" w:rsidR="008D7E35" w:rsidRDefault="008D7E35">
      <w:pPr>
        <w:pStyle w:val="TM3"/>
        <w:rPr>
          <w:rFonts w:cstheme="minorBidi"/>
          <w:color w:val="auto"/>
          <w:kern w:val="2"/>
          <w:sz w:val="24"/>
          <w:szCs w:val="24"/>
          <w14:ligatures w14:val="standardContextual"/>
        </w:rPr>
      </w:pPr>
      <w:hyperlink w:anchor="_Toc230077014" w:history="1">
        <w:r w:rsidRPr="00594ED3">
          <w:rPr>
            <w:rStyle w:val="Lienhypertexte"/>
          </w:rPr>
          <w:t>2.2.4</w:t>
        </w:r>
        <w:r>
          <w:rPr>
            <w:rFonts w:cstheme="minorBidi"/>
            <w:color w:val="auto"/>
            <w:kern w:val="2"/>
            <w:sz w:val="24"/>
            <w:szCs w:val="24"/>
            <w14:ligatures w14:val="standardContextual"/>
          </w:rPr>
          <w:tab/>
        </w:r>
        <w:r w:rsidRPr="00594ED3">
          <w:rPr>
            <w:rStyle w:val="Lienhypertexte"/>
          </w:rPr>
          <w:t>Comitologie et communication adaptée</w:t>
        </w:r>
        <w:r>
          <w:rPr>
            <w:webHidden/>
          </w:rPr>
          <w:tab/>
        </w:r>
        <w:r>
          <w:rPr>
            <w:webHidden/>
          </w:rPr>
          <w:fldChar w:fldCharType="begin"/>
        </w:r>
        <w:r>
          <w:rPr>
            <w:webHidden/>
          </w:rPr>
          <w:instrText xml:space="preserve"> PAGEREF _Toc230077014 \h </w:instrText>
        </w:r>
        <w:r>
          <w:rPr>
            <w:webHidden/>
          </w:rPr>
        </w:r>
        <w:r>
          <w:rPr>
            <w:webHidden/>
          </w:rPr>
          <w:fldChar w:fldCharType="separate"/>
        </w:r>
        <w:r w:rsidR="005C5DEE">
          <w:rPr>
            <w:webHidden/>
          </w:rPr>
          <w:t>28</w:t>
        </w:r>
        <w:r>
          <w:rPr>
            <w:webHidden/>
          </w:rPr>
          <w:fldChar w:fldCharType="end"/>
        </w:r>
      </w:hyperlink>
    </w:p>
    <w:p w14:paraId="6BFFD1E7" w14:textId="0AE68446" w:rsidR="008D7E35" w:rsidRDefault="008D7E35">
      <w:pPr>
        <w:pStyle w:val="TM2"/>
        <w:rPr>
          <w:rFonts w:cstheme="minorBidi"/>
          <w:color w:val="auto"/>
          <w:kern w:val="2"/>
          <w:sz w:val="24"/>
          <w:szCs w:val="24"/>
          <w14:ligatures w14:val="standardContextual"/>
        </w:rPr>
      </w:pPr>
      <w:hyperlink w:anchor="_Toc230077015" w:history="1">
        <w:r w:rsidRPr="00594ED3">
          <w:rPr>
            <w:rStyle w:val="Lienhypertexte"/>
          </w:rPr>
          <w:t>2.3</w:t>
        </w:r>
        <w:r>
          <w:rPr>
            <w:rFonts w:cstheme="minorBidi"/>
            <w:color w:val="auto"/>
            <w:kern w:val="2"/>
            <w:sz w:val="24"/>
            <w:szCs w:val="24"/>
            <w14:ligatures w14:val="standardContextual"/>
          </w:rPr>
          <w:tab/>
        </w:r>
        <w:r w:rsidRPr="00594ED3">
          <w:rPr>
            <w:rStyle w:val="Lienhypertexte"/>
          </w:rPr>
          <w:t>Relation</w:t>
        </w:r>
        <w:r w:rsidR="00DC3602">
          <w:rPr>
            <w:rStyle w:val="Lienhypertexte"/>
          </w:rPr>
          <w:t>s</w:t>
        </w:r>
        <w:r w:rsidRPr="00594ED3">
          <w:rPr>
            <w:rStyle w:val="Lienhypertexte"/>
          </w:rPr>
          <w:t xml:space="preserve"> avec l’écosystème organisationnel</w:t>
        </w:r>
        <w:r>
          <w:rPr>
            <w:webHidden/>
          </w:rPr>
          <w:tab/>
        </w:r>
        <w:r>
          <w:rPr>
            <w:webHidden/>
          </w:rPr>
          <w:fldChar w:fldCharType="begin"/>
        </w:r>
        <w:r>
          <w:rPr>
            <w:webHidden/>
          </w:rPr>
          <w:instrText xml:space="preserve"> PAGEREF _Toc230077015 \h </w:instrText>
        </w:r>
        <w:r>
          <w:rPr>
            <w:webHidden/>
          </w:rPr>
        </w:r>
        <w:r>
          <w:rPr>
            <w:webHidden/>
          </w:rPr>
          <w:fldChar w:fldCharType="separate"/>
        </w:r>
        <w:r w:rsidR="005C5DEE">
          <w:rPr>
            <w:webHidden/>
          </w:rPr>
          <w:t>34</w:t>
        </w:r>
        <w:r>
          <w:rPr>
            <w:webHidden/>
          </w:rPr>
          <w:fldChar w:fldCharType="end"/>
        </w:r>
      </w:hyperlink>
    </w:p>
    <w:p w14:paraId="50247564" w14:textId="13BE20AB" w:rsidR="008D7E35" w:rsidRDefault="008D7E35">
      <w:pPr>
        <w:pStyle w:val="TM3"/>
        <w:rPr>
          <w:rFonts w:cstheme="minorBidi"/>
          <w:color w:val="auto"/>
          <w:kern w:val="2"/>
          <w:sz w:val="24"/>
          <w:szCs w:val="24"/>
          <w14:ligatures w14:val="standardContextual"/>
        </w:rPr>
      </w:pPr>
      <w:hyperlink w:anchor="_Toc230077016" w:history="1">
        <w:r w:rsidRPr="00594ED3">
          <w:rPr>
            <w:rStyle w:val="Lienhypertexte"/>
          </w:rPr>
          <w:t>2.3.1</w:t>
        </w:r>
        <w:r>
          <w:rPr>
            <w:rFonts w:cstheme="minorBidi"/>
            <w:color w:val="auto"/>
            <w:kern w:val="2"/>
            <w:sz w:val="24"/>
            <w:szCs w:val="24"/>
            <w14:ligatures w14:val="standardContextual"/>
          </w:rPr>
          <w:tab/>
        </w:r>
        <w:r w:rsidRPr="00594ED3">
          <w:rPr>
            <w:rStyle w:val="Lienhypertexte"/>
          </w:rPr>
          <w:t>Transversaliser les échanges entre les parties prenantes</w:t>
        </w:r>
        <w:r>
          <w:rPr>
            <w:webHidden/>
          </w:rPr>
          <w:tab/>
        </w:r>
        <w:r>
          <w:rPr>
            <w:webHidden/>
          </w:rPr>
          <w:fldChar w:fldCharType="begin"/>
        </w:r>
        <w:r>
          <w:rPr>
            <w:webHidden/>
          </w:rPr>
          <w:instrText xml:space="preserve"> PAGEREF _Toc230077016 \h </w:instrText>
        </w:r>
        <w:r>
          <w:rPr>
            <w:webHidden/>
          </w:rPr>
        </w:r>
        <w:r>
          <w:rPr>
            <w:webHidden/>
          </w:rPr>
          <w:fldChar w:fldCharType="separate"/>
        </w:r>
        <w:r w:rsidR="005C5DEE">
          <w:rPr>
            <w:webHidden/>
          </w:rPr>
          <w:t>34</w:t>
        </w:r>
        <w:r>
          <w:rPr>
            <w:webHidden/>
          </w:rPr>
          <w:fldChar w:fldCharType="end"/>
        </w:r>
      </w:hyperlink>
    </w:p>
    <w:p w14:paraId="21B85B84" w14:textId="6F6CB38F" w:rsidR="008D7E35" w:rsidRDefault="008D7E35">
      <w:pPr>
        <w:pStyle w:val="TM3"/>
        <w:rPr>
          <w:rFonts w:cstheme="minorBidi"/>
          <w:color w:val="auto"/>
          <w:kern w:val="2"/>
          <w:sz w:val="24"/>
          <w:szCs w:val="24"/>
          <w14:ligatures w14:val="standardContextual"/>
        </w:rPr>
      </w:pPr>
      <w:hyperlink w:anchor="_Toc230077017" w:history="1">
        <w:r w:rsidRPr="00594ED3">
          <w:rPr>
            <w:rStyle w:val="Lienhypertexte"/>
          </w:rPr>
          <w:t>2.3.2</w:t>
        </w:r>
        <w:r>
          <w:rPr>
            <w:rFonts w:cstheme="minorBidi"/>
            <w:color w:val="auto"/>
            <w:kern w:val="2"/>
            <w:sz w:val="24"/>
            <w:szCs w:val="24"/>
            <w14:ligatures w14:val="standardContextual"/>
          </w:rPr>
          <w:tab/>
        </w:r>
        <w:r w:rsidRPr="00594ED3">
          <w:rPr>
            <w:rStyle w:val="Lienhypertexte"/>
          </w:rPr>
          <w:t>Impliquer les achats, prestataires et éditeurs</w:t>
        </w:r>
        <w:r>
          <w:rPr>
            <w:webHidden/>
          </w:rPr>
          <w:tab/>
        </w:r>
        <w:r>
          <w:rPr>
            <w:webHidden/>
          </w:rPr>
          <w:fldChar w:fldCharType="begin"/>
        </w:r>
        <w:r>
          <w:rPr>
            <w:webHidden/>
          </w:rPr>
          <w:instrText xml:space="preserve"> PAGEREF _Toc230077017 \h </w:instrText>
        </w:r>
        <w:r>
          <w:rPr>
            <w:webHidden/>
          </w:rPr>
        </w:r>
        <w:r>
          <w:rPr>
            <w:webHidden/>
          </w:rPr>
          <w:fldChar w:fldCharType="separate"/>
        </w:r>
        <w:r w:rsidR="005C5DEE">
          <w:rPr>
            <w:webHidden/>
          </w:rPr>
          <w:t>37</w:t>
        </w:r>
        <w:r>
          <w:rPr>
            <w:webHidden/>
          </w:rPr>
          <w:fldChar w:fldCharType="end"/>
        </w:r>
      </w:hyperlink>
    </w:p>
    <w:p w14:paraId="389B96CB" w14:textId="03FC5222" w:rsidR="008D7E35" w:rsidRDefault="008D7E35">
      <w:pPr>
        <w:pStyle w:val="TM2"/>
        <w:rPr>
          <w:rFonts w:cstheme="minorBidi"/>
          <w:color w:val="auto"/>
          <w:kern w:val="2"/>
          <w:sz w:val="24"/>
          <w:szCs w:val="24"/>
          <w14:ligatures w14:val="standardContextual"/>
        </w:rPr>
      </w:pPr>
      <w:hyperlink w:anchor="_Toc230077018" w:history="1">
        <w:r w:rsidRPr="00594ED3">
          <w:rPr>
            <w:rStyle w:val="Lienhypertexte"/>
          </w:rPr>
          <w:t>À retenir</w:t>
        </w:r>
        <w:r>
          <w:rPr>
            <w:webHidden/>
          </w:rPr>
          <w:tab/>
        </w:r>
        <w:r>
          <w:rPr>
            <w:webHidden/>
          </w:rPr>
          <w:fldChar w:fldCharType="begin"/>
        </w:r>
        <w:r>
          <w:rPr>
            <w:webHidden/>
          </w:rPr>
          <w:instrText xml:space="preserve"> PAGEREF _Toc230077018 \h </w:instrText>
        </w:r>
        <w:r>
          <w:rPr>
            <w:webHidden/>
          </w:rPr>
        </w:r>
        <w:r>
          <w:rPr>
            <w:webHidden/>
          </w:rPr>
          <w:fldChar w:fldCharType="separate"/>
        </w:r>
        <w:r w:rsidR="005C5DEE">
          <w:rPr>
            <w:webHidden/>
          </w:rPr>
          <w:t>43</w:t>
        </w:r>
        <w:r>
          <w:rPr>
            <w:webHidden/>
          </w:rPr>
          <w:fldChar w:fldCharType="end"/>
        </w:r>
      </w:hyperlink>
    </w:p>
    <w:p w14:paraId="43F4BA4B" w14:textId="34AFAFE9" w:rsidR="008D7E35" w:rsidRDefault="008D7E35">
      <w:pPr>
        <w:pStyle w:val="TM1"/>
        <w:rPr>
          <w:rFonts w:eastAsiaTheme="minorEastAsia"/>
          <w:b w:val="0"/>
          <w:caps w:val="0"/>
          <w:color w:val="auto"/>
          <w:kern w:val="2"/>
          <w:sz w:val="24"/>
          <w:szCs w:val="24"/>
          <w:lang w:val="fr-FR" w:eastAsia="fr-FR"/>
          <w14:ligatures w14:val="standardContextual"/>
        </w:rPr>
      </w:pPr>
      <w:hyperlink w:anchor="_Toc230077019" w:history="1">
        <w:r w:rsidRPr="00594ED3">
          <w:rPr>
            <w:rStyle w:val="Lienhypertexte"/>
          </w:rPr>
          <w:t>3</w:t>
        </w:r>
        <w:r>
          <w:rPr>
            <w:rFonts w:eastAsiaTheme="minorEastAsia"/>
            <w:b w:val="0"/>
            <w:caps w:val="0"/>
            <w:color w:val="auto"/>
            <w:kern w:val="2"/>
            <w:sz w:val="24"/>
            <w:szCs w:val="24"/>
            <w:lang w:val="fr-FR" w:eastAsia="fr-FR"/>
            <w14:ligatures w14:val="standardContextual"/>
          </w:rPr>
          <w:tab/>
        </w:r>
        <w:r w:rsidRPr="00594ED3">
          <w:rPr>
            <w:rStyle w:val="Lienhypertexte"/>
          </w:rPr>
          <w:t>Piloter et outiller le déploiement de l’Accessibilité numérique</w:t>
        </w:r>
        <w:r>
          <w:rPr>
            <w:webHidden/>
          </w:rPr>
          <w:tab/>
        </w:r>
        <w:r>
          <w:rPr>
            <w:webHidden/>
          </w:rPr>
          <w:fldChar w:fldCharType="begin"/>
        </w:r>
        <w:r>
          <w:rPr>
            <w:webHidden/>
          </w:rPr>
          <w:instrText xml:space="preserve"> PAGEREF _Toc230077019 \h </w:instrText>
        </w:r>
        <w:r>
          <w:rPr>
            <w:webHidden/>
          </w:rPr>
        </w:r>
        <w:r>
          <w:rPr>
            <w:webHidden/>
          </w:rPr>
          <w:fldChar w:fldCharType="separate"/>
        </w:r>
        <w:r w:rsidR="005C5DEE">
          <w:rPr>
            <w:webHidden/>
          </w:rPr>
          <w:t>44</w:t>
        </w:r>
        <w:r>
          <w:rPr>
            <w:webHidden/>
          </w:rPr>
          <w:fldChar w:fldCharType="end"/>
        </w:r>
      </w:hyperlink>
    </w:p>
    <w:p w14:paraId="1E9BB334" w14:textId="41711D27" w:rsidR="008D7E35" w:rsidRDefault="008D7E35">
      <w:pPr>
        <w:pStyle w:val="TM2"/>
        <w:rPr>
          <w:rFonts w:cstheme="minorBidi"/>
          <w:color w:val="auto"/>
          <w:kern w:val="2"/>
          <w:sz w:val="24"/>
          <w:szCs w:val="24"/>
          <w14:ligatures w14:val="standardContextual"/>
        </w:rPr>
      </w:pPr>
      <w:hyperlink w:anchor="_Toc230077020" w:history="1">
        <w:r w:rsidRPr="00594ED3">
          <w:rPr>
            <w:rStyle w:val="Lienhypertexte"/>
          </w:rPr>
          <w:t>3.1</w:t>
        </w:r>
        <w:r>
          <w:rPr>
            <w:rFonts w:cstheme="minorBidi"/>
            <w:color w:val="auto"/>
            <w:kern w:val="2"/>
            <w:sz w:val="24"/>
            <w:szCs w:val="24"/>
            <w14:ligatures w14:val="standardContextual"/>
          </w:rPr>
          <w:tab/>
        </w:r>
        <w:r w:rsidRPr="00594ED3">
          <w:rPr>
            <w:rStyle w:val="Lienhypertexte"/>
          </w:rPr>
          <w:t>Intégrer l’accessibilité dans le cycle de vie des projets</w:t>
        </w:r>
        <w:r>
          <w:rPr>
            <w:webHidden/>
          </w:rPr>
          <w:tab/>
        </w:r>
        <w:r>
          <w:rPr>
            <w:webHidden/>
          </w:rPr>
          <w:fldChar w:fldCharType="begin"/>
        </w:r>
        <w:r>
          <w:rPr>
            <w:webHidden/>
          </w:rPr>
          <w:instrText xml:space="preserve"> PAGEREF _Toc230077020 \h </w:instrText>
        </w:r>
        <w:r>
          <w:rPr>
            <w:webHidden/>
          </w:rPr>
        </w:r>
        <w:r>
          <w:rPr>
            <w:webHidden/>
          </w:rPr>
          <w:fldChar w:fldCharType="separate"/>
        </w:r>
        <w:r w:rsidR="005C5DEE">
          <w:rPr>
            <w:webHidden/>
          </w:rPr>
          <w:t>44</w:t>
        </w:r>
        <w:r>
          <w:rPr>
            <w:webHidden/>
          </w:rPr>
          <w:fldChar w:fldCharType="end"/>
        </w:r>
      </w:hyperlink>
    </w:p>
    <w:p w14:paraId="56369134" w14:textId="65A26C1D" w:rsidR="008D7E35" w:rsidRDefault="008D7E35">
      <w:pPr>
        <w:pStyle w:val="TM3"/>
        <w:rPr>
          <w:rFonts w:cstheme="minorBidi"/>
          <w:color w:val="auto"/>
          <w:kern w:val="2"/>
          <w:sz w:val="24"/>
          <w:szCs w:val="24"/>
          <w14:ligatures w14:val="standardContextual"/>
        </w:rPr>
      </w:pPr>
      <w:hyperlink w:anchor="_Toc230077021" w:history="1">
        <w:r w:rsidRPr="00594ED3">
          <w:rPr>
            <w:rStyle w:val="Lienhypertexte"/>
          </w:rPr>
          <w:t>3.1.1</w:t>
        </w:r>
        <w:r>
          <w:rPr>
            <w:rFonts w:cstheme="minorBidi"/>
            <w:color w:val="auto"/>
            <w:kern w:val="2"/>
            <w:sz w:val="24"/>
            <w:szCs w:val="24"/>
            <w14:ligatures w14:val="standardContextual"/>
          </w:rPr>
          <w:tab/>
        </w:r>
        <w:r w:rsidRPr="00594ED3">
          <w:rPr>
            <w:rStyle w:val="Lienhypertexte"/>
          </w:rPr>
          <w:t>Gestion du legacy</w:t>
        </w:r>
        <w:r>
          <w:rPr>
            <w:webHidden/>
          </w:rPr>
          <w:tab/>
        </w:r>
        <w:r>
          <w:rPr>
            <w:webHidden/>
          </w:rPr>
          <w:fldChar w:fldCharType="begin"/>
        </w:r>
        <w:r>
          <w:rPr>
            <w:webHidden/>
          </w:rPr>
          <w:instrText xml:space="preserve"> PAGEREF _Toc230077021 \h </w:instrText>
        </w:r>
        <w:r>
          <w:rPr>
            <w:webHidden/>
          </w:rPr>
        </w:r>
        <w:r>
          <w:rPr>
            <w:webHidden/>
          </w:rPr>
          <w:fldChar w:fldCharType="separate"/>
        </w:r>
        <w:r w:rsidR="005C5DEE">
          <w:rPr>
            <w:webHidden/>
          </w:rPr>
          <w:t>44</w:t>
        </w:r>
        <w:r>
          <w:rPr>
            <w:webHidden/>
          </w:rPr>
          <w:fldChar w:fldCharType="end"/>
        </w:r>
      </w:hyperlink>
    </w:p>
    <w:p w14:paraId="066D6464" w14:textId="28F8EB96" w:rsidR="008D7E35" w:rsidRDefault="008D7E35">
      <w:pPr>
        <w:pStyle w:val="TM3"/>
        <w:rPr>
          <w:rFonts w:cstheme="minorBidi"/>
          <w:color w:val="auto"/>
          <w:kern w:val="2"/>
          <w:sz w:val="24"/>
          <w:szCs w:val="24"/>
          <w14:ligatures w14:val="standardContextual"/>
        </w:rPr>
      </w:pPr>
      <w:hyperlink w:anchor="_Toc230077022" w:history="1">
        <w:r w:rsidRPr="00594ED3">
          <w:rPr>
            <w:rStyle w:val="Lienhypertexte"/>
          </w:rPr>
          <w:t>3.1.2</w:t>
        </w:r>
        <w:r>
          <w:rPr>
            <w:rFonts w:cstheme="minorBidi"/>
            <w:color w:val="auto"/>
            <w:kern w:val="2"/>
            <w:sz w:val="24"/>
            <w:szCs w:val="24"/>
            <w14:ligatures w14:val="standardContextual"/>
          </w:rPr>
          <w:tab/>
        </w:r>
        <w:r w:rsidRPr="00594ED3">
          <w:rPr>
            <w:rStyle w:val="Lienhypertexte"/>
          </w:rPr>
          <w:t>Intégration by-design</w:t>
        </w:r>
        <w:r>
          <w:rPr>
            <w:webHidden/>
          </w:rPr>
          <w:tab/>
        </w:r>
        <w:r>
          <w:rPr>
            <w:webHidden/>
          </w:rPr>
          <w:fldChar w:fldCharType="begin"/>
        </w:r>
        <w:r>
          <w:rPr>
            <w:webHidden/>
          </w:rPr>
          <w:instrText xml:space="preserve"> PAGEREF _Toc230077022 \h </w:instrText>
        </w:r>
        <w:r>
          <w:rPr>
            <w:webHidden/>
          </w:rPr>
        </w:r>
        <w:r>
          <w:rPr>
            <w:webHidden/>
          </w:rPr>
          <w:fldChar w:fldCharType="separate"/>
        </w:r>
        <w:r w:rsidR="005C5DEE">
          <w:rPr>
            <w:webHidden/>
          </w:rPr>
          <w:t>46</w:t>
        </w:r>
        <w:r>
          <w:rPr>
            <w:webHidden/>
          </w:rPr>
          <w:fldChar w:fldCharType="end"/>
        </w:r>
      </w:hyperlink>
    </w:p>
    <w:p w14:paraId="2DB10468" w14:textId="2DA3A006" w:rsidR="008D7E35" w:rsidRDefault="008D7E35">
      <w:pPr>
        <w:pStyle w:val="TM3"/>
        <w:rPr>
          <w:rFonts w:cstheme="minorBidi"/>
          <w:color w:val="auto"/>
          <w:kern w:val="2"/>
          <w:sz w:val="24"/>
          <w:szCs w:val="24"/>
          <w14:ligatures w14:val="standardContextual"/>
        </w:rPr>
      </w:pPr>
      <w:hyperlink w:anchor="_Toc230077023" w:history="1">
        <w:r w:rsidRPr="00594ED3">
          <w:rPr>
            <w:rStyle w:val="Lienhypertexte"/>
          </w:rPr>
          <w:t>3.1.3</w:t>
        </w:r>
        <w:r>
          <w:rPr>
            <w:rFonts w:cstheme="minorBidi"/>
            <w:color w:val="auto"/>
            <w:kern w:val="2"/>
            <w:sz w:val="24"/>
            <w:szCs w:val="24"/>
            <w14:ligatures w14:val="standardContextual"/>
          </w:rPr>
          <w:tab/>
        </w:r>
        <w:r w:rsidRPr="00594ED3">
          <w:rPr>
            <w:rStyle w:val="Lienhypertexte"/>
          </w:rPr>
          <w:t>Pilotage et suivi dans la durée</w:t>
        </w:r>
        <w:r>
          <w:rPr>
            <w:webHidden/>
          </w:rPr>
          <w:tab/>
        </w:r>
        <w:r>
          <w:rPr>
            <w:webHidden/>
          </w:rPr>
          <w:fldChar w:fldCharType="begin"/>
        </w:r>
        <w:r>
          <w:rPr>
            <w:webHidden/>
          </w:rPr>
          <w:instrText xml:space="preserve"> PAGEREF _Toc230077023 \h </w:instrText>
        </w:r>
        <w:r>
          <w:rPr>
            <w:webHidden/>
          </w:rPr>
        </w:r>
        <w:r>
          <w:rPr>
            <w:webHidden/>
          </w:rPr>
          <w:fldChar w:fldCharType="separate"/>
        </w:r>
        <w:r w:rsidR="005C5DEE">
          <w:rPr>
            <w:webHidden/>
          </w:rPr>
          <w:t>46</w:t>
        </w:r>
        <w:r>
          <w:rPr>
            <w:webHidden/>
          </w:rPr>
          <w:fldChar w:fldCharType="end"/>
        </w:r>
      </w:hyperlink>
    </w:p>
    <w:p w14:paraId="7B02C678" w14:textId="7A66D90A" w:rsidR="008D7E35" w:rsidRDefault="008D7E35">
      <w:pPr>
        <w:pStyle w:val="TM2"/>
        <w:rPr>
          <w:rFonts w:cstheme="minorBidi"/>
          <w:color w:val="auto"/>
          <w:kern w:val="2"/>
          <w:sz w:val="24"/>
          <w:szCs w:val="24"/>
          <w14:ligatures w14:val="standardContextual"/>
        </w:rPr>
      </w:pPr>
      <w:hyperlink w:anchor="_Toc230077024" w:history="1">
        <w:r w:rsidRPr="00594ED3">
          <w:rPr>
            <w:rStyle w:val="Lienhypertexte"/>
          </w:rPr>
          <w:t>3.2</w:t>
        </w:r>
        <w:r>
          <w:rPr>
            <w:rFonts w:cstheme="minorBidi"/>
            <w:color w:val="auto"/>
            <w:kern w:val="2"/>
            <w:sz w:val="24"/>
            <w:szCs w:val="24"/>
            <w14:ligatures w14:val="standardContextual"/>
          </w:rPr>
          <w:tab/>
        </w:r>
        <w:r w:rsidRPr="00594ED3">
          <w:rPr>
            <w:rStyle w:val="Lienhypertexte"/>
          </w:rPr>
          <w:t>Outils et leviers techniques</w:t>
        </w:r>
        <w:r>
          <w:rPr>
            <w:webHidden/>
          </w:rPr>
          <w:tab/>
        </w:r>
        <w:r>
          <w:rPr>
            <w:webHidden/>
          </w:rPr>
          <w:fldChar w:fldCharType="begin"/>
        </w:r>
        <w:r>
          <w:rPr>
            <w:webHidden/>
          </w:rPr>
          <w:instrText xml:space="preserve"> PAGEREF _Toc230077024 \h </w:instrText>
        </w:r>
        <w:r>
          <w:rPr>
            <w:webHidden/>
          </w:rPr>
        </w:r>
        <w:r>
          <w:rPr>
            <w:webHidden/>
          </w:rPr>
          <w:fldChar w:fldCharType="separate"/>
        </w:r>
        <w:r w:rsidR="005C5DEE">
          <w:rPr>
            <w:webHidden/>
          </w:rPr>
          <w:t>53</w:t>
        </w:r>
        <w:r>
          <w:rPr>
            <w:webHidden/>
          </w:rPr>
          <w:fldChar w:fldCharType="end"/>
        </w:r>
      </w:hyperlink>
    </w:p>
    <w:p w14:paraId="3484EEBE" w14:textId="150EFC51" w:rsidR="008D7E35" w:rsidRDefault="008D7E35">
      <w:pPr>
        <w:pStyle w:val="TM3"/>
        <w:rPr>
          <w:rFonts w:cstheme="minorBidi"/>
          <w:color w:val="auto"/>
          <w:kern w:val="2"/>
          <w:sz w:val="24"/>
          <w:szCs w:val="24"/>
          <w14:ligatures w14:val="standardContextual"/>
        </w:rPr>
      </w:pPr>
      <w:hyperlink w:anchor="_Toc230077025" w:history="1">
        <w:r w:rsidRPr="00594ED3">
          <w:rPr>
            <w:rStyle w:val="Lienhypertexte"/>
          </w:rPr>
          <w:t>3.2.1</w:t>
        </w:r>
        <w:r>
          <w:rPr>
            <w:rFonts w:cstheme="minorBidi"/>
            <w:color w:val="auto"/>
            <w:kern w:val="2"/>
            <w:sz w:val="24"/>
            <w:szCs w:val="24"/>
            <w14:ligatures w14:val="standardContextual"/>
          </w:rPr>
          <w:tab/>
        </w:r>
        <w:r w:rsidRPr="00594ED3">
          <w:rPr>
            <w:rStyle w:val="Lienhypertexte"/>
          </w:rPr>
          <w:t>Méthodes et outils d’acculturation</w:t>
        </w:r>
        <w:r>
          <w:rPr>
            <w:webHidden/>
          </w:rPr>
          <w:tab/>
        </w:r>
        <w:r>
          <w:rPr>
            <w:webHidden/>
          </w:rPr>
          <w:fldChar w:fldCharType="begin"/>
        </w:r>
        <w:r>
          <w:rPr>
            <w:webHidden/>
          </w:rPr>
          <w:instrText xml:space="preserve"> PAGEREF _Toc230077025 \h </w:instrText>
        </w:r>
        <w:r>
          <w:rPr>
            <w:webHidden/>
          </w:rPr>
        </w:r>
        <w:r>
          <w:rPr>
            <w:webHidden/>
          </w:rPr>
          <w:fldChar w:fldCharType="separate"/>
        </w:r>
        <w:r w:rsidR="005C5DEE">
          <w:rPr>
            <w:webHidden/>
          </w:rPr>
          <w:t>53</w:t>
        </w:r>
        <w:r>
          <w:rPr>
            <w:webHidden/>
          </w:rPr>
          <w:fldChar w:fldCharType="end"/>
        </w:r>
      </w:hyperlink>
    </w:p>
    <w:p w14:paraId="6AC7C051" w14:textId="69C5C886" w:rsidR="008D7E35" w:rsidRDefault="008D7E35">
      <w:pPr>
        <w:pStyle w:val="TM3"/>
        <w:rPr>
          <w:rFonts w:cstheme="minorBidi"/>
          <w:color w:val="auto"/>
          <w:kern w:val="2"/>
          <w:sz w:val="24"/>
          <w:szCs w:val="24"/>
          <w14:ligatures w14:val="standardContextual"/>
        </w:rPr>
      </w:pPr>
      <w:hyperlink w:anchor="_Toc230077026" w:history="1">
        <w:r w:rsidRPr="00594ED3">
          <w:rPr>
            <w:rStyle w:val="Lienhypertexte"/>
          </w:rPr>
          <w:t>3.2.2</w:t>
        </w:r>
        <w:r>
          <w:rPr>
            <w:rFonts w:cstheme="minorBidi"/>
            <w:color w:val="auto"/>
            <w:kern w:val="2"/>
            <w:sz w:val="24"/>
            <w:szCs w:val="24"/>
            <w14:ligatures w14:val="standardContextual"/>
          </w:rPr>
          <w:tab/>
        </w:r>
        <w:r w:rsidRPr="00594ED3">
          <w:rPr>
            <w:rStyle w:val="Lienhypertexte"/>
          </w:rPr>
          <w:t>Focus sur le design system accessible</w:t>
        </w:r>
        <w:r>
          <w:rPr>
            <w:webHidden/>
          </w:rPr>
          <w:tab/>
        </w:r>
        <w:r>
          <w:rPr>
            <w:webHidden/>
          </w:rPr>
          <w:fldChar w:fldCharType="begin"/>
        </w:r>
        <w:r>
          <w:rPr>
            <w:webHidden/>
          </w:rPr>
          <w:instrText xml:space="preserve"> PAGEREF _Toc230077026 \h </w:instrText>
        </w:r>
        <w:r>
          <w:rPr>
            <w:webHidden/>
          </w:rPr>
        </w:r>
        <w:r>
          <w:rPr>
            <w:webHidden/>
          </w:rPr>
          <w:fldChar w:fldCharType="separate"/>
        </w:r>
        <w:r w:rsidR="005C5DEE">
          <w:rPr>
            <w:webHidden/>
          </w:rPr>
          <w:t>57</w:t>
        </w:r>
        <w:r>
          <w:rPr>
            <w:webHidden/>
          </w:rPr>
          <w:fldChar w:fldCharType="end"/>
        </w:r>
      </w:hyperlink>
    </w:p>
    <w:p w14:paraId="0C29E6B4" w14:textId="5D4F2AFB" w:rsidR="008D7E35" w:rsidRDefault="008D7E35">
      <w:pPr>
        <w:pStyle w:val="TM3"/>
        <w:rPr>
          <w:rFonts w:cstheme="minorBidi"/>
          <w:color w:val="auto"/>
          <w:kern w:val="2"/>
          <w:sz w:val="24"/>
          <w:szCs w:val="24"/>
          <w14:ligatures w14:val="standardContextual"/>
        </w:rPr>
      </w:pPr>
      <w:hyperlink w:anchor="_Toc230077027" w:history="1">
        <w:r w:rsidRPr="00594ED3">
          <w:rPr>
            <w:rStyle w:val="Lienhypertexte"/>
          </w:rPr>
          <w:t>3.2.3</w:t>
        </w:r>
        <w:r>
          <w:rPr>
            <w:rFonts w:cstheme="minorBidi"/>
            <w:color w:val="auto"/>
            <w:kern w:val="2"/>
            <w:sz w:val="24"/>
            <w:szCs w:val="24"/>
            <w14:ligatures w14:val="standardContextual"/>
          </w:rPr>
          <w:tab/>
        </w:r>
        <w:r w:rsidRPr="00594ED3">
          <w:rPr>
            <w:rStyle w:val="Lienhypertexte"/>
          </w:rPr>
          <w:t>Suivi des KPIs et démonstration du ROI</w:t>
        </w:r>
        <w:r>
          <w:rPr>
            <w:webHidden/>
          </w:rPr>
          <w:tab/>
        </w:r>
        <w:r>
          <w:rPr>
            <w:webHidden/>
          </w:rPr>
          <w:fldChar w:fldCharType="begin"/>
        </w:r>
        <w:r>
          <w:rPr>
            <w:webHidden/>
          </w:rPr>
          <w:instrText xml:space="preserve"> PAGEREF _Toc230077027 \h </w:instrText>
        </w:r>
        <w:r>
          <w:rPr>
            <w:webHidden/>
          </w:rPr>
        </w:r>
        <w:r>
          <w:rPr>
            <w:webHidden/>
          </w:rPr>
          <w:fldChar w:fldCharType="separate"/>
        </w:r>
        <w:r w:rsidR="005C5DEE">
          <w:rPr>
            <w:webHidden/>
          </w:rPr>
          <w:t>60</w:t>
        </w:r>
        <w:r>
          <w:rPr>
            <w:webHidden/>
          </w:rPr>
          <w:fldChar w:fldCharType="end"/>
        </w:r>
      </w:hyperlink>
    </w:p>
    <w:p w14:paraId="3E8443DC" w14:textId="3916AC68" w:rsidR="008D7E35" w:rsidRDefault="008D7E35">
      <w:pPr>
        <w:pStyle w:val="TM2"/>
        <w:rPr>
          <w:rFonts w:cstheme="minorBidi"/>
          <w:color w:val="auto"/>
          <w:kern w:val="2"/>
          <w:sz w:val="24"/>
          <w:szCs w:val="24"/>
          <w14:ligatures w14:val="standardContextual"/>
        </w:rPr>
      </w:pPr>
      <w:hyperlink w:anchor="_Toc230077028" w:history="1">
        <w:r w:rsidRPr="00594ED3">
          <w:rPr>
            <w:rStyle w:val="Lienhypertexte"/>
          </w:rPr>
          <w:t>À retenir</w:t>
        </w:r>
        <w:r>
          <w:rPr>
            <w:webHidden/>
          </w:rPr>
          <w:tab/>
        </w:r>
        <w:r>
          <w:rPr>
            <w:webHidden/>
          </w:rPr>
          <w:fldChar w:fldCharType="begin"/>
        </w:r>
        <w:r>
          <w:rPr>
            <w:webHidden/>
          </w:rPr>
          <w:instrText xml:space="preserve"> PAGEREF _Toc230077028 \h </w:instrText>
        </w:r>
        <w:r>
          <w:rPr>
            <w:webHidden/>
          </w:rPr>
        </w:r>
        <w:r>
          <w:rPr>
            <w:webHidden/>
          </w:rPr>
          <w:fldChar w:fldCharType="separate"/>
        </w:r>
        <w:r w:rsidR="005C5DEE">
          <w:rPr>
            <w:webHidden/>
          </w:rPr>
          <w:t>65</w:t>
        </w:r>
        <w:r>
          <w:rPr>
            <w:webHidden/>
          </w:rPr>
          <w:fldChar w:fldCharType="end"/>
        </w:r>
      </w:hyperlink>
    </w:p>
    <w:p w14:paraId="732C18CC" w14:textId="4FCF175D" w:rsidR="008D7E35" w:rsidRDefault="008D7E35">
      <w:pPr>
        <w:pStyle w:val="TM1"/>
        <w:rPr>
          <w:rFonts w:eastAsiaTheme="minorEastAsia"/>
          <w:b w:val="0"/>
          <w:caps w:val="0"/>
          <w:color w:val="auto"/>
          <w:kern w:val="2"/>
          <w:sz w:val="24"/>
          <w:szCs w:val="24"/>
          <w:lang w:val="fr-FR" w:eastAsia="fr-FR"/>
          <w14:ligatures w14:val="standardContextual"/>
        </w:rPr>
      </w:pPr>
      <w:hyperlink w:anchor="_Toc230077029" w:history="1">
        <w:r w:rsidRPr="00594ED3">
          <w:rPr>
            <w:rStyle w:val="Lienhypertexte"/>
          </w:rPr>
          <w:t>4</w:t>
        </w:r>
        <w:r>
          <w:rPr>
            <w:rFonts w:eastAsiaTheme="minorEastAsia"/>
            <w:b w:val="0"/>
            <w:caps w:val="0"/>
            <w:color w:val="auto"/>
            <w:kern w:val="2"/>
            <w:sz w:val="24"/>
            <w:szCs w:val="24"/>
            <w:lang w:val="fr-FR" w:eastAsia="fr-FR"/>
            <w14:ligatures w14:val="standardContextual"/>
          </w:rPr>
          <w:tab/>
        </w:r>
        <w:r w:rsidRPr="00594ED3">
          <w:rPr>
            <w:rStyle w:val="Lienhypertexte"/>
          </w:rPr>
          <w:t>L’essentiel des Principes d’action pour accompagner le passage à l’échelle</w:t>
        </w:r>
        <w:r>
          <w:rPr>
            <w:webHidden/>
          </w:rPr>
          <w:tab/>
        </w:r>
        <w:r>
          <w:rPr>
            <w:webHidden/>
          </w:rPr>
          <w:fldChar w:fldCharType="begin"/>
        </w:r>
        <w:r>
          <w:rPr>
            <w:webHidden/>
          </w:rPr>
          <w:instrText xml:space="preserve"> PAGEREF _Toc230077029 \h </w:instrText>
        </w:r>
        <w:r>
          <w:rPr>
            <w:webHidden/>
          </w:rPr>
        </w:r>
        <w:r>
          <w:rPr>
            <w:webHidden/>
          </w:rPr>
          <w:fldChar w:fldCharType="separate"/>
        </w:r>
        <w:r w:rsidR="005C5DEE">
          <w:rPr>
            <w:webHidden/>
          </w:rPr>
          <w:t>66</w:t>
        </w:r>
        <w:r>
          <w:rPr>
            <w:webHidden/>
          </w:rPr>
          <w:fldChar w:fldCharType="end"/>
        </w:r>
      </w:hyperlink>
    </w:p>
    <w:p w14:paraId="7DC04E0E" w14:textId="60308B0E" w:rsidR="008D7E35" w:rsidRDefault="008D7E35">
      <w:pPr>
        <w:pStyle w:val="TM2"/>
        <w:rPr>
          <w:rFonts w:cstheme="minorBidi"/>
          <w:color w:val="auto"/>
          <w:kern w:val="2"/>
          <w:sz w:val="24"/>
          <w:szCs w:val="24"/>
          <w14:ligatures w14:val="standardContextual"/>
        </w:rPr>
      </w:pPr>
      <w:hyperlink w:anchor="_Toc230077030" w:history="1">
        <w:r w:rsidRPr="00594ED3">
          <w:rPr>
            <w:rStyle w:val="Lienhypertexte"/>
          </w:rPr>
          <w:t>4.1</w:t>
        </w:r>
        <w:r>
          <w:rPr>
            <w:rFonts w:cstheme="minorBidi"/>
            <w:color w:val="auto"/>
            <w:kern w:val="2"/>
            <w:sz w:val="24"/>
            <w:szCs w:val="24"/>
            <w14:ligatures w14:val="standardContextual"/>
          </w:rPr>
          <w:tab/>
        </w:r>
        <w:r w:rsidRPr="00594ED3">
          <w:rPr>
            <w:rStyle w:val="Lienhypertexte"/>
          </w:rPr>
          <w:t>Points de blocage et leviers de résolution identifiés par le groupe de travail</w:t>
        </w:r>
        <w:r>
          <w:rPr>
            <w:webHidden/>
          </w:rPr>
          <w:tab/>
        </w:r>
        <w:r>
          <w:rPr>
            <w:webHidden/>
          </w:rPr>
          <w:fldChar w:fldCharType="begin"/>
        </w:r>
        <w:r>
          <w:rPr>
            <w:webHidden/>
          </w:rPr>
          <w:instrText xml:space="preserve"> PAGEREF _Toc230077030 \h </w:instrText>
        </w:r>
        <w:r>
          <w:rPr>
            <w:webHidden/>
          </w:rPr>
        </w:r>
        <w:r>
          <w:rPr>
            <w:webHidden/>
          </w:rPr>
          <w:fldChar w:fldCharType="separate"/>
        </w:r>
        <w:r w:rsidR="005C5DEE">
          <w:rPr>
            <w:webHidden/>
          </w:rPr>
          <w:t>67</w:t>
        </w:r>
        <w:r>
          <w:rPr>
            <w:webHidden/>
          </w:rPr>
          <w:fldChar w:fldCharType="end"/>
        </w:r>
      </w:hyperlink>
    </w:p>
    <w:p w14:paraId="557F6A58" w14:textId="62599D4D" w:rsidR="008D7E35" w:rsidRDefault="008D7E35">
      <w:pPr>
        <w:pStyle w:val="TM2"/>
        <w:rPr>
          <w:rFonts w:cstheme="minorBidi"/>
          <w:color w:val="auto"/>
          <w:kern w:val="2"/>
          <w:sz w:val="24"/>
          <w:szCs w:val="24"/>
          <w14:ligatures w14:val="standardContextual"/>
        </w:rPr>
      </w:pPr>
      <w:hyperlink w:anchor="_Toc230077031" w:history="1">
        <w:r w:rsidRPr="00594ED3">
          <w:rPr>
            <w:rStyle w:val="Lienhypertexte"/>
          </w:rPr>
          <w:t>4.2</w:t>
        </w:r>
        <w:r>
          <w:rPr>
            <w:rFonts w:cstheme="minorBidi"/>
            <w:color w:val="auto"/>
            <w:kern w:val="2"/>
            <w:sz w:val="24"/>
            <w:szCs w:val="24"/>
            <w14:ligatures w14:val="standardContextual"/>
          </w:rPr>
          <w:tab/>
        </w:r>
        <w:r w:rsidRPr="00594ED3">
          <w:rPr>
            <w:rStyle w:val="Lienhypertexte"/>
          </w:rPr>
          <w:t>Les chantiers prioritaires identifiés par le groupe de travail</w:t>
        </w:r>
        <w:r>
          <w:rPr>
            <w:webHidden/>
          </w:rPr>
          <w:tab/>
        </w:r>
        <w:r>
          <w:rPr>
            <w:webHidden/>
          </w:rPr>
          <w:fldChar w:fldCharType="begin"/>
        </w:r>
        <w:r>
          <w:rPr>
            <w:webHidden/>
          </w:rPr>
          <w:instrText xml:space="preserve"> PAGEREF _Toc230077031 \h </w:instrText>
        </w:r>
        <w:r>
          <w:rPr>
            <w:webHidden/>
          </w:rPr>
        </w:r>
        <w:r>
          <w:rPr>
            <w:webHidden/>
          </w:rPr>
          <w:fldChar w:fldCharType="separate"/>
        </w:r>
        <w:r w:rsidR="005C5DEE">
          <w:rPr>
            <w:webHidden/>
          </w:rPr>
          <w:t>68</w:t>
        </w:r>
        <w:r>
          <w:rPr>
            <w:webHidden/>
          </w:rPr>
          <w:fldChar w:fldCharType="end"/>
        </w:r>
      </w:hyperlink>
    </w:p>
    <w:p w14:paraId="141F842B" w14:textId="08CA1C8D" w:rsidR="008D7E35" w:rsidRDefault="008D7E35">
      <w:pPr>
        <w:pStyle w:val="TM3"/>
        <w:rPr>
          <w:rFonts w:cstheme="minorBidi"/>
          <w:color w:val="auto"/>
          <w:kern w:val="2"/>
          <w:sz w:val="24"/>
          <w:szCs w:val="24"/>
          <w14:ligatures w14:val="standardContextual"/>
        </w:rPr>
      </w:pPr>
      <w:hyperlink w:anchor="_Toc230077032" w:history="1">
        <w:r w:rsidRPr="00594ED3">
          <w:rPr>
            <w:rStyle w:val="Lienhypertexte"/>
          </w:rPr>
          <w:t>4.2.1</w:t>
        </w:r>
        <w:r>
          <w:rPr>
            <w:rFonts w:cstheme="minorBidi"/>
            <w:color w:val="auto"/>
            <w:kern w:val="2"/>
            <w:sz w:val="24"/>
            <w:szCs w:val="24"/>
            <w14:ligatures w14:val="standardContextual"/>
          </w:rPr>
          <w:tab/>
        </w:r>
        <w:r w:rsidRPr="00594ED3">
          <w:rPr>
            <w:rStyle w:val="Lienhypertexte"/>
          </w:rPr>
          <w:t>Investir dans les formations et sensibilisations adaptées</w:t>
        </w:r>
        <w:r>
          <w:rPr>
            <w:webHidden/>
          </w:rPr>
          <w:tab/>
        </w:r>
        <w:r>
          <w:rPr>
            <w:webHidden/>
          </w:rPr>
          <w:fldChar w:fldCharType="begin"/>
        </w:r>
        <w:r>
          <w:rPr>
            <w:webHidden/>
          </w:rPr>
          <w:instrText xml:space="preserve"> PAGEREF _Toc230077032 \h </w:instrText>
        </w:r>
        <w:r>
          <w:rPr>
            <w:webHidden/>
          </w:rPr>
        </w:r>
        <w:r>
          <w:rPr>
            <w:webHidden/>
          </w:rPr>
          <w:fldChar w:fldCharType="separate"/>
        </w:r>
        <w:r w:rsidR="005C5DEE">
          <w:rPr>
            <w:webHidden/>
          </w:rPr>
          <w:t>69</w:t>
        </w:r>
        <w:r>
          <w:rPr>
            <w:webHidden/>
          </w:rPr>
          <w:fldChar w:fldCharType="end"/>
        </w:r>
      </w:hyperlink>
    </w:p>
    <w:p w14:paraId="181E2311" w14:textId="312971F0" w:rsidR="008D7E35" w:rsidRDefault="008D7E35">
      <w:pPr>
        <w:pStyle w:val="TM3"/>
        <w:rPr>
          <w:rFonts w:cstheme="minorBidi"/>
          <w:color w:val="auto"/>
          <w:kern w:val="2"/>
          <w:sz w:val="24"/>
          <w:szCs w:val="24"/>
          <w14:ligatures w14:val="standardContextual"/>
        </w:rPr>
      </w:pPr>
      <w:hyperlink w:anchor="_Toc230077033" w:history="1">
        <w:r w:rsidRPr="00594ED3">
          <w:rPr>
            <w:rStyle w:val="Lienhypertexte"/>
          </w:rPr>
          <w:t>4.2.2</w:t>
        </w:r>
        <w:r>
          <w:rPr>
            <w:rFonts w:cstheme="minorBidi"/>
            <w:color w:val="auto"/>
            <w:kern w:val="2"/>
            <w:sz w:val="24"/>
            <w:szCs w:val="24"/>
            <w14:ligatures w14:val="standardContextual"/>
          </w:rPr>
          <w:tab/>
        </w:r>
        <w:r w:rsidRPr="00594ED3">
          <w:rPr>
            <w:rStyle w:val="Lienhypertexte"/>
          </w:rPr>
          <w:t>Avoir une gouvernance structurée et suivie dans le temps</w:t>
        </w:r>
        <w:r>
          <w:rPr>
            <w:webHidden/>
          </w:rPr>
          <w:tab/>
        </w:r>
        <w:r>
          <w:rPr>
            <w:webHidden/>
          </w:rPr>
          <w:fldChar w:fldCharType="begin"/>
        </w:r>
        <w:r>
          <w:rPr>
            <w:webHidden/>
          </w:rPr>
          <w:instrText xml:space="preserve"> PAGEREF _Toc230077033 \h </w:instrText>
        </w:r>
        <w:r>
          <w:rPr>
            <w:webHidden/>
          </w:rPr>
        </w:r>
        <w:r>
          <w:rPr>
            <w:webHidden/>
          </w:rPr>
          <w:fldChar w:fldCharType="separate"/>
        </w:r>
        <w:r w:rsidR="005C5DEE">
          <w:rPr>
            <w:webHidden/>
          </w:rPr>
          <w:t>70</w:t>
        </w:r>
        <w:r>
          <w:rPr>
            <w:webHidden/>
          </w:rPr>
          <w:fldChar w:fldCharType="end"/>
        </w:r>
      </w:hyperlink>
    </w:p>
    <w:p w14:paraId="5733F48D" w14:textId="0E4B7A50" w:rsidR="008D7E35" w:rsidRDefault="008D7E35">
      <w:pPr>
        <w:pStyle w:val="TM3"/>
        <w:rPr>
          <w:rFonts w:cstheme="minorBidi"/>
          <w:color w:val="auto"/>
          <w:kern w:val="2"/>
          <w:sz w:val="24"/>
          <w:szCs w:val="24"/>
          <w14:ligatures w14:val="standardContextual"/>
        </w:rPr>
      </w:pPr>
      <w:hyperlink w:anchor="_Toc230077034" w:history="1">
        <w:r w:rsidRPr="00594ED3">
          <w:rPr>
            <w:rStyle w:val="Lienhypertexte"/>
          </w:rPr>
          <w:t>4.2.3</w:t>
        </w:r>
        <w:r>
          <w:rPr>
            <w:rFonts w:cstheme="minorBidi"/>
            <w:color w:val="auto"/>
            <w:kern w:val="2"/>
            <w:sz w:val="24"/>
            <w:szCs w:val="24"/>
            <w14:ligatures w14:val="standardContextual"/>
          </w:rPr>
          <w:tab/>
        </w:r>
        <w:r w:rsidRPr="00594ED3">
          <w:rPr>
            <w:rStyle w:val="Lienhypertexte"/>
          </w:rPr>
          <w:t>Assurer un suivi itératif sur tout le cycle de vie des projets</w:t>
        </w:r>
        <w:r>
          <w:rPr>
            <w:webHidden/>
          </w:rPr>
          <w:tab/>
        </w:r>
        <w:r>
          <w:rPr>
            <w:webHidden/>
          </w:rPr>
          <w:fldChar w:fldCharType="begin"/>
        </w:r>
        <w:r>
          <w:rPr>
            <w:webHidden/>
          </w:rPr>
          <w:instrText xml:space="preserve"> PAGEREF _Toc230077034 \h </w:instrText>
        </w:r>
        <w:r>
          <w:rPr>
            <w:webHidden/>
          </w:rPr>
        </w:r>
        <w:r>
          <w:rPr>
            <w:webHidden/>
          </w:rPr>
          <w:fldChar w:fldCharType="separate"/>
        </w:r>
        <w:r w:rsidR="005C5DEE">
          <w:rPr>
            <w:webHidden/>
          </w:rPr>
          <w:t>71</w:t>
        </w:r>
        <w:r>
          <w:rPr>
            <w:webHidden/>
          </w:rPr>
          <w:fldChar w:fldCharType="end"/>
        </w:r>
      </w:hyperlink>
    </w:p>
    <w:p w14:paraId="7F39B9F5" w14:textId="00DCE568" w:rsidR="008D7E35" w:rsidRDefault="008D7E35">
      <w:pPr>
        <w:pStyle w:val="TM1"/>
        <w:rPr>
          <w:rFonts w:eastAsiaTheme="minorEastAsia"/>
          <w:b w:val="0"/>
          <w:caps w:val="0"/>
          <w:color w:val="auto"/>
          <w:kern w:val="2"/>
          <w:sz w:val="24"/>
          <w:szCs w:val="24"/>
          <w:lang w:val="fr-FR" w:eastAsia="fr-FR"/>
          <w14:ligatures w14:val="standardContextual"/>
        </w:rPr>
      </w:pPr>
      <w:hyperlink w:anchor="_Toc230077035" w:history="1">
        <w:r w:rsidRPr="00594ED3">
          <w:rPr>
            <w:rStyle w:val="Lienhypertexte"/>
          </w:rPr>
          <w:t>Conclusion</w:t>
        </w:r>
        <w:r>
          <w:rPr>
            <w:webHidden/>
          </w:rPr>
          <w:tab/>
        </w:r>
        <w:r>
          <w:rPr>
            <w:webHidden/>
          </w:rPr>
          <w:fldChar w:fldCharType="begin"/>
        </w:r>
        <w:r>
          <w:rPr>
            <w:webHidden/>
          </w:rPr>
          <w:instrText xml:space="preserve"> PAGEREF _Toc230077035 \h </w:instrText>
        </w:r>
        <w:r>
          <w:rPr>
            <w:webHidden/>
          </w:rPr>
        </w:r>
        <w:r>
          <w:rPr>
            <w:webHidden/>
          </w:rPr>
          <w:fldChar w:fldCharType="separate"/>
        </w:r>
        <w:r w:rsidR="005C5DEE">
          <w:rPr>
            <w:webHidden/>
          </w:rPr>
          <w:t>74</w:t>
        </w:r>
        <w:r>
          <w:rPr>
            <w:webHidden/>
          </w:rPr>
          <w:fldChar w:fldCharType="end"/>
        </w:r>
      </w:hyperlink>
    </w:p>
    <w:p w14:paraId="0D9BA69A" w14:textId="649FEC0E" w:rsidR="00276234" w:rsidRDefault="004C7112" w:rsidP="000A0BF1">
      <w:pPr>
        <w:rPr>
          <w:rFonts w:eastAsia="Times New Roman"/>
          <w:color w:val="21374B"/>
          <w:lang w:eastAsia="fr-FR"/>
        </w:rPr>
      </w:pPr>
      <w:r>
        <w:rPr>
          <w:rFonts w:eastAsia="Times New Roman" w:cs="Times New Roman"/>
          <w:b/>
          <w:caps/>
          <w:noProof/>
          <w:color w:val="6C0A1A"/>
          <w:sz w:val="32"/>
          <w:szCs w:val="32"/>
          <w:lang w:val="en-US"/>
        </w:rPr>
        <w:fldChar w:fldCharType="end"/>
      </w:r>
    </w:p>
    <w:p w14:paraId="27530C82" w14:textId="77777777" w:rsidR="006A501E" w:rsidRPr="006A501E" w:rsidRDefault="006A501E" w:rsidP="00CF2255">
      <w:pPr>
        <w:pStyle w:val="En-ttedetabledesmatires"/>
      </w:pPr>
      <w:r w:rsidRPr="00DE2433">
        <w:t xml:space="preserve">TABLE DES </w:t>
      </w:r>
      <w:r w:rsidR="007B2E61">
        <w:t>illustrations</w:t>
      </w:r>
    </w:p>
    <w:p w14:paraId="38F3E617" w14:textId="0EA842C1" w:rsidR="00DE4E1C" w:rsidRPr="0073200E" w:rsidRDefault="00273DFD">
      <w:pPr>
        <w:pStyle w:val="Tabledesillustrations"/>
        <w:rPr>
          <w:rFonts w:eastAsiaTheme="minorEastAsia"/>
          <w:b w:val="0"/>
          <w:kern w:val="2"/>
          <w:sz w:val="24"/>
          <w:szCs w:val="24"/>
          <w:lang w:val="fr-FR" w:eastAsia="fr-FR"/>
          <w14:ligatures w14:val="standardContextual"/>
        </w:rPr>
      </w:pPr>
      <w:r w:rsidRPr="0073200E">
        <w:rPr>
          <w:rFonts w:eastAsia="Times New Roman"/>
          <w:caps/>
          <w:color w:val="385623" w:themeColor="accent6" w:themeShade="80"/>
          <w:lang w:eastAsia="fr-FR"/>
        </w:rPr>
        <w:fldChar w:fldCharType="begin"/>
      </w:r>
      <w:r w:rsidRPr="0073200E">
        <w:rPr>
          <w:rFonts w:eastAsia="Times New Roman"/>
          <w:caps/>
          <w:color w:val="385623" w:themeColor="accent6" w:themeShade="80"/>
          <w:lang w:eastAsia="fr-FR"/>
        </w:rPr>
        <w:instrText xml:space="preserve"> TOC \h \z \t "Légende;1" \c "Figure" </w:instrText>
      </w:r>
      <w:r w:rsidRPr="0073200E">
        <w:rPr>
          <w:rFonts w:eastAsia="Times New Roman"/>
          <w:caps/>
          <w:color w:val="385623" w:themeColor="accent6" w:themeShade="80"/>
          <w:lang w:eastAsia="fr-FR"/>
        </w:rPr>
        <w:fldChar w:fldCharType="separate"/>
      </w:r>
      <w:hyperlink w:anchor="_Toc230192046" w:history="1">
        <w:r w:rsidR="00DE4E1C" w:rsidRPr="0073200E">
          <w:rPr>
            <w:rStyle w:val="Lienhypertexte"/>
            <w:color w:val="4B5943"/>
          </w:rPr>
          <w:t xml:space="preserve">®Caisse des </w:t>
        </w:r>
        <w:r w:rsidR="00AB6053" w:rsidRPr="0073200E">
          <w:rPr>
            <w:rStyle w:val="Lienhypertexte"/>
            <w:color w:val="4B5943"/>
          </w:rPr>
          <w:t>D</w:t>
        </w:r>
        <w:r w:rsidR="00DE4E1C" w:rsidRPr="0073200E">
          <w:rPr>
            <w:rStyle w:val="Lienhypertexte"/>
            <w:color w:val="4B5943"/>
          </w:rPr>
          <w:t>épôts_</w:t>
        </w:r>
        <w:r w:rsidR="00DE4E1C" w:rsidRPr="0073200E">
          <w:rPr>
            <w:rStyle w:val="Lienhypertexte"/>
            <w:color w:val="4B5943"/>
            <w:u w:val="none"/>
            <w:lang w:val="fr-FR"/>
          </w:rPr>
          <w:t xml:space="preserve">Intervention </w:t>
        </w:r>
        <w:r w:rsidR="00DE4E1C" w:rsidRPr="0073200E">
          <w:rPr>
            <w:rStyle w:val="Lienhypertexte"/>
            <w:color w:val="4B5943"/>
          </w:rPr>
          <w:t>au GT Cigref_2024</w:t>
        </w:r>
        <w:r w:rsidR="00DE4E1C" w:rsidRPr="0073200E">
          <w:rPr>
            <w:webHidden/>
          </w:rPr>
          <w:tab/>
        </w:r>
        <w:r w:rsidR="00DE4E1C" w:rsidRPr="0073200E">
          <w:rPr>
            <w:webHidden/>
          </w:rPr>
          <w:fldChar w:fldCharType="begin"/>
        </w:r>
        <w:r w:rsidR="00DE4E1C" w:rsidRPr="0073200E">
          <w:rPr>
            <w:webHidden/>
          </w:rPr>
          <w:instrText xml:space="preserve"> PAGEREF _Toc230192046 \h </w:instrText>
        </w:r>
        <w:r w:rsidR="00DE4E1C" w:rsidRPr="0073200E">
          <w:rPr>
            <w:webHidden/>
          </w:rPr>
        </w:r>
        <w:r w:rsidR="00DE4E1C" w:rsidRPr="0073200E">
          <w:rPr>
            <w:webHidden/>
          </w:rPr>
          <w:fldChar w:fldCharType="separate"/>
        </w:r>
        <w:r w:rsidR="005C5DEE" w:rsidRPr="0073200E">
          <w:rPr>
            <w:webHidden/>
          </w:rPr>
          <w:t>34</w:t>
        </w:r>
        <w:r w:rsidR="00DE4E1C" w:rsidRPr="0073200E">
          <w:rPr>
            <w:webHidden/>
          </w:rPr>
          <w:fldChar w:fldCharType="end"/>
        </w:r>
      </w:hyperlink>
    </w:p>
    <w:p w14:paraId="7FCECE34" w14:textId="0EAD18E2" w:rsidR="00DE4E1C" w:rsidRPr="0073200E" w:rsidRDefault="00DE4E1C">
      <w:pPr>
        <w:pStyle w:val="Tabledesillustrations"/>
        <w:rPr>
          <w:rFonts w:eastAsiaTheme="minorEastAsia"/>
          <w:b w:val="0"/>
          <w:kern w:val="2"/>
          <w:sz w:val="24"/>
          <w:szCs w:val="24"/>
          <w:lang w:val="fr-FR" w:eastAsia="fr-FR"/>
          <w14:ligatures w14:val="standardContextual"/>
        </w:rPr>
      </w:pPr>
      <w:r w:rsidRPr="0073200E">
        <w:rPr>
          <w:rStyle w:val="Lienhypertexte"/>
          <w:color w:val="4B5943"/>
          <w:u w:val="none"/>
          <w:lang w:val="fr-FR"/>
        </w:rPr>
        <w:t>®Caisse des Dépôts_</w:t>
      </w:r>
      <w:r>
        <w:fldChar w:fldCharType="begin"/>
      </w:r>
      <w:r w:rsidRPr="001A045C">
        <w:rPr>
          <w:lang w:val="fr-FR"/>
        </w:rPr>
        <w:instrText>HYPERLINK \l "_Toc230192047"</w:instrText>
      </w:r>
      <w:r>
        <w:fldChar w:fldCharType="separate"/>
      </w:r>
      <w:r w:rsidRPr="0073200E">
        <w:rPr>
          <w:rStyle w:val="Lienhypertexte"/>
          <w:color w:val="4B5943"/>
          <w:lang w:val="fr-FR"/>
        </w:rPr>
        <w:t>Logigramme des scenarii</w:t>
      </w:r>
      <w:r w:rsidRPr="0073200E">
        <w:rPr>
          <w:webHidden/>
          <w:lang w:val="fr-FR"/>
        </w:rPr>
        <w:tab/>
      </w:r>
      <w:r w:rsidRPr="0073200E">
        <w:rPr>
          <w:webHidden/>
        </w:rPr>
        <w:fldChar w:fldCharType="begin"/>
      </w:r>
      <w:r w:rsidRPr="0073200E">
        <w:rPr>
          <w:webHidden/>
          <w:lang w:val="fr-FR"/>
        </w:rPr>
        <w:instrText xml:space="preserve"> PAGEREF _Toc230192047 \h </w:instrText>
      </w:r>
      <w:r w:rsidRPr="0073200E">
        <w:rPr>
          <w:webHidden/>
        </w:rPr>
      </w:r>
      <w:r w:rsidRPr="0073200E">
        <w:rPr>
          <w:webHidden/>
        </w:rPr>
        <w:fldChar w:fldCharType="separate"/>
      </w:r>
      <w:r w:rsidR="005C5DEE" w:rsidRPr="0073200E">
        <w:rPr>
          <w:webHidden/>
          <w:lang w:val="fr-FR"/>
        </w:rPr>
        <w:t>40</w:t>
      </w:r>
      <w:r w:rsidRPr="0073200E">
        <w:rPr>
          <w:webHidden/>
        </w:rPr>
        <w:fldChar w:fldCharType="end"/>
      </w:r>
      <w:r>
        <w:fldChar w:fldCharType="end"/>
      </w:r>
    </w:p>
    <w:p w14:paraId="3313BE95" w14:textId="3BC99687" w:rsidR="006A501E" w:rsidRDefault="00273DFD" w:rsidP="007B2E61">
      <w:pPr>
        <w:rPr>
          <w:rFonts w:eastAsia="Times New Roman"/>
          <w:lang w:eastAsia="fr-FR"/>
        </w:rPr>
      </w:pPr>
      <w:r w:rsidRPr="0073200E">
        <w:rPr>
          <w:rFonts w:eastAsia="Times New Roman"/>
          <w:b/>
          <w:caps/>
          <w:noProof/>
          <w:color w:val="385623" w:themeColor="accent6" w:themeShade="80"/>
          <w:lang w:val="en-US" w:eastAsia="fr-FR"/>
        </w:rPr>
        <w:fldChar w:fldCharType="end"/>
      </w:r>
    </w:p>
    <w:p w14:paraId="288172FB" w14:textId="77777777" w:rsidR="00511139" w:rsidRDefault="00511139" w:rsidP="00F25788">
      <w:pPr>
        <w:pStyle w:val="En-ttedetabledesmatires"/>
        <w:pBdr>
          <w:left w:val="single" w:sz="48" w:space="0" w:color="FFFFFF" w:themeColor="background1"/>
        </w:pBdr>
      </w:pPr>
      <w:r>
        <w:br w:type="page"/>
      </w:r>
    </w:p>
    <w:p w14:paraId="178322F6" w14:textId="4802A504" w:rsidR="007B2E61" w:rsidRPr="006A501E" w:rsidRDefault="007B2E61" w:rsidP="00F25788">
      <w:pPr>
        <w:pStyle w:val="En-ttedetabledesmatires"/>
        <w:pBdr>
          <w:left w:val="single" w:sz="48" w:space="0" w:color="FFFFFF" w:themeColor="background1"/>
        </w:pBdr>
      </w:pPr>
      <w:r w:rsidRPr="00DE2433">
        <w:lastRenderedPageBreak/>
        <w:t xml:space="preserve">TABLE DES </w:t>
      </w:r>
      <w:r>
        <w:t>[encarts]</w:t>
      </w:r>
    </w:p>
    <w:p w14:paraId="726B9468" w14:textId="3504EAC6" w:rsidR="000052B0" w:rsidRPr="000052B0" w:rsidRDefault="007B2E61" w:rsidP="000052B0">
      <w:pPr>
        <w:pStyle w:val="Tabledesillustrations"/>
        <w:ind w:left="0" w:firstLine="0"/>
        <w:rPr>
          <w:rStyle w:val="Lienhypertexte"/>
          <w:b w:val="0"/>
          <w:bCs/>
          <w:color w:val="auto"/>
          <w:u w:val="none"/>
          <w:lang w:val="fr-FR"/>
        </w:rPr>
      </w:pPr>
      <w:r w:rsidRPr="002346E1">
        <w:rPr>
          <w:rStyle w:val="Lienhypertexte"/>
          <w:b w:val="0"/>
        </w:rPr>
        <w:fldChar w:fldCharType="begin"/>
      </w:r>
      <w:r w:rsidRPr="000052B0">
        <w:rPr>
          <w:rStyle w:val="Lienhypertexte"/>
          <w:b w:val="0"/>
          <w:lang w:val="fr-FR"/>
        </w:rPr>
        <w:instrText xml:space="preserve"> TOC \h \z \t "Titre Encart" \c </w:instrText>
      </w:r>
      <w:r w:rsidRPr="002346E1">
        <w:rPr>
          <w:rStyle w:val="Lienhypertexte"/>
          <w:b w:val="0"/>
        </w:rPr>
        <w:fldChar w:fldCharType="separate"/>
      </w:r>
      <w:hyperlink w:anchor="_Toc230257723" w:history="1">
        <w:r w:rsidR="00F25788" w:rsidRPr="000052B0">
          <w:rPr>
            <w:rStyle w:val="Lienhypertexte"/>
            <w:lang w:val="fr-FR"/>
          </w:rPr>
          <w:t>REX ENEDIS</w:t>
        </w:r>
        <w:r w:rsidR="000052B0">
          <w:rPr>
            <w:rStyle w:val="Lienhypertexte"/>
            <w:lang w:val="fr-FR"/>
          </w:rPr>
          <w:t> </w:t>
        </w:r>
        <w:r w:rsidR="000052B0" w:rsidRPr="002B1C27">
          <w:rPr>
            <w:rStyle w:val="Lienhypertexte"/>
            <w:b w:val="0"/>
            <w:bCs/>
            <w:lang w:val="fr-FR"/>
          </w:rPr>
          <w:t>:</w:t>
        </w:r>
        <w:r w:rsidR="000052B0" w:rsidRPr="000052B0">
          <w:t xml:space="preserve"> </w:t>
        </w:r>
        <w:r w:rsidR="000052B0" w:rsidRPr="002B1C27">
          <w:rPr>
            <w:rStyle w:val="Lienhypertexte"/>
            <w:b w:val="0"/>
            <w:bCs/>
            <w:lang w:val="fr-FR"/>
          </w:rPr>
          <w:t>gestion de l’accessibilité numérique chez Enedis</w:t>
        </w:r>
        <w:r w:rsidR="00F25788" w:rsidRPr="000052B0">
          <w:rPr>
            <w:webHidden/>
            <w:lang w:val="fr-FR"/>
          </w:rPr>
          <w:tab/>
        </w:r>
        <w:r w:rsidR="005C5DEE">
          <w:rPr>
            <w:webHidden/>
          </w:rPr>
          <w:t>20</w:t>
        </w:r>
      </w:hyperlink>
    </w:p>
    <w:p w14:paraId="4A41B2CC" w14:textId="0660D3E3"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24" w:history="1">
        <w:r w:rsidRPr="003866EE">
          <w:rPr>
            <w:rStyle w:val="Lienhypertexte"/>
          </w:rPr>
          <w:t>REX ENEDIS</w:t>
        </w:r>
        <w:r w:rsidR="000052B0">
          <w:rPr>
            <w:rStyle w:val="Lienhypertexte"/>
          </w:rPr>
          <w:t xml:space="preserve"> </w:t>
        </w:r>
        <w:r w:rsidR="000052B0" w:rsidRPr="002B1C27">
          <w:rPr>
            <w:rStyle w:val="Lienhypertexte"/>
            <w:b w:val="0"/>
            <w:bCs/>
          </w:rPr>
          <w:t>: rôle et missions de la référente Accessibilité numérique d’Enedis</w:t>
        </w:r>
        <w:r>
          <w:rPr>
            <w:webHidden/>
          </w:rPr>
          <w:tab/>
        </w:r>
        <w:r>
          <w:rPr>
            <w:webHidden/>
          </w:rPr>
          <w:fldChar w:fldCharType="begin"/>
        </w:r>
        <w:r>
          <w:rPr>
            <w:webHidden/>
          </w:rPr>
          <w:instrText xml:space="preserve"> PAGEREF _Toc230257724 \h </w:instrText>
        </w:r>
        <w:r>
          <w:rPr>
            <w:webHidden/>
          </w:rPr>
        </w:r>
        <w:r>
          <w:rPr>
            <w:webHidden/>
          </w:rPr>
          <w:fldChar w:fldCharType="separate"/>
        </w:r>
        <w:r w:rsidR="000052B0">
          <w:rPr>
            <w:webHidden/>
          </w:rPr>
          <w:t>2</w:t>
        </w:r>
        <w:r w:rsidR="005C5DEE">
          <w:rPr>
            <w:webHidden/>
          </w:rPr>
          <w:t>5</w:t>
        </w:r>
        <w:r>
          <w:rPr>
            <w:webHidden/>
          </w:rPr>
          <w:fldChar w:fldCharType="end"/>
        </w:r>
      </w:hyperlink>
    </w:p>
    <w:p w14:paraId="557509A9" w14:textId="1037BB4E"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25" w:history="1">
        <w:r w:rsidRPr="003866EE">
          <w:rPr>
            <w:rStyle w:val="Lienhypertexte"/>
          </w:rPr>
          <w:t>REX EQUANS</w:t>
        </w:r>
        <w:r w:rsidR="000052B0">
          <w:rPr>
            <w:rStyle w:val="Lienhypertexte"/>
          </w:rPr>
          <w:t xml:space="preserve"> </w:t>
        </w:r>
        <w:r w:rsidR="000052B0" w:rsidRPr="002B1C27">
          <w:rPr>
            <w:rStyle w:val="Lienhypertexte"/>
            <w:b w:val="0"/>
            <w:bCs/>
          </w:rPr>
          <w:t>: démarche d’accessibilité numérique chez Equans</w:t>
        </w:r>
        <w:r>
          <w:rPr>
            <w:webHidden/>
          </w:rPr>
          <w:tab/>
        </w:r>
        <w:r w:rsidR="005C5DEE">
          <w:rPr>
            <w:webHidden/>
          </w:rPr>
          <w:t>30</w:t>
        </w:r>
      </w:hyperlink>
    </w:p>
    <w:p w14:paraId="0600722A" w14:textId="0CD1FC42"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26" w:history="1">
        <w:r w:rsidRPr="003866EE">
          <w:rPr>
            <w:rStyle w:val="Lienhypertexte"/>
          </w:rPr>
          <w:t>REX Direction du Numérique des ministres de la Transition écologique et de l’Aménagement des territoires</w:t>
        </w:r>
        <w:r w:rsidR="000052B0" w:rsidRPr="002B1C27">
          <w:rPr>
            <w:rStyle w:val="Lienhypertexte"/>
            <w:b w:val="0"/>
            <w:bCs/>
          </w:rPr>
          <w:t xml:space="preserve"> : analyse de l’existant et définition des publics visés par la démarche d’accessibilité</w:t>
        </w:r>
        <w:r>
          <w:rPr>
            <w:webHidden/>
          </w:rPr>
          <w:tab/>
        </w:r>
        <w:r w:rsidR="005C5DEE">
          <w:rPr>
            <w:webHidden/>
          </w:rPr>
          <w:t>32</w:t>
        </w:r>
      </w:hyperlink>
    </w:p>
    <w:p w14:paraId="5A285999" w14:textId="6CE811E5" w:rsidR="00F25788" w:rsidRDefault="00F25788" w:rsidP="00511139">
      <w:pPr>
        <w:pStyle w:val="Tabledesillustrations"/>
      </w:pPr>
      <w:hyperlink w:anchor="_Toc230257727" w:history="1">
        <w:r w:rsidRPr="003866EE">
          <w:rPr>
            <w:rStyle w:val="Lienhypertexte"/>
          </w:rPr>
          <w:t xml:space="preserve">REX Caisse des </w:t>
        </w:r>
        <w:r w:rsidR="00AB6053">
          <w:rPr>
            <w:rStyle w:val="Lienhypertexte"/>
          </w:rPr>
          <w:t>D</w:t>
        </w:r>
        <w:r w:rsidRPr="003866EE">
          <w:rPr>
            <w:rStyle w:val="Lienhypertexte"/>
          </w:rPr>
          <w:t>épôts</w:t>
        </w:r>
        <w:r w:rsidR="002B1C27">
          <w:rPr>
            <w:rStyle w:val="Lienhypertexte"/>
          </w:rPr>
          <w:t xml:space="preserve"> </w:t>
        </w:r>
        <w:r w:rsidR="002B1C27" w:rsidRPr="002B1C27">
          <w:rPr>
            <w:rStyle w:val="Lienhypertexte"/>
            <w:b w:val="0"/>
            <w:bCs/>
          </w:rPr>
          <w:t>:</w:t>
        </w:r>
        <w:r w:rsidR="002B1C27" w:rsidRPr="002B1C27">
          <w:rPr>
            <w:b w:val="0"/>
            <w:bCs/>
          </w:rPr>
          <w:t xml:space="preserve"> </w:t>
        </w:r>
        <w:r w:rsidR="002B1C27">
          <w:rPr>
            <w:rStyle w:val="Lienhypertexte"/>
            <w:b w:val="0"/>
            <w:bCs/>
          </w:rPr>
          <w:t>é</w:t>
        </w:r>
        <w:r w:rsidR="002B1C27" w:rsidRPr="002B1C27">
          <w:rPr>
            <w:rStyle w:val="Lienhypertexte"/>
            <w:b w:val="0"/>
            <w:bCs/>
          </w:rPr>
          <w:t>laboration d’un schéma pluriannuel</w:t>
        </w:r>
        <w:r>
          <w:rPr>
            <w:webHidden/>
          </w:rPr>
          <w:tab/>
        </w:r>
        <w:r w:rsidR="005C5DEE">
          <w:rPr>
            <w:webHidden/>
          </w:rPr>
          <w:t>33</w:t>
        </w:r>
      </w:hyperlink>
    </w:p>
    <w:p w14:paraId="489B5CD5" w14:textId="3C163D0D" w:rsidR="00511139" w:rsidRPr="00AB6053" w:rsidRDefault="00AB6053" w:rsidP="00511139">
      <w:pPr>
        <w:pStyle w:val="Tabledesillustrations"/>
        <w:rPr>
          <w:rStyle w:val="Lienhypertexte"/>
          <w:rFonts w:eastAsiaTheme="minorEastAsia"/>
          <w:b w:val="0"/>
          <w:kern w:val="2"/>
          <w:sz w:val="24"/>
          <w:szCs w:val="24"/>
          <w:lang w:val="fr-FR" w:eastAsia="fr-FR"/>
          <w14:ligatures w14:val="standardContextual"/>
        </w:rPr>
      </w:pPr>
      <w:r>
        <w:rPr>
          <w:bCs/>
        </w:rPr>
        <w:fldChar w:fldCharType="begin"/>
      </w:r>
      <w:r>
        <w:rPr>
          <w:bCs/>
        </w:rPr>
        <w:instrText>HYPERLINK "https://youtu.be/NR3sSixtnD0"</w:instrText>
      </w:r>
      <w:r>
        <w:rPr>
          <w:bCs/>
        </w:rPr>
      </w:r>
      <w:r>
        <w:rPr>
          <w:bCs/>
        </w:rPr>
        <w:fldChar w:fldCharType="separate"/>
      </w:r>
      <w:r w:rsidR="00511139" w:rsidRPr="00AB6053">
        <w:rPr>
          <w:rStyle w:val="Lienhypertexte"/>
          <w:bCs/>
        </w:rPr>
        <w:t xml:space="preserve">Témoignage vidéo </w:t>
      </w:r>
      <w:r w:rsidR="00511139" w:rsidRPr="00AB6053">
        <w:rPr>
          <w:rStyle w:val="Lienhypertexte"/>
          <w:b w:val="0"/>
        </w:rPr>
        <w:t xml:space="preserve">: « L'accessibilité numérique au quotidien : témoignage et démonstration de Jamshid Kohandel » </w:t>
      </w:r>
      <w:r w:rsidR="00511139" w:rsidRPr="00AB6053">
        <w:rPr>
          <w:rStyle w:val="Lienhypertexte"/>
          <w:webHidden/>
        </w:rPr>
        <w:tab/>
        <w:t>35</w:t>
      </w:r>
    </w:p>
    <w:p w14:paraId="59022017" w14:textId="6AED2560" w:rsidR="00F25788" w:rsidRDefault="00AB6053">
      <w:pPr>
        <w:pStyle w:val="Tabledesillustrations"/>
        <w:rPr>
          <w:rFonts w:eastAsiaTheme="minorEastAsia"/>
          <w:b w:val="0"/>
          <w:color w:val="auto"/>
          <w:kern w:val="2"/>
          <w:sz w:val="24"/>
          <w:szCs w:val="24"/>
          <w:lang w:val="fr-FR" w:eastAsia="fr-FR"/>
          <w14:ligatures w14:val="standardContextual"/>
        </w:rPr>
      </w:pPr>
      <w:r>
        <w:rPr>
          <w:bCs/>
        </w:rPr>
        <w:fldChar w:fldCharType="end"/>
      </w:r>
      <w:hyperlink w:anchor="_Toc230257728" w:history="1">
        <w:r w:rsidR="00F25788" w:rsidRPr="003866EE">
          <w:rPr>
            <w:rStyle w:val="Lienhypertexte"/>
          </w:rPr>
          <w:t>REX DINUM</w:t>
        </w:r>
        <w:r w:rsidR="002B1C27" w:rsidRPr="002B1C27">
          <w:rPr>
            <w:rStyle w:val="Lienhypertexte"/>
            <w:b w:val="0"/>
            <w:bCs/>
          </w:rPr>
          <w:t xml:space="preserve"> : </w:t>
        </w:r>
        <w:r w:rsidR="002B1C27">
          <w:rPr>
            <w:rStyle w:val="Lienhypertexte"/>
            <w:b w:val="0"/>
            <w:bCs/>
          </w:rPr>
          <w:t>s</w:t>
        </w:r>
        <w:r w:rsidR="002B1C27" w:rsidRPr="002B1C27">
          <w:rPr>
            <w:rStyle w:val="Lienhypertexte"/>
            <w:b w:val="0"/>
            <w:bCs/>
          </w:rPr>
          <w:t>upervision et orchestration de la démarche accessibilité de plusieurs entités</w:t>
        </w:r>
        <w:r w:rsidR="00F25788">
          <w:rPr>
            <w:webHidden/>
          </w:rPr>
          <w:tab/>
        </w:r>
        <w:r w:rsidR="005C5DEE">
          <w:rPr>
            <w:webHidden/>
          </w:rPr>
          <w:t>36</w:t>
        </w:r>
      </w:hyperlink>
    </w:p>
    <w:p w14:paraId="41960692" w14:textId="4B750E1D"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29" w:history="1">
        <w:r w:rsidRPr="003866EE">
          <w:rPr>
            <w:rStyle w:val="Lienhypertexte"/>
          </w:rPr>
          <w:t>REX Direction du Numérique des ministres de la Transition écologique et de l’Aménagement des territoires</w:t>
        </w:r>
        <w:r w:rsidR="002B1C27" w:rsidRPr="002B1C27">
          <w:rPr>
            <w:rStyle w:val="Lienhypertexte"/>
            <w:b w:val="0"/>
            <w:bCs/>
          </w:rPr>
          <w:t xml:space="preserve"> : </w:t>
        </w:r>
        <w:r w:rsidR="002B1C27">
          <w:rPr>
            <w:rStyle w:val="Lienhypertexte"/>
            <w:b w:val="0"/>
            <w:bCs/>
          </w:rPr>
          <w:t>u</w:t>
        </w:r>
        <w:r w:rsidR="002B1C27" w:rsidRPr="002B1C27">
          <w:rPr>
            <w:rStyle w:val="Lienhypertexte"/>
            <w:b w:val="0"/>
            <w:bCs/>
          </w:rPr>
          <w:t>ne gouvernance structurée en vue du passage à l’échelle</w:t>
        </w:r>
        <w:r>
          <w:rPr>
            <w:webHidden/>
          </w:rPr>
          <w:tab/>
        </w:r>
        <w:r w:rsidR="005C5DEE">
          <w:rPr>
            <w:webHidden/>
          </w:rPr>
          <w:t>37</w:t>
        </w:r>
      </w:hyperlink>
    </w:p>
    <w:p w14:paraId="3386DE50" w14:textId="488BABDB"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0" w:history="1">
        <w:r w:rsidRPr="003866EE">
          <w:rPr>
            <w:rStyle w:val="Lienhypertexte"/>
          </w:rPr>
          <w:t xml:space="preserve">REX Caisse des </w:t>
        </w:r>
        <w:r w:rsidR="00AB6053">
          <w:rPr>
            <w:rStyle w:val="Lienhypertexte"/>
          </w:rPr>
          <w:t>D</w:t>
        </w:r>
        <w:r w:rsidRPr="003866EE">
          <w:rPr>
            <w:rStyle w:val="Lienhypertexte"/>
          </w:rPr>
          <w:t>épôts</w:t>
        </w:r>
        <w:r w:rsidR="002B1C27">
          <w:rPr>
            <w:rStyle w:val="Lienhypertexte"/>
          </w:rPr>
          <w:t xml:space="preserve"> </w:t>
        </w:r>
        <w:r w:rsidR="002B1C27" w:rsidRPr="002B1C27">
          <w:rPr>
            <w:rStyle w:val="Lienhypertexte"/>
            <w:b w:val="0"/>
            <w:bCs/>
          </w:rPr>
          <w:t xml:space="preserve">: </w:t>
        </w:r>
        <w:r w:rsidR="002B1C27">
          <w:rPr>
            <w:b w:val="0"/>
            <w:bCs/>
          </w:rPr>
          <w:t>m</w:t>
        </w:r>
        <w:r w:rsidR="002B1C27" w:rsidRPr="002B1C27">
          <w:rPr>
            <w:b w:val="0"/>
            <w:bCs/>
          </w:rPr>
          <w:t>éthodologie d’avant-projet</w:t>
        </w:r>
        <w:r>
          <w:rPr>
            <w:webHidden/>
          </w:rPr>
          <w:tab/>
        </w:r>
        <w:r>
          <w:rPr>
            <w:webHidden/>
          </w:rPr>
          <w:fldChar w:fldCharType="begin"/>
        </w:r>
        <w:r>
          <w:rPr>
            <w:webHidden/>
          </w:rPr>
          <w:instrText xml:space="preserve"> PAGEREF _Toc230257730 \h </w:instrText>
        </w:r>
        <w:r>
          <w:rPr>
            <w:webHidden/>
          </w:rPr>
        </w:r>
        <w:r>
          <w:rPr>
            <w:webHidden/>
          </w:rPr>
          <w:fldChar w:fldCharType="separate"/>
        </w:r>
        <w:r w:rsidR="000052B0">
          <w:rPr>
            <w:webHidden/>
          </w:rPr>
          <w:t>3</w:t>
        </w:r>
        <w:r w:rsidR="005C5DEE">
          <w:rPr>
            <w:webHidden/>
          </w:rPr>
          <w:t>9</w:t>
        </w:r>
        <w:r>
          <w:rPr>
            <w:webHidden/>
          </w:rPr>
          <w:fldChar w:fldCharType="end"/>
        </w:r>
      </w:hyperlink>
    </w:p>
    <w:p w14:paraId="580B83A5" w14:textId="1A79A3BB"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1" w:history="1">
        <w:r w:rsidRPr="003866EE">
          <w:rPr>
            <w:rStyle w:val="Lienhypertexte"/>
          </w:rPr>
          <w:t>REX La POSTE GROUPE</w:t>
        </w:r>
        <w:r w:rsidR="002B1C27" w:rsidRPr="002B1C27">
          <w:rPr>
            <w:rStyle w:val="Lienhypertexte"/>
            <w:b w:val="0"/>
            <w:bCs/>
          </w:rPr>
          <w:t xml:space="preserve"> : </w:t>
        </w:r>
        <w:r w:rsidR="002B1C27">
          <w:rPr>
            <w:rStyle w:val="Lienhypertexte"/>
            <w:b w:val="0"/>
            <w:bCs/>
          </w:rPr>
          <w:t>c</w:t>
        </w:r>
        <w:r w:rsidR="002B1C27" w:rsidRPr="002B1C27">
          <w:rPr>
            <w:rStyle w:val="Lienhypertexte"/>
            <w:b w:val="0"/>
            <w:bCs/>
          </w:rPr>
          <w:t>ritères appliqués lors des processus d’achats pour l’AN côté i-TEAM, quel que soit le domaine d’achat IT</w:t>
        </w:r>
        <w:r>
          <w:rPr>
            <w:webHidden/>
          </w:rPr>
          <w:tab/>
        </w:r>
        <w:r w:rsidR="005C5DEE">
          <w:rPr>
            <w:webHidden/>
          </w:rPr>
          <w:t>41</w:t>
        </w:r>
      </w:hyperlink>
    </w:p>
    <w:p w14:paraId="4CC62FF3" w14:textId="4A2F8B51"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2" w:history="1">
        <w:r w:rsidRPr="003866EE">
          <w:rPr>
            <w:rStyle w:val="Lienhypertexte"/>
            <w:bCs/>
          </w:rPr>
          <w:t>REX Direction du numérique des Ministères de la Transition écologique et Aménagement des territoires</w:t>
        </w:r>
        <w:r w:rsidR="002B1C27">
          <w:rPr>
            <w:rStyle w:val="Lienhypertexte"/>
            <w:bCs/>
          </w:rPr>
          <w:t xml:space="preserve"> </w:t>
        </w:r>
        <w:r w:rsidR="002B1C27" w:rsidRPr="002B1C27">
          <w:rPr>
            <w:rStyle w:val="Lienhypertexte"/>
            <w:b w:val="0"/>
          </w:rPr>
          <w:t xml:space="preserve">: </w:t>
        </w:r>
        <w:r w:rsidR="00005161">
          <w:rPr>
            <w:rStyle w:val="Lienhypertexte"/>
            <w:b w:val="0"/>
          </w:rPr>
          <w:t>q</w:t>
        </w:r>
        <w:r w:rsidR="002B1C27" w:rsidRPr="002B1C27">
          <w:rPr>
            <w:rStyle w:val="Lienhypertexte"/>
            <w:b w:val="0"/>
          </w:rPr>
          <w:t>uelques actions prioritaires pour la refonte d’un site</w:t>
        </w:r>
        <w:r>
          <w:rPr>
            <w:webHidden/>
          </w:rPr>
          <w:tab/>
        </w:r>
        <w:r>
          <w:rPr>
            <w:webHidden/>
          </w:rPr>
          <w:fldChar w:fldCharType="begin"/>
        </w:r>
        <w:r>
          <w:rPr>
            <w:webHidden/>
          </w:rPr>
          <w:instrText xml:space="preserve"> PAGEREF _Toc230257732 \h </w:instrText>
        </w:r>
        <w:r>
          <w:rPr>
            <w:webHidden/>
          </w:rPr>
        </w:r>
        <w:r>
          <w:rPr>
            <w:webHidden/>
          </w:rPr>
          <w:fldChar w:fldCharType="separate"/>
        </w:r>
        <w:r w:rsidR="000052B0">
          <w:rPr>
            <w:webHidden/>
          </w:rPr>
          <w:t>4</w:t>
        </w:r>
        <w:r w:rsidR="005C5DEE">
          <w:rPr>
            <w:webHidden/>
          </w:rPr>
          <w:t>5</w:t>
        </w:r>
        <w:r>
          <w:rPr>
            <w:webHidden/>
          </w:rPr>
          <w:fldChar w:fldCharType="end"/>
        </w:r>
      </w:hyperlink>
    </w:p>
    <w:p w14:paraId="6A2A6367" w14:textId="23C51ADE"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3" w:history="1">
        <w:r w:rsidRPr="003866EE">
          <w:rPr>
            <w:rStyle w:val="Lienhypertexte"/>
            <w:bCs/>
          </w:rPr>
          <w:t>REX Ministère de l’Intérieur</w:t>
        </w:r>
        <w:r w:rsidR="00005161">
          <w:rPr>
            <w:rStyle w:val="Lienhypertexte"/>
            <w:bCs/>
          </w:rPr>
          <w:t xml:space="preserve"> </w:t>
        </w:r>
        <w:r w:rsidR="00005161" w:rsidRPr="00005161">
          <w:rPr>
            <w:rStyle w:val="Lienhypertexte"/>
            <w:b w:val="0"/>
          </w:rPr>
          <w:t xml:space="preserve">: </w:t>
        </w:r>
        <w:r w:rsidR="00005161">
          <w:rPr>
            <w:rStyle w:val="Lienhypertexte"/>
            <w:b w:val="0"/>
          </w:rPr>
          <w:t>s</w:t>
        </w:r>
        <w:r w:rsidR="00005161" w:rsidRPr="00005161">
          <w:rPr>
            <w:rStyle w:val="Lienhypertexte"/>
            <w:b w:val="0"/>
          </w:rPr>
          <w:t>tandardiser les tests utilisateurs</w:t>
        </w:r>
        <w:r>
          <w:rPr>
            <w:webHidden/>
          </w:rPr>
          <w:tab/>
        </w:r>
        <w:r>
          <w:rPr>
            <w:webHidden/>
          </w:rPr>
          <w:fldChar w:fldCharType="begin"/>
        </w:r>
        <w:r>
          <w:rPr>
            <w:webHidden/>
          </w:rPr>
          <w:instrText xml:space="preserve"> PAGEREF _Toc230257733 \h </w:instrText>
        </w:r>
        <w:r>
          <w:rPr>
            <w:webHidden/>
          </w:rPr>
        </w:r>
        <w:r>
          <w:rPr>
            <w:webHidden/>
          </w:rPr>
          <w:fldChar w:fldCharType="separate"/>
        </w:r>
        <w:r w:rsidR="000052B0">
          <w:rPr>
            <w:webHidden/>
          </w:rPr>
          <w:t>4</w:t>
        </w:r>
        <w:r w:rsidR="005C5DEE">
          <w:rPr>
            <w:webHidden/>
          </w:rPr>
          <w:t>8</w:t>
        </w:r>
        <w:r>
          <w:rPr>
            <w:webHidden/>
          </w:rPr>
          <w:fldChar w:fldCharType="end"/>
        </w:r>
      </w:hyperlink>
    </w:p>
    <w:p w14:paraId="2DE1EF80" w14:textId="7E89E78E"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5" w:history="1">
        <w:r w:rsidRPr="003866EE">
          <w:rPr>
            <w:rStyle w:val="Lienhypertexte"/>
            <w:bCs/>
          </w:rPr>
          <w:t>REX CACD2 (Crédit Agricole Conseil et Développement Digital)</w:t>
        </w:r>
        <w:r w:rsidR="00005161" w:rsidRPr="00005161">
          <w:rPr>
            <w:rStyle w:val="Lienhypertexte"/>
            <w:b w:val="0"/>
          </w:rPr>
          <w:t xml:space="preserve"> : </w:t>
        </w:r>
        <w:r w:rsidR="00005161">
          <w:rPr>
            <w:rStyle w:val="Lienhypertexte"/>
            <w:b w:val="0"/>
          </w:rPr>
          <w:t>m</w:t>
        </w:r>
        <w:r w:rsidR="00005161" w:rsidRPr="00005161">
          <w:rPr>
            <w:rStyle w:val="Lienhypertexte"/>
            <w:b w:val="0"/>
          </w:rPr>
          <w:t xml:space="preserve">éthodologie d'intégration opérationnelle de l'accessibilité numérique dans un projet </w:t>
        </w:r>
        <w:r>
          <w:rPr>
            <w:webHidden/>
          </w:rPr>
          <w:tab/>
        </w:r>
        <w:r>
          <w:rPr>
            <w:webHidden/>
          </w:rPr>
          <w:fldChar w:fldCharType="begin"/>
        </w:r>
        <w:r>
          <w:rPr>
            <w:webHidden/>
          </w:rPr>
          <w:instrText xml:space="preserve"> PAGEREF _Toc230257735 \h </w:instrText>
        </w:r>
        <w:r>
          <w:rPr>
            <w:webHidden/>
          </w:rPr>
        </w:r>
        <w:r>
          <w:rPr>
            <w:webHidden/>
          </w:rPr>
          <w:fldChar w:fldCharType="separate"/>
        </w:r>
        <w:r w:rsidR="000052B0">
          <w:rPr>
            <w:webHidden/>
          </w:rPr>
          <w:t>4</w:t>
        </w:r>
        <w:r w:rsidR="005C5DEE">
          <w:rPr>
            <w:webHidden/>
          </w:rPr>
          <w:t>9</w:t>
        </w:r>
        <w:r>
          <w:rPr>
            <w:webHidden/>
          </w:rPr>
          <w:fldChar w:fldCharType="end"/>
        </w:r>
      </w:hyperlink>
    </w:p>
    <w:p w14:paraId="4FADC084" w14:textId="578CE15D"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6" w:history="1">
        <w:r w:rsidRPr="003866EE">
          <w:rPr>
            <w:rStyle w:val="Lienhypertexte"/>
            <w:bCs/>
          </w:rPr>
          <w:t xml:space="preserve">REX Caisse des </w:t>
        </w:r>
        <w:r w:rsidR="00AB6053">
          <w:rPr>
            <w:rStyle w:val="Lienhypertexte"/>
            <w:bCs/>
          </w:rPr>
          <w:t>D</w:t>
        </w:r>
        <w:r w:rsidRPr="003866EE">
          <w:rPr>
            <w:rStyle w:val="Lienhypertexte"/>
            <w:bCs/>
          </w:rPr>
          <w:t>épôts</w:t>
        </w:r>
        <w:r w:rsidR="00CD0620">
          <w:rPr>
            <w:rStyle w:val="Lienhypertexte"/>
            <w:bCs/>
          </w:rPr>
          <w:t xml:space="preserve"> </w:t>
        </w:r>
        <w:r w:rsidR="00CD0620" w:rsidRPr="00CD0620">
          <w:rPr>
            <w:rStyle w:val="Lienhypertexte"/>
            <w:b w:val="0"/>
          </w:rPr>
          <w:t xml:space="preserve">: </w:t>
        </w:r>
        <w:r w:rsidR="00CD0620">
          <w:rPr>
            <w:rStyle w:val="Lienhypertexte"/>
            <w:b w:val="0"/>
          </w:rPr>
          <w:t>c</w:t>
        </w:r>
        <w:r w:rsidR="00CD0620" w:rsidRPr="00CD0620">
          <w:rPr>
            <w:rStyle w:val="Lienhypertexte"/>
            <w:b w:val="0"/>
          </w:rPr>
          <w:t>omment industrialiser la démarche d’accessibilité numérique ?</w:t>
        </w:r>
        <w:r>
          <w:rPr>
            <w:webHidden/>
          </w:rPr>
          <w:tab/>
        </w:r>
        <w:r w:rsidR="005C5DEE">
          <w:rPr>
            <w:webHidden/>
          </w:rPr>
          <w:t>51</w:t>
        </w:r>
      </w:hyperlink>
    </w:p>
    <w:p w14:paraId="57BF5893" w14:textId="2C1A9677"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7" w:history="1">
        <w:r w:rsidRPr="003866EE">
          <w:rPr>
            <w:rStyle w:val="Lienhypertexte"/>
            <w:bCs/>
          </w:rPr>
          <w:t>REX Crédit Agricole S.A.</w:t>
        </w:r>
        <w:r w:rsidR="00CD0620">
          <w:rPr>
            <w:rStyle w:val="Lienhypertexte"/>
            <w:bCs/>
          </w:rPr>
          <w:t xml:space="preserve"> </w:t>
        </w:r>
        <w:r w:rsidR="00CD0620" w:rsidRPr="00CD0620">
          <w:rPr>
            <w:rStyle w:val="Lienhypertexte"/>
            <w:b w:val="0"/>
          </w:rPr>
          <w:t xml:space="preserve">: </w:t>
        </w:r>
        <w:r w:rsidR="00CD0620">
          <w:rPr>
            <w:rStyle w:val="Lienhypertexte"/>
            <w:b w:val="0"/>
          </w:rPr>
          <w:t>d</w:t>
        </w:r>
        <w:r w:rsidR="00CD0620" w:rsidRPr="00CD0620">
          <w:rPr>
            <w:rStyle w:val="Lienhypertexte"/>
            <w:b w:val="0"/>
          </w:rPr>
          <w:t>éploiement opérationnel et dispositif d’accompagnement pour les collaborateurs</w:t>
        </w:r>
        <w:r>
          <w:rPr>
            <w:webHidden/>
          </w:rPr>
          <w:tab/>
        </w:r>
        <w:r w:rsidR="005C5DEE">
          <w:rPr>
            <w:webHidden/>
          </w:rPr>
          <w:t>55</w:t>
        </w:r>
      </w:hyperlink>
    </w:p>
    <w:p w14:paraId="62B5EA53" w14:textId="3774A628"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8" w:history="1">
        <w:r w:rsidRPr="003866EE">
          <w:rPr>
            <w:rStyle w:val="Lienhypertexte"/>
            <w:bCs/>
          </w:rPr>
          <w:t>REX CACD2 (Crédit Agricole Conseil et Développement Digital)</w:t>
        </w:r>
        <w:r w:rsidR="00CD0620">
          <w:rPr>
            <w:rStyle w:val="Lienhypertexte"/>
            <w:bCs/>
          </w:rPr>
          <w:t xml:space="preserve"> </w:t>
        </w:r>
        <w:r w:rsidR="00CD0620" w:rsidRPr="00CD0620">
          <w:rPr>
            <w:rStyle w:val="Lienhypertexte"/>
            <w:b w:val="0"/>
          </w:rPr>
          <w:t xml:space="preserve">: </w:t>
        </w:r>
        <w:r w:rsidR="00CD0620">
          <w:rPr>
            <w:rStyle w:val="Lienhypertexte"/>
            <w:b w:val="0"/>
          </w:rPr>
          <w:t>r</w:t>
        </w:r>
        <w:r w:rsidR="00CD0620" w:rsidRPr="00CD0620">
          <w:rPr>
            <w:rStyle w:val="Lienhypertexte"/>
            <w:b w:val="0"/>
          </w:rPr>
          <w:t xml:space="preserve">essources pour l’accompagnement et la formation  </w:t>
        </w:r>
        <w:r w:rsidR="00CD0620">
          <w:rPr>
            <w:rStyle w:val="Lienhypertexte"/>
            <w:bCs/>
          </w:rPr>
          <w:t xml:space="preserve"> </w:t>
        </w:r>
        <w:r>
          <w:rPr>
            <w:webHidden/>
          </w:rPr>
          <w:tab/>
        </w:r>
        <w:r w:rsidR="005C5DEE">
          <w:rPr>
            <w:webHidden/>
          </w:rPr>
          <w:t>57</w:t>
        </w:r>
      </w:hyperlink>
    </w:p>
    <w:p w14:paraId="77EB53B5" w14:textId="1BF42684" w:rsidR="00F25788" w:rsidRDefault="00F25788">
      <w:pPr>
        <w:pStyle w:val="Tabledesillustrations"/>
        <w:rPr>
          <w:rFonts w:eastAsiaTheme="minorEastAsia"/>
          <w:b w:val="0"/>
          <w:color w:val="auto"/>
          <w:kern w:val="2"/>
          <w:sz w:val="24"/>
          <w:szCs w:val="24"/>
          <w:lang w:val="fr-FR" w:eastAsia="fr-FR"/>
          <w14:ligatures w14:val="standardContextual"/>
        </w:rPr>
      </w:pPr>
      <w:hyperlink w:anchor="_Toc230257739" w:history="1">
        <w:r w:rsidRPr="003866EE">
          <w:rPr>
            <w:rStyle w:val="Lienhypertexte"/>
            <w:bCs/>
          </w:rPr>
          <w:t>REX iMSA</w:t>
        </w:r>
        <w:r w:rsidR="00CD0620">
          <w:rPr>
            <w:rStyle w:val="Lienhypertexte"/>
            <w:bCs/>
          </w:rPr>
          <w:t xml:space="preserve"> </w:t>
        </w:r>
        <w:r w:rsidR="00CD0620" w:rsidRPr="00CD0620">
          <w:rPr>
            <w:rStyle w:val="Lienhypertexte"/>
            <w:b w:val="0"/>
          </w:rPr>
          <w:t xml:space="preserve">: </w:t>
        </w:r>
        <w:r w:rsidR="00CD0620">
          <w:rPr>
            <w:rStyle w:val="Lienhypertexte"/>
            <w:b w:val="0"/>
          </w:rPr>
          <w:t>l</w:t>
        </w:r>
        <w:r w:rsidR="00CD0620" w:rsidRPr="00CD0620">
          <w:rPr>
            <w:rStyle w:val="Lienhypertexte"/>
            <w:b w:val="0"/>
          </w:rPr>
          <w:t>e passage à l’échelle de l’Accessibilité Numérique par la gouvernance, le</w:t>
        </w:r>
        <w:r w:rsidR="00CD0620" w:rsidRPr="00CD0620">
          <w:rPr>
            <w:rStyle w:val="Lienhypertexte"/>
            <w:b w:val="0"/>
            <w:i/>
            <w:iCs/>
          </w:rPr>
          <w:t xml:space="preserve"> Design System</w:t>
        </w:r>
        <w:r w:rsidR="00CD0620" w:rsidRPr="00CD0620">
          <w:rPr>
            <w:rStyle w:val="Lienhypertexte"/>
            <w:b w:val="0"/>
          </w:rPr>
          <w:t xml:space="preserve"> et la formation </w:t>
        </w:r>
        <w:r>
          <w:rPr>
            <w:webHidden/>
          </w:rPr>
          <w:tab/>
        </w:r>
        <w:r w:rsidR="005C5DEE">
          <w:rPr>
            <w:webHidden/>
          </w:rPr>
          <w:t>59</w:t>
        </w:r>
      </w:hyperlink>
    </w:p>
    <w:p w14:paraId="5513E16A" w14:textId="4B672113" w:rsidR="007B2E61" w:rsidRPr="00D82AB5" w:rsidRDefault="007B2E61" w:rsidP="00F25788">
      <w:pPr>
        <w:tabs>
          <w:tab w:val="left" w:pos="7644"/>
        </w:tabs>
        <w:rPr>
          <w:rFonts w:eastAsia="Times New Roman"/>
          <w:lang w:eastAsia="fr-FR"/>
        </w:rPr>
      </w:pPr>
      <w:r w:rsidRPr="002346E1">
        <w:rPr>
          <w:rStyle w:val="Lienhypertexte"/>
          <w:rFonts w:eastAsia="SimSun"/>
          <w:caps/>
          <w:noProof/>
        </w:rPr>
        <w:fldChar w:fldCharType="end"/>
      </w:r>
      <w:r w:rsidR="00F25788" w:rsidRPr="00D82AB5">
        <w:rPr>
          <w:rStyle w:val="Lienhypertexte"/>
          <w:rFonts w:eastAsia="SimSun"/>
          <w:caps/>
          <w:noProof/>
          <w:u w:val="none"/>
        </w:rPr>
        <w:tab/>
      </w:r>
    </w:p>
    <w:p w14:paraId="76BB8B7A" w14:textId="77777777" w:rsidR="0061421B" w:rsidRPr="0061421B" w:rsidRDefault="0061421B" w:rsidP="0061421B">
      <w:pPr>
        <w:rPr>
          <w:rFonts w:eastAsia="Times New Roman"/>
          <w:lang w:eastAsia="fr-FR"/>
        </w:rPr>
      </w:pPr>
    </w:p>
    <w:p w14:paraId="13E2BDB6" w14:textId="77777777" w:rsidR="0061421B" w:rsidRDefault="0061421B" w:rsidP="002D158B">
      <w:pPr>
        <w:pStyle w:val="Titre1"/>
        <w:numPr>
          <w:ilvl w:val="0"/>
          <w:numId w:val="0"/>
        </w:numPr>
        <w:ind w:left="397" w:hanging="397"/>
      </w:pPr>
      <w:bookmarkStart w:id="4" w:name="_Toc230076992"/>
      <w:r>
        <w:lastRenderedPageBreak/>
        <w:t>INTRODUCTION</w:t>
      </w:r>
      <w:bookmarkEnd w:id="4"/>
    </w:p>
    <w:p w14:paraId="227C8391" w14:textId="71DF01C9" w:rsidR="00AA1481" w:rsidRPr="00AA1481" w:rsidRDefault="00AA1481" w:rsidP="00AA1481">
      <w:pPr>
        <w:rPr>
          <w:rFonts w:eastAsia="Times New Roman"/>
        </w:rPr>
      </w:pPr>
      <w:r w:rsidRPr="00AA1481">
        <w:rPr>
          <w:rFonts w:eastAsia="Times New Roman"/>
        </w:rPr>
        <w:t xml:space="preserve">L’accessibilité numérique est un pilier des enjeux d'inclusion numérique actuels, et fait partie intégrante des stratégies </w:t>
      </w:r>
      <w:r w:rsidR="00434812">
        <w:rPr>
          <w:rFonts w:eastAsia="Times New Roman"/>
        </w:rPr>
        <w:t xml:space="preserve">« </w:t>
      </w:r>
      <w:r w:rsidRPr="00AA1481">
        <w:rPr>
          <w:rFonts w:eastAsia="Times New Roman"/>
        </w:rPr>
        <w:t>numérique responsable</w:t>
      </w:r>
      <w:r w:rsidR="00434812">
        <w:rPr>
          <w:rFonts w:eastAsia="Times New Roman"/>
        </w:rPr>
        <w:t xml:space="preserve"> »</w:t>
      </w:r>
      <w:r w:rsidRPr="00AA1481">
        <w:rPr>
          <w:rFonts w:eastAsia="Times New Roman"/>
        </w:rPr>
        <w:t xml:space="preserve"> des organisations. </w:t>
      </w:r>
      <w:r w:rsidR="002E3391" w:rsidRPr="002E3391">
        <w:rPr>
          <w:rFonts w:eastAsia="Times New Roman"/>
        </w:rPr>
        <w:t>L’inclusion numérique regroupe un vaste panel de sujets : la lutte contre l’infobésité, la réduction de la fracture numérique pour les collaborateurs et les clients, (au travers de formations, du maintien de dispositifs physiques alternatifs…), ainsi que l’accessibilité numérique des produits et services pour les personnes en situation de handicap.</w:t>
      </w:r>
      <w:r w:rsidRPr="00AA1481">
        <w:rPr>
          <w:rFonts w:eastAsia="Times New Roman"/>
        </w:rPr>
        <w:t xml:space="preserve"> C’est ce </w:t>
      </w:r>
      <w:r w:rsidR="00AA79E2">
        <w:rPr>
          <w:rFonts w:eastAsia="Times New Roman"/>
        </w:rPr>
        <w:t xml:space="preserve">dernier </w:t>
      </w:r>
      <w:r w:rsidRPr="00AA1481">
        <w:rPr>
          <w:rFonts w:eastAsia="Times New Roman"/>
        </w:rPr>
        <w:t xml:space="preserve">sujet qui a animé les réflexions des membres du groupe de travail, car </w:t>
      </w:r>
      <w:r w:rsidR="00434812">
        <w:rPr>
          <w:rFonts w:eastAsia="Times New Roman"/>
        </w:rPr>
        <w:t>il</w:t>
      </w:r>
      <w:r w:rsidR="00434812" w:rsidRPr="00AA1481">
        <w:rPr>
          <w:rFonts w:eastAsia="Times New Roman"/>
        </w:rPr>
        <w:t xml:space="preserve"> </w:t>
      </w:r>
      <w:r w:rsidRPr="00AA1481">
        <w:rPr>
          <w:rFonts w:eastAsia="Times New Roman"/>
        </w:rPr>
        <w:t xml:space="preserve">fait l’objet d’un cadre réglementaire de plus en plus précis d’une part, et </w:t>
      </w:r>
      <w:r w:rsidR="00434812" w:rsidRPr="00AA1481">
        <w:rPr>
          <w:rFonts w:eastAsia="Times New Roman"/>
        </w:rPr>
        <w:t>qu’</w:t>
      </w:r>
      <w:r w:rsidR="00434812">
        <w:rPr>
          <w:rFonts w:eastAsia="Times New Roman"/>
        </w:rPr>
        <w:t>il</w:t>
      </w:r>
      <w:r w:rsidR="00434812" w:rsidRPr="00AA1481">
        <w:rPr>
          <w:rFonts w:eastAsia="Times New Roman"/>
        </w:rPr>
        <w:t xml:space="preserve"> </w:t>
      </w:r>
      <w:r w:rsidRPr="00AA1481">
        <w:rPr>
          <w:rFonts w:eastAsia="Times New Roman"/>
        </w:rPr>
        <w:t xml:space="preserve">adresse des défis techniques, opérationnels et organisationnels de long terme d’autre part. </w:t>
      </w:r>
    </w:p>
    <w:p w14:paraId="1DD01DF5" w14:textId="43133F5C" w:rsidR="00AA1481" w:rsidRPr="00AA1481" w:rsidRDefault="00AA1481" w:rsidP="00AA1481">
      <w:pPr>
        <w:rPr>
          <w:rFonts w:eastAsia="Times New Roman"/>
        </w:rPr>
      </w:pPr>
      <w:r w:rsidRPr="00AA1481">
        <w:rPr>
          <w:rFonts w:eastAsia="Times New Roman"/>
        </w:rPr>
        <w:t xml:space="preserve">L’accessibilité numérique est un droit fondamental pour les citoyens et une obligation légale structurante pour les acteurs économiques et publics. En France, l'obligation pour les entités publiques est ancrée dans la loi depuis 2005 (article 47 de la loi n°2005-102). Au niveau européen, la Directive 2016/2102 a renforcé ce cadre pour le secteur public, et la Directive 2019/882 dite </w:t>
      </w:r>
      <w:r w:rsidR="002C19CD">
        <w:rPr>
          <w:rFonts w:eastAsia="Times New Roman"/>
        </w:rPr>
        <w:t>« </w:t>
      </w:r>
      <w:proofErr w:type="spellStart"/>
      <w:r w:rsidRPr="003803FF">
        <w:rPr>
          <w:rFonts w:eastAsia="Times New Roman"/>
          <w:i/>
          <w:iCs/>
        </w:rPr>
        <w:t>European</w:t>
      </w:r>
      <w:proofErr w:type="spellEnd"/>
      <w:r w:rsidRPr="003803FF">
        <w:rPr>
          <w:rFonts w:eastAsia="Times New Roman"/>
          <w:i/>
          <w:iCs/>
        </w:rPr>
        <w:t xml:space="preserve"> </w:t>
      </w:r>
      <w:proofErr w:type="spellStart"/>
      <w:r w:rsidRPr="003803FF">
        <w:rPr>
          <w:rFonts w:eastAsia="Times New Roman"/>
          <w:i/>
          <w:iCs/>
        </w:rPr>
        <w:t>Accessibility</w:t>
      </w:r>
      <w:proofErr w:type="spellEnd"/>
      <w:r w:rsidRPr="003803FF">
        <w:rPr>
          <w:rFonts w:eastAsia="Times New Roman"/>
          <w:i/>
          <w:iCs/>
        </w:rPr>
        <w:t xml:space="preserve"> Act</w:t>
      </w:r>
      <w:r w:rsidR="002C19CD">
        <w:rPr>
          <w:rFonts w:eastAsia="Times New Roman"/>
        </w:rPr>
        <w:t> »</w:t>
      </w:r>
      <w:r w:rsidRPr="00AA1481">
        <w:rPr>
          <w:rFonts w:eastAsia="Times New Roman"/>
        </w:rPr>
        <w:t xml:space="preserve"> (EAA)</w:t>
      </w:r>
      <w:r w:rsidR="00726013">
        <w:rPr>
          <w:rStyle w:val="Appelnotedebasdep"/>
          <w:rFonts w:eastAsia="Times New Roman"/>
        </w:rPr>
        <w:footnoteReference w:id="2"/>
      </w:r>
      <w:r w:rsidRPr="00AA1481">
        <w:rPr>
          <w:rFonts w:eastAsia="Times New Roman"/>
        </w:rPr>
        <w:t xml:space="preserve"> a marqué une rupture majeure en étendant l'accessibilité à une gamme </w:t>
      </w:r>
      <w:r w:rsidR="00DA6772">
        <w:rPr>
          <w:rFonts w:eastAsia="Times New Roman"/>
        </w:rPr>
        <w:t>plus vaste</w:t>
      </w:r>
      <w:r w:rsidR="00DA6772" w:rsidRPr="00AA1481">
        <w:rPr>
          <w:rFonts w:eastAsia="Times New Roman"/>
        </w:rPr>
        <w:t xml:space="preserve"> </w:t>
      </w:r>
      <w:r w:rsidRPr="00AA1481">
        <w:rPr>
          <w:rFonts w:eastAsia="Times New Roman"/>
        </w:rPr>
        <w:t>de produits et services numériques du secteur privé (dès lors que le chiffre d'affaires dépasse un seuil de 2 millions d'euros annuel), la transformant en une exigence de mise sur le marché.</w:t>
      </w:r>
    </w:p>
    <w:p w14:paraId="5419F008" w14:textId="77777777" w:rsidR="00AA1481" w:rsidRPr="00AA1481" w:rsidRDefault="00AA1481" w:rsidP="00AA1481">
      <w:pPr>
        <w:rPr>
          <w:rFonts w:eastAsia="Times New Roman"/>
        </w:rPr>
      </w:pPr>
      <w:r w:rsidRPr="00AA1481">
        <w:rPr>
          <w:rFonts w:eastAsia="Times New Roman"/>
        </w:rPr>
        <w:t>À l’échelle des grandes organisations, tout l’enjeu est de faire de l’accessibilité numérique une démarche continue et intégrée dans les processus métier et de l’ancrer dans les habitudes professionnelles. La difficulté principale réside dans le passage à l’échelle, qui révèle des défis stratégiques, organisationnels et opérationnels, et exige une intégration profonde et transversale dans les processus de travail de chaque direction (DSI, direction achat, communication, RH…).</w:t>
      </w:r>
    </w:p>
    <w:p w14:paraId="021A4D4F" w14:textId="77777777" w:rsidR="00AA1481" w:rsidRPr="00AA1481" w:rsidRDefault="00AA1481" w:rsidP="00AA1481">
      <w:pPr>
        <w:rPr>
          <w:rFonts w:eastAsia="Times New Roman"/>
        </w:rPr>
      </w:pPr>
      <w:r w:rsidRPr="00AA1481">
        <w:rPr>
          <w:rFonts w:eastAsia="Times New Roman"/>
        </w:rPr>
        <w:t xml:space="preserve">La complexité du paysage numérique des grandes organisations rend le déploiement opérationnel particulièrement délicat. Il ne s'agit pas de rendre accessibles quelques sites, mais de gérer un portefeuille de centaines, voire de milliers de plateformes numériques hétérogènes : sites, intranets, applications mobiles métiers, extranets clients, plateformes de e-commerce, etc. Chacune de ces plateformes </w:t>
      </w:r>
      <w:proofErr w:type="gramStart"/>
      <w:r w:rsidRPr="00AA1481">
        <w:rPr>
          <w:rFonts w:eastAsia="Times New Roman"/>
        </w:rPr>
        <w:t>a</w:t>
      </w:r>
      <w:proofErr w:type="gramEnd"/>
      <w:r w:rsidRPr="00AA1481">
        <w:rPr>
          <w:rFonts w:eastAsia="Times New Roman"/>
        </w:rPr>
        <w:t xml:space="preserve"> sa propre histoire (</w:t>
      </w:r>
      <w:proofErr w:type="spellStart"/>
      <w:r w:rsidRPr="003803FF">
        <w:rPr>
          <w:rFonts w:eastAsia="Times New Roman"/>
          <w:i/>
          <w:iCs/>
        </w:rPr>
        <w:t>legacy</w:t>
      </w:r>
      <w:proofErr w:type="spellEnd"/>
      <w:r w:rsidRPr="00AA1481">
        <w:rPr>
          <w:rFonts w:eastAsia="Times New Roman"/>
        </w:rPr>
        <w:t xml:space="preserve">), sa propre technologie et son propre cycle de vie. Chaque contexte nécessitera une approche de remédiation ou de conception adaptée : les nouveaux projets pourront intégrer l'accessibilité </w:t>
      </w:r>
      <w:r w:rsidRPr="003803FF">
        <w:rPr>
          <w:rFonts w:eastAsia="Times New Roman"/>
          <w:i/>
          <w:iCs/>
        </w:rPr>
        <w:t>by design</w:t>
      </w:r>
      <w:r w:rsidRPr="00AA1481">
        <w:rPr>
          <w:rFonts w:eastAsia="Times New Roman"/>
        </w:rPr>
        <w:t xml:space="preserve">, les systèmes existants devront faire l’objet d’audits et de corrections progressives, et certaines plateformes </w:t>
      </w:r>
      <w:proofErr w:type="spellStart"/>
      <w:r w:rsidRPr="003803FF">
        <w:rPr>
          <w:rFonts w:eastAsia="Times New Roman"/>
          <w:i/>
          <w:iCs/>
        </w:rPr>
        <w:t>legacy</w:t>
      </w:r>
      <w:proofErr w:type="spellEnd"/>
      <w:r w:rsidRPr="00AA1481">
        <w:rPr>
          <w:rFonts w:eastAsia="Times New Roman"/>
        </w:rPr>
        <w:t xml:space="preserve"> pourront faire l’objet d’une refonte, d’une mise en conformité minimale, voire d’un abandon. </w:t>
      </w:r>
    </w:p>
    <w:p w14:paraId="4614807A" w14:textId="54039431" w:rsidR="00AA1481" w:rsidRPr="00AA1481" w:rsidRDefault="00AA1481" w:rsidP="00AA1481">
      <w:pPr>
        <w:rPr>
          <w:rFonts w:eastAsia="Times New Roman"/>
        </w:rPr>
      </w:pPr>
      <w:r w:rsidRPr="00AA1481">
        <w:rPr>
          <w:rFonts w:eastAsia="Times New Roman"/>
        </w:rPr>
        <w:t>Au regard de ces challenges, l’accessibilité numérique paraît être un véritable projet de transformation d’entreprise. En tous les cas, elle devrait être considérée comme telle, en gardant en tête qu’elle est aussi un levier de performance à long terme</w:t>
      </w:r>
      <w:r w:rsidR="0036699F">
        <w:rPr>
          <w:rFonts w:eastAsia="Times New Roman"/>
        </w:rPr>
        <w:t>.</w:t>
      </w:r>
      <w:r w:rsidRPr="00AA1481">
        <w:rPr>
          <w:rFonts w:eastAsia="Times New Roman"/>
        </w:rPr>
        <w:t xml:space="preserve"> </w:t>
      </w:r>
      <w:r w:rsidR="0036699F">
        <w:rPr>
          <w:rFonts w:eastAsia="Times New Roman"/>
        </w:rPr>
        <w:t>U</w:t>
      </w:r>
      <w:r w:rsidRPr="00AA1481">
        <w:rPr>
          <w:rFonts w:eastAsia="Times New Roman"/>
        </w:rPr>
        <w:t xml:space="preserve">n exemple pertinent </w:t>
      </w:r>
      <w:r w:rsidR="0036699F">
        <w:rPr>
          <w:rFonts w:eastAsia="Times New Roman"/>
        </w:rPr>
        <w:t>en est</w:t>
      </w:r>
      <w:r w:rsidR="0036699F" w:rsidRPr="00AA1481">
        <w:rPr>
          <w:rFonts w:eastAsia="Times New Roman"/>
        </w:rPr>
        <w:t xml:space="preserve"> </w:t>
      </w:r>
      <w:r w:rsidRPr="00AA1481">
        <w:rPr>
          <w:rFonts w:eastAsia="Times New Roman"/>
        </w:rPr>
        <w:t xml:space="preserve">la prise en compte du calcul du coût de défaut d'accessibilité </w:t>
      </w:r>
      <w:r w:rsidR="002C19CD">
        <w:rPr>
          <w:rFonts w:eastAsia="Times New Roman"/>
        </w:rPr>
        <w:t xml:space="preserve">et de ses conséquences </w:t>
      </w:r>
      <w:r w:rsidRPr="00AA1481">
        <w:rPr>
          <w:rFonts w:eastAsia="Times New Roman"/>
        </w:rPr>
        <w:t>en termes juridiques, d’image, de coûts de production supplémentaires, mais aussi de rétention et d’accès à un plus large panel de clients.</w:t>
      </w:r>
    </w:p>
    <w:p w14:paraId="1AB07E62" w14:textId="35FD8B4F" w:rsidR="00AA1481" w:rsidRDefault="00AA1481" w:rsidP="00AA1481">
      <w:pPr>
        <w:rPr>
          <w:rFonts w:eastAsia="Times New Roman"/>
        </w:rPr>
      </w:pPr>
      <w:r w:rsidRPr="00AA1481">
        <w:rPr>
          <w:rFonts w:eastAsia="Times New Roman"/>
        </w:rPr>
        <w:lastRenderedPageBreak/>
        <w:t>Ce rapport analyse comment les grandes organisations, tirées par un pilotage transversal entre différents acteurs référents (</w:t>
      </w:r>
      <w:r w:rsidR="00AA79E2">
        <w:rPr>
          <w:rFonts w:eastAsia="Times New Roman"/>
        </w:rPr>
        <w:t>d</w:t>
      </w:r>
      <w:r w:rsidRPr="00AA1481">
        <w:rPr>
          <w:rFonts w:eastAsia="Times New Roman"/>
        </w:rPr>
        <w:t>irections numériques, RSE, RH, …) intègrent l’accessibilité numérique au travers d’une gouvernance pérenne, d’un outillage adapté et d’une stratégie d’intégration effective dans les processus métiers. Il a pour ambition de fournir aux directions numériques et RSE notamment</w:t>
      </w:r>
      <w:r w:rsidR="00CC4854">
        <w:rPr>
          <w:rFonts w:eastAsia="Times New Roman"/>
        </w:rPr>
        <w:t>,</w:t>
      </w:r>
      <w:r w:rsidRPr="00AA1481">
        <w:rPr>
          <w:rFonts w:eastAsia="Times New Roman"/>
        </w:rPr>
        <w:t xml:space="preserve"> un cadre méthodologique et opérationnel pour </w:t>
      </w:r>
      <w:r w:rsidRPr="00AA1481">
        <w:rPr>
          <w:rFonts w:eastAsia="Times New Roman"/>
          <w:b/>
          <w:bCs/>
        </w:rPr>
        <w:t xml:space="preserve">organiser, piloter et outiller le déploiement à l'échelle de l’accessibilité numérique </w:t>
      </w:r>
      <w:r w:rsidRPr="00AA1481">
        <w:rPr>
          <w:rFonts w:eastAsia="Times New Roman"/>
        </w:rPr>
        <w:t>dans leurs organisations.</w:t>
      </w:r>
    </w:p>
    <w:p w14:paraId="7A37A792" w14:textId="77777777" w:rsidR="0061421B" w:rsidRDefault="0061421B" w:rsidP="0061421B">
      <w:pPr>
        <w:pStyle w:val="Image"/>
        <w:spacing w:before="100" w:after="100"/>
        <w:jc w:val="both"/>
      </w:pPr>
    </w:p>
    <w:p w14:paraId="44248B0B" w14:textId="77777777" w:rsidR="00914B3B" w:rsidRDefault="00914B3B" w:rsidP="0061421B">
      <w:pPr>
        <w:pStyle w:val="Image"/>
        <w:spacing w:before="100" w:after="100"/>
        <w:jc w:val="both"/>
      </w:pPr>
    </w:p>
    <w:p w14:paraId="48F6FA57" w14:textId="15546257" w:rsidR="00914B3B" w:rsidRPr="002621F3" w:rsidRDefault="002D158B" w:rsidP="002621F3">
      <w:pPr>
        <w:pStyle w:val="Titre1"/>
      </w:pPr>
      <w:bookmarkStart w:id="5" w:name="_Toc230076993"/>
      <w:r w:rsidRPr="002621F3">
        <w:lastRenderedPageBreak/>
        <w:t>Contexte et enjeux de l’accessibilité numérique</w:t>
      </w:r>
      <w:bookmarkEnd w:id="5"/>
    </w:p>
    <w:p w14:paraId="710FCF74" w14:textId="7762EFAB" w:rsidR="00914B3B" w:rsidRPr="00A61B0A" w:rsidRDefault="00A61B0A" w:rsidP="00C43137">
      <w:pPr>
        <w:pStyle w:val="Titre2"/>
        <w:rPr>
          <w:lang w:val="fr-FR"/>
        </w:rPr>
      </w:pPr>
      <w:bookmarkStart w:id="6" w:name="_Toc230076994"/>
      <w:r w:rsidRPr="00A61B0A">
        <w:rPr>
          <w:lang w:val="fr-FR"/>
        </w:rPr>
        <w:t>Définition et compréhension du cadre légal</w:t>
      </w:r>
      <w:bookmarkEnd w:id="6"/>
    </w:p>
    <w:p w14:paraId="39098FE6" w14:textId="77777777" w:rsidR="00A61B0A" w:rsidRDefault="00A61B0A" w:rsidP="00A61B0A">
      <w:pPr>
        <w:pStyle w:val="Titre3"/>
      </w:pPr>
      <w:bookmarkStart w:id="7" w:name="_Toc230076995"/>
      <w:r>
        <w:t>Définition</w:t>
      </w:r>
      <w:bookmarkEnd w:id="7"/>
      <w:r>
        <w:t xml:space="preserve"> </w:t>
      </w:r>
    </w:p>
    <w:p w14:paraId="5371A061" w14:textId="6BF30E92" w:rsidR="00725DFE" w:rsidRDefault="00A61B0A" w:rsidP="00A61B0A">
      <w:pPr>
        <w:spacing w:before="160"/>
        <w:rPr>
          <w:lang w:eastAsia="fr-FR"/>
        </w:rPr>
      </w:pPr>
      <w:r>
        <w:rPr>
          <w:lang w:eastAsia="fr-FR"/>
        </w:rPr>
        <w:t>L'accessibilité numérique se définit comme la capacité pour les personnes en situation de handicap d'accéder aux contenus numériques et de les utiliser. Cette notion englobe les personnes ayant des incapacités visuelles, auditives, motrices ou cognitives.</w:t>
      </w:r>
      <w:r w:rsidR="00725DFE">
        <w:rPr>
          <w:lang w:eastAsia="fr-FR"/>
        </w:rPr>
        <w:t xml:space="preserve"> </w:t>
      </w:r>
      <w:r w:rsidR="00481DA2" w:rsidRPr="00DD4C01">
        <w:rPr>
          <w:lang w:eastAsia="fr-FR"/>
        </w:rPr>
        <w:t xml:space="preserve">Au total, </w:t>
      </w:r>
      <w:r w:rsidR="00481DA2">
        <w:rPr>
          <w:lang w:eastAsia="fr-FR"/>
        </w:rPr>
        <w:t>« </w:t>
      </w:r>
      <w:r w:rsidR="00481DA2" w:rsidRPr="00DD4C01">
        <w:rPr>
          <w:lang w:eastAsia="fr-FR"/>
        </w:rPr>
        <w:t>en France métropolitaine et dans les départements et régions d’outre-mer (DROM), le nombre d’enfants et d’adultes handicapés (de 5 ans ou plus), qu’ils vivent à domicile ou en établissement, peut varier selon le critère ou le croisement de critères utilisés de 5,7 millions à 18,2 millions de personnes</w:t>
      </w:r>
      <w:r w:rsidR="0071178A">
        <w:rPr>
          <w:lang w:eastAsia="fr-FR"/>
        </w:rPr>
        <w:t>.</w:t>
      </w:r>
      <w:r w:rsidR="00481DA2">
        <w:rPr>
          <w:lang w:eastAsia="fr-FR"/>
        </w:rPr>
        <w:t> »</w:t>
      </w:r>
      <w:r w:rsidR="00481DA2">
        <w:rPr>
          <w:rStyle w:val="Appelnotedebasdep"/>
          <w:lang w:eastAsia="fr-FR"/>
        </w:rPr>
        <w:footnoteReference w:id="3"/>
      </w:r>
    </w:p>
    <w:p w14:paraId="1CB7600E" w14:textId="24A8BDA2" w:rsidR="00725DFE" w:rsidRDefault="00725DFE" w:rsidP="00725DFE">
      <w:pPr>
        <w:spacing w:before="160"/>
        <w:rPr>
          <w:lang w:eastAsia="fr-FR"/>
        </w:rPr>
      </w:pPr>
      <w:r>
        <w:rPr>
          <w:lang w:eastAsia="fr-FR"/>
        </w:rPr>
        <w:t>L</w:t>
      </w:r>
      <w:r w:rsidRPr="00725DFE">
        <w:rPr>
          <w:lang w:eastAsia="fr-FR"/>
        </w:rPr>
        <w:t>’accessibilité numérique repose sur un cadre normatif structuré à l’échelle internationale et nationale</w:t>
      </w:r>
      <w:r>
        <w:rPr>
          <w:lang w:eastAsia="fr-FR"/>
        </w:rPr>
        <w:t>.</w:t>
      </w:r>
      <w:r w:rsidRPr="00725DFE">
        <w:rPr>
          <w:lang w:eastAsia="fr-FR"/>
        </w:rPr>
        <w:t xml:space="preserve"> Les </w:t>
      </w:r>
      <w:r w:rsidRPr="00725DFE">
        <w:rPr>
          <w:i/>
          <w:iCs/>
          <w:lang w:eastAsia="fr-FR"/>
        </w:rPr>
        <w:t xml:space="preserve">Web Content </w:t>
      </w:r>
      <w:proofErr w:type="spellStart"/>
      <w:r w:rsidRPr="00725DFE">
        <w:rPr>
          <w:i/>
          <w:iCs/>
          <w:lang w:eastAsia="fr-FR"/>
        </w:rPr>
        <w:t>Accessibility</w:t>
      </w:r>
      <w:proofErr w:type="spellEnd"/>
      <w:r w:rsidRPr="00725DFE">
        <w:rPr>
          <w:i/>
          <w:iCs/>
          <w:lang w:eastAsia="fr-FR"/>
        </w:rPr>
        <w:t xml:space="preserve"> Guidelines</w:t>
      </w:r>
      <w:r w:rsidRPr="00725DFE">
        <w:rPr>
          <w:lang w:eastAsia="fr-FR"/>
        </w:rPr>
        <w:t xml:space="preserve"> (WCAG)</w:t>
      </w:r>
      <w:r w:rsidRPr="00725DFE">
        <w:rPr>
          <w:rStyle w:val="Appelnotedebasdep"/>
          <w:lang w:eastAsia="fr-FR"/>
        </w:rPr>
        <w:t xml:space="preserve"> </w:t>
      </w:r>
      <w:r>
        <w:rPr>
          <w:rStyle w:val="Appelnotedebasdep"/>
          <w:lang w:eastAsia="fr-FR"/>
        </w:rPr>
        <w:footnoteReference w:id="4"/>
      </w:r>
      <w:r w:rsidRPr="00725DFE">
        <w:rPr>
          <w:lang w:eastAsia="fr-FR"/>
        </w:rPr>
        <w:t xml:space="preserve"> publiées par le </w:t>
      </w:r>
      <w:r>
        <w:rPr>
          <w:lang w:eastAsia="fr-FR"/>
        </w:rPr>
        <w:t>W3C (</w:t>
      </w:r>
      <w:r w:rsidRPr="003803FF">
        <w:rPr>
          <w:i/>
          <w:iCs/>
          <w:lang w:eastAsia="fr-FR"/>
        </w:rPr>
        <w:t>World Wide Web Consortium</w:t>
      </w:r>
      <w:r>
        <w:rPr>
          <w:lang w:eastAsia="fr-FR"/>
        </w:rPr>
        <w:t>)</w:t>
      </w:r>
      <w:r>
        <w:rPr>
          <w:rStyle w:val="Appelnotedebasdep"/>
          <w:lang w:eastAsia="fr-FR"/>
        </w:rPr>
        <w:footnoteReference w:id="5"/>
      </w:r>
      <w:r w:rsidRPr="00725DFE">
        <w:rPr>
          <w:lang w:eastAsia="fr-FR"/>
        </w:rPr>
        <w:t xml:space="preserve">, constituent le référentiel international. </w:t>
      </w:r>
      <w:r>
        <w:rPr>
          <w:lang w:eastAsia="fr-FR"/>
        </w:rPr>
        <w:t>En France, ces standards sont traduits de manière opérationnelle dans le Référentiel Général d’Amélioration de l’Accessibilité (RGAA)</w:t>
      </w:r>
      <w:r w:rsidR="00401C48">
        <w:rPr>
          <w:rStyle w:val="Appelnotedebasdep"/>
          <w:lang w:eastAsia="fr-FR"/>
        </w:rPr>
        <w:footnoteReference w:id="6"/>
      </w:r>
      <w:r>
        <w:rPr>
          <w:lang w:eastAsia="fr-FR"/>
        </w:rPr>
        <w:t>, qui constitue le cadre réglementaire applicable.</w:t>
      </w:r>
    </w:p>
    <w:p w14:paraId="5A8FFB45" w14:textId="2D8EE71E" w:rsidR="007B2E61" w:rsidRPr="009166EF" w:rsidRDefault="00A61B0A" w:rsidP="0031621F">
      <w:pPr>
        <w:spacing w:before="160"/>
        <w:rPr>
          <w:lang w:eastAsia="fr-FR"/>
        </w:rPr>
      </w:pPr>
      <w:r>
        <w:rPr>
          <w:lang w:eastAsia="fr-FR"/>
        </w:rPr>
        <w:t>Les quatre piliers fondamentaux de l’accessibilité numérique proposés par le WCAG, reposent sur les critères suivants, formant l’acronyme “POUR” (</w:t>
      </w:r>
      <w:r w:rsidRPr="003803FF">
        <w:rPr>
          <w:i/>
          <w:iCs/>
          <w:lang w:eastAsia="fr-FR"/>
        </w:rPr>
        <w:t xml:space="preserve">Perceptible, </w:t>
      </w:r>
      <w:proofErr w:type="spellStart"/>
      <w:r w:rsidRPr="003803FF">
        <w:rPr>
          <w:i/>
          <w:iCs/>
          <w:lang w:eastAsia="fr-FR"/>
        </w:rPr>
        <w:t>Operable</w:t>
      </w:r>
      <w:proofErr w:type="spellEnd"/>
      <w:r w:rsidRPr="003803FF">
        <w:rPr>
          <w:i/>
          <w:iCs/>
          <w:lang w:eastAsia="fr-FR"/>
        </w:rPr>
        <w:t xml:space="preserve">, </w:t>
      </w:r>
      <w:proofErr w:type="spellStart"/>
      <w:r w:rsidRPr="003803FF">
        <w:rPr>
          <w:i/>
          <w:iCs/>
          <w:lang w:eastAsia="fr-FR"/>
        </w:rPr>
        <w:t>Understandable</w:t>
      </w:r>
      <w:proofErr w:type="spellEnd"/>
      <w:r w:rsidRPr="003803FF">
        <w:rPr>
          <w:i/>
          <w:iCs/>
          <w:lang w:eastAsia="fr-FR"/>
        </w:rPr>
        <w:t xml:space="preserve">, </w:t>
      </w:r>
      <w:proofErr w:type="spellStart"/>
      <w:r w:rsidRPr="003803FF">
        <w:rPr>
          <w:i/>
          <w:iCs/>
          <w:lang w:eastAsia="fr-FR"/>
        </w:rPr>
        <w:t>Robust</w:t>
      </w:r>
      <w:proofErr w:type="spellEnd"/>
      <w:r>
        <w:rPr>
          <w:lang w:eastAsia="fr-FR"/>
        </w:rPr>
        <w:t>) :</w:t>
      </w:r>
    </w:p>
    <w:p w14:paraId="044AF1F9" w14:textId="4FF6F928" w:rsidR="0031621F" w:rsidRPr="0031621F" w:rsidRDefault="0031621F">
      <w:pPr>
        <w:numPr>
          <w:ilvl w:val="0"/>
          <w:numId w:val="12"/>
        </w:numPr>
        <w:spacing w:before="160"/>
        <w:rPr>
          <w:lang w:eastAsia="fr-FR"/>
        </w:rPr>
      </w:pPr>
      <w:r w:rsidRPr="0031621F">
        <w:rPr>
          <w:b/>
          <w:bCs/>
          <w:lang w:eastAsia="fr-FR"/>
        </w:rPr>
        <w:t>Perceptible</w:t>
      </w:r>
      <w:r w:rsidRPr="0031621F">
        <w:rPr>
          <w:lang w:eastAsia="fr-FR"/>
        </w:rPr>
        <w:t xml:space="preserve"> : l'utilisateur doit pouvoir percevoir les informations et les composants de l'interface, au moyen d</w:t>
      </w:r>
      <w:r w:rsidR="00AA79E2">
        <w:rPr>
          <w:lang w:eastAsia="fr-FR"/>
        </w:rPr>
        <w:t>’un de</w:t>
      </w:r>
      <w:r w:rsidRPr="0031621F">
        <w:rPr>
          <w:lang w:eastAsia="fr-FR"/>
        </w:rPr>
        <w:t xml:space="preserve"> ses sens quel</w:t>
      </w:r>
      <w:r w:rsidR="00645E8E">
        <w:rPr>
          <w:lang w:eastAsia="fr-FR"/>
        </w:rPr>
        <w:t>s</w:t>
      </w:r>
      <w:r w:rsidRPr="0031621F">
        <w:rPr>
          <w:lang w:eastAsia="fr-FR"/>
        </w:rPr>
        <w:t xml:space="preserve"> qu’il</w:t>
      </w:r>
      <w:r w:rsidR="00645E8E">
        <w:rPr>
          <w:lang w:eastAsia="fr-FR"/>
        </w:rPr>
        <w:t>s</w:t>
      </w:r>
      <w:r w:rsidRPr="0031621F">
        <w:rPr>
          <w:lang w:eastAsia="fr-FR"/>
        </w:rPr>
        <w:t xml:space="preserve"> soi</w:t>
      </w:r>
      <w:r w:rsidR="00645E8E">
        <w:rPr>
          <w:lang w:eastAsia="fr-FR"/>
        </w:rPr>
        <w:t>en</w:t>
      </w:r>
      <w:r w:rsidRPr="0031621F">
        <w:rPr>
          <w:lang w:eastAsia="fr-FR"/>
        </w:rPr>
        <w:t xml:space="preserve">t : </w:t>
      </w:r>
      <w:r w:rsidR="00645E8E">
        <w:rPr>
          <w:lang w:eastAsia="fr-FR"/>
        </w:rPr>
        <w:t>vue</w:t>
      </w:r>
      <w:r w:rsidRPr="0031621F">
        <w:rPr>
          <w:lang w:eastAsia="fr-FR"/>
        </w:rPr>
        <w:t xml:space="preserve">, </w:t>
      </w:r>
      <w:r w:rsidR="00645E8E">
        <w:rPr>
          <w:lang w:eastAsia="fr-FR"/>
        </w:rPr>
        <w:t>ouïe</w:t>
      </w:r>
      <w:r w:rsidRPr="0031621F">
        <w:rPr>
          <w:lang w:eastAsia="fr-FR"/>
        </w:rPr>
        <w:t>, toucher (par le clavier).</w:t>
      </w:r>
    </w:p>
    <w:p w14:paraId="4A31920E" w14:textId="610D142D" w:rsidR="0031621F" w:rsidRPr="0031621F" w:rsidRDefault="0031621F">
      <w:pPr>
        <w:numPr>
          <w:ilvl w:val="0"/>
          <w:numId w:val="12"/>
        </w:numPr>
        <w:spacing w:before="160"/>
        <w:rPr>
          <w:lang w:eastAsia="fr-FR"/>
        </w:rPr>
      </w:pPr>
      <w:r w:rsidRPr="0031621F">
        <w:rPr>
          <w:b/>
          <w:bCs/>
          <w:lang w:eastAsia="fr-FR"/>
        </w:rPr>
        <w:t>Utilisable</w:t>
      </w:r>
      <w:r w:rsidRPr="0031621F">
        <w:rPr>
          <w:lang w:eastAsia="fr-FR"/>
        </w:rPr>
        <w:t xml:space="preserve"> (</w:t>
      </w:r>
      <w:proofErr w:type="spellStart"/>
      <w:r w:rsidRPr="0031621F">
        <w:rPr>
          <w:i/>
          <w:iCs/>
          <w:lang w:eastAsia="fr-FR"/>
        </w:rPr>
        <w:t>operable</w:t>
      </w:r>
      <w:proofErr w:type="spellEnd"/>
      <w:r w:rsidRPr="0031621F">
        <w:rPr>
          <w:lang w:eastAsia="fr-FR"/>
        </w:rPr>
        <w:t>) : l'utilisateur doit pouvoir naviguer et interagir avec tous les composants de l'interface sans embûche.</w:t>
      </w:r>
    </w:p>
    <w:p w14:paraId="6ABD108E" w14:textId="7B85B345" w:rsidR="0031621F" w:rsidRPr="0031621F" w:rsidRDefault="0031621F">
      <w:pPr>
        <w:numPr>
          <w:ilvl w:val="0"/>
          <w:numId w:val="12"/>
        </w:numPr>
        <w:spacing w:before="160"/>
        <w:rPr>
          <w:lang w:eastAsia="fr-FR"/>
        </w:rPr>
      </w:pPr>
      <w:r w:rsidRPr="0031621F">
        <w:rPr>
          <w:b/>
          <w:bCs/>
          <w:lang w:eastAsia="fr-FR"/>
        </w:rPr>
        <w:t>Compréhensible</w:t>
      </w:r>
      <w:r w:rsidRPr="0031621F">
        <w:rPr>
          <w:lang w:eastAsia="fr-FR"/>
        </w:rPr>
        <w:t xml:space="preserve"> (</w:t>
      </w:r>
      <w:proofErr w:type="spellStart"/>
      <w:r w:rsidRPr="0031621F">
        <w:rPr>
          <w:i/>
          <w:iCs/>
          <w:lang w:eastAsia="fr-FR"/>
        </w:rPr>
        <w:t>understandable</w:t>
      </w:r>
      <w:proofErr w:type="spellEnd"/>
      <w:r w:rsidRPr="0031621F">
        <w:rPr>
          <w:lang w:eastAsia="fr-FR"/>
        </w:rPr>
        <w:t xml:space="preserve">) : l'utilisateur doit pouvoir comprendre les informations et </w:t>
      </w:r>
      <w:r w:rsidR="00645E8E">
        <w:rPr>
          <w:lang w:eastAsia="fr-FR"/>
        </w:rPr>
        <w:t>les modalités d’</w:t>
      </w:r>
      <w:r w:rsidRPr="0031621F">
        <w:rPr>
          <w:lang w:eastAsia="fr-FR"/>
        </w:rPr>
        <w:t>utilisation de l'interface.</w:t>
      </w:r>
    </w:p>
    <w:p w14:paraId="7230FFE2" w14:textId="77777777" w:rsidR="0031621F" w:rsidRPr="0031621F" w:rsidRDefault="0031621F">
      <w:pPr>
        <w:numPr>
          <w:ilvl w:val="0"/>
          <w:numId w:val="12"/>
        </w:numPr>
        <w:spacing w:before="160"/>
        <w:rPr>
          <w:lang w:eastAsia="fr-FR"/>
        </w:rPr>
      </w:pPr>
      <w:r w:rsidRPr="0031621F">
        <w:rPr>
          <w:b/>
          <w:bCs/>
          <w:lang w:eastAsia="fr-FR"/>
        </w:rPr>
        <w:t>Robuste</w:t>
      </w:r>
      <w:r w:rsidRPr="0031621F">
        <w:rPr>
          <w:lang w:eastAsia="fr-FR"/>
        </w:rPr>
        <w:t xml:space="preserve"> : le contenu doit rester compatible avec une grande variété de technologies d'assistance. Cela nécessite de penser la modularité du code et des interfaces pour intégrer toute évolution future des technologies d’assistance.</w:t>
      </w:r>
    </w:p>
    <w:p w14:paraId="72E6A8FA" w14:textId="1A7A260D" w:rsidR="00725DFE" w:rsidRDefault="00725DFE" w:rsidP="00725DFE">
      <w:pPr>
        <w:spacing w:before="160"/>
        <w:rPr>
          <w:lang w:eastAsia="fr-FR"/>
        </w:rPr>
      </w:pPr>
      <w:r>
        <w:rPr>
          <w:lang w:eastAsia="fr-FR"/>
        </w:rPr>
        <w:t>Le RGAA s’applique aux sites web, applications mobiles, intranets, extranets et documents numériques</w:t>
      </w:r>
      <w:r w:rsidR="002C19CD">
        <w:rPr>
          <w:lang w:eastAsia="fr-FR"/>
        </w:rPr>
        <w:t> </w:t>
      </w:r>
      <w:r>
        <w:rPr>
          <w:lang w:eastAsia="fr-FR"/>
        </w:rPr>
        <w:t>; définit un ensemble de critères vérifiables permettant d’évaluer la conformité ; encadre les audits et les obligations déclaratives. La conformité au RGAA constitue une exigence réglementaire, mais elle ne garantit pas, à elle seule, une accessibilité réelle du point de vue des usages.</w:t>
      </w:r>
      <w:r w:rsidR="00401C48">
        <w:rPr>
          <w:lang w:eastAsia="fr-FR"/>
        </w:rPr>
        <w:t xml:space="preserve"> </w:t>
      </w:r>
      <w:r>
        <w:rPr>
          <w:lang w:eastAsia="fr-FR"/>
        </w:rPr>
        <w:t xml:space="preserve">C’est pourquoi </w:t>
      </w:r>
      <w:r>
        <w:rPr>
          <w:lang w:eastAsia="fr-FR"/>
        </w:rPr>
        <w:lastRenderedPageBreak/>
        <w:t xml:space="preserve">toute démarche d’accessibilité doit articuler conformité technique (RGAA) et validation par les usages (tests utilisateurs). </w:t>
      </w:r>
    </w:p>
    <w:p w14:paraId="5CD57B4F" w14:textId="4311157B" w:rsidR="0031621F" w:rsidRDefault="0031621F" w:rsidP="00725DFE">
      <w:pPr>
        <w:spacing w:before="160"/>
        <w:rPr>
          <w:lang w:eastAsia="fr-FR"/>
        </w:rPr>
      </w:pPr>
      <w:r w:rsidRPr="0031621F">
        <w:rPr>
          <w:lang w:eastAsia="fr-FR"/>
        </w:rPr>
        <w:t>Dans un contexte d'entreprise ou d'administration publique, l'accessibilité numérique ne se limite</w:t>
      </w:r>
      <w:r w:rsidR="00725DFE">
        <w:rPr>
          <w:lang w:eastAsia="fr-FR"/>
        </w:rPr>
        <w:t xml:space="preserve"> </w:t>
      </w:r>
      <w:r w:rsidRPr="0031621F">
        <w:rPr>
          <w:lang w:eastAsia="fr-FR"/>
        </w:rPr>
        <w:t>pas à la simple conformité de quelques sites. Il s'agit d'une démarche transversale et stratégique qui vise à garantir que l'ensemble des produits et services numériques (sites web, applications métiers, intranet, documents bureautiques, etc.) soi</w:t>
      </w:r>
      <w:r w:rsidR="001B765D">
        <w:rPr>
          <w:lang w:eastAsia="fr-FR"/>
        </w:rPr>
        <w:t>en</w:t>
      </w:r>
      <w:r w:rsidRPr="0031621F">
        <w:rPr>
          <w:lang w:eastAsia="fr-FR"/>
        </w:rPr>
        <w:t>t conçu</w:t>
      </w:r>
      <w:r w:rsidR="001B765D">
        <w:rPr>
          <w:lang w:eastAsia="fr-FR"/>
        </w:rPr>
        <w:t>s</w:t>
      </w:r>
      <w:r w:rsidRPr="0031621F">
        <w:rPr>
          <w:lang w:eastAsia="fr-FR"/>
        </w:rPr>
        <w:t>, développé</w:t>
      </w:r>
      <w:r w:rsidR="001B765D">
        <w:rPr>
          <w:lang w:eastAsia="fr-FR"/>
        </w:rPr>
        <w:t>s</w:t>
      </w:r>
      <w:r w:rsidRPr="0031621F">
        <w:rPr>
          <w:lang w:eastAsia="fr-FR"/>
        </w:rPr>
        <w:t xml:space="preserve"> et maintenu</w:t>
      </w:r>
      <w:r w:rsidR="001B765D">
        <w:rPr>
          <w:lang w:eastAsia="fr-FR"/>
        </w:rPr>
        <w:t>s</w:t>
      </w:r>
      <w:r w:rsidRPr="0031621F">
        <w:rPr>
          <w:lang w:eastAsia="fr-FR"/>
        </w:rPr>
        <w:t xml:space="preserve"> de manière à être utilisable</w:t>
      </w:r>
      <w:r w:rsidR="001B765D">
        <w:rPr>
          <w:lang w:eastAsia="fr-FR"/>
        </w:rPr>
        <w:t>s</w:t>
      </w:r>
      <w:r w:rsidRPr="0031621F">
        <w:rPr>
          <w:lang w:eastAsia="fr-FR"/>
        </w:rPr>
        <w:t xml:space="preserve"> par tous. Cela nécessite une véritable organisation</w:t>
      </w:r>
      <w:r w:rsidR="00645E8E">
        <w:rPr>
          <w:lang w:eastAsia="fr-FR"/>
        </w:rPr>
        <w:t xml:space="preserve"> avec la</w:t>
      </w:r>
      <w:r w:rsidRPr="0031621F">
        <w:rPr>
          <w:lang w:eastAsia="fr-FR"/>
        </w:rPr>
        <w:t xml:space="preserve"> gouvernance </w:t>
      </w:r>
      <w:r w:rsidR="00645E8E">
        <w:rPr>
          <w:lang w:eastAsia="fr-FR"/>
        </w:rPr>
        <w:t xml:space="preserve">associée </w:t>
      </w:r>
      <w:r w:rsidRPr="0031621F">
        <w:rPr>
          <w:lang w:eastAsia="fr-FR"/>
        </w:rPr>
        <w:t>(sujet que nous développerons en partie 2).</w:t>
      </w:r>
    </w:p>
    <w:p w14:paraId="319E47F0" w14:textId="656D30A0" w:rsidR="0031621F" w:rsidRPr="0031621F" w:rsidRDefault="0031621F" w:rsidP="0031621F">
      <w:pPr>
        <w:pStyle w:val="Titre3"/>
      </w:pPr>
      <w:bookmarkStart w:id="8" w:name="_Toc230076996"/>
      <w:r>
        <w:t>Comprendre le cadre légal</w:t>
      </w:r>
      <w:bookmarkEnd w:id="8"/>
    </w:p>
    <w:p w14:paraId="4B655A80" w14:textId="77777777" w:rsidR="0031621F" w:rsidRPr="0031621F" w:rsidRDefault="0031621F" w:rsidP="00401C48">
      <w:pPr>
        <w:spacing w:before="160"/>
        <w:rPr>
          <w:lang w:eastAsia="fr-FR"/>
        </w:rPr>
      </w:pPr>
      <w:r w:rsidRPr="002E3391">
        <w:rPr>
          <w:b/>
          <w:bCs/>
          <w:lang w:eastAsia="fr-FR"/>
        </w:rPr>
        <w:t>Au niveau national</w:t>
      </w:r>
      <w:r w:rsidRPr="0031621F">
        <w:rPr>
          <w:lang w:eastAsia="fr-FR"/>
        </w:rPr>
        <w:t>, deux textes réglementaires encadrent les dispositifs en matière d’accessibilité :</w:t>
      </w:r>
    </w:p>
    <w:p w14:paraId="0A4DB180" w14:textId="25E502FB" w:rsidR="0031621F" w:rsidRPr="0031621F" w:rsidRDefault="0031621F">
      <w:pPr>
        <w:numPr>
          <w:ilvl w:val="0"/>
          <w:numId w:val="13"/>
        </w:numPr>
        <w:spacing w:before="160"/>
        <w:rPr>
          <w:lang w:eastAsia="fr-FR"/>
        </w:rPr>
      </w:pPr>
      <w:r w:rsidRPr="0031621F">
        <w:rPr>
          <w:lang w:eastAsia="fr-FR"/>
        </w:rPr>
        <w:t xml:space="preserve">L’article 47 de la </w:t>
      </w:r>
      <w:r w:rsidR="00AA79E2">
        <w:rPr>
          <w:lang w:eastAsia="fr-FR"/>
        </w:rPr>
        <w:t>L</w:t>
      </w:r>
      <w:r w:rsidRPr="0031621F">
        <w:rPr>
          <w:lang w:eastAsia="fr-FR"/>
        </w:rPr>
        <w:t>oi n°2005-102 du 11 février 2005 en faveur de l’égalité des droits et des chances, la participation</w:t>
      </w:r>
      <w:r w:rsidR="001B765D">
        <w:rPr>
          <w:lang w:eastAsia="fr-FR"/>
        </w:rPr>
        <w:t>,</w:t>
      </w:r>
      <w:r w:rsidRPr="0031621F">
        <w:rPr>
          <w:lang w:eastAsia="fr-FR"/>
        </w:rPr>
        <w:t xml:space="preserve"> et la citoyenneté des personnes handicapées. Cet article </w:t>
      </w:r>
      <w:r w:rsidR="001B765D">
        <w:rPr>
          <w:lang w:eastAsia="fr-FR"/>
        </w:rPr>
        <w:t xml:space="preserve">a </w:t>
      </w:r>
      <w:r w:rsidRPr="0031621F">
        <w:rPr>
          <w:lang w:eastAsia="fr-FR"/>
        </w:rPr>
        <w:t>pos</w:t>
      </w:r>
      <w:r w:rsidR="001B765D">
        <w:rPr>
          <w:lang w:eastAsia="fr-FR"/>
        </w:rPr>
        <w:t>é</w:t>
      </w:r>
      <w:r w:rsidRPr="0031621F">
        <w:rPr>
          <w:lang w:eastAsia="fr-FR"/>
        </w:rPr>
        <w:t xml:space="preserve"> les premières briques de l’inclusion numérique pour les personnes en situation de handicap, </w:t>
      </w:r>
      <w:r w:rsidR="00BF3E4B" w:rsidRPr="00BF3E4B">
        <w:rPr>
          <w:lang w:eastAsia="fr-FR"/>
        </w:rPr>
        <w:t xml:space="preserve">initiant un cadre légal dont l'application s'est toutefois révélée </w:t>
      </w:r>
      <w:r w:rsidR="00BF3E4B">
        <w:rPr>
          <w:lang w:eastAsia="fr-FR"/>
        </w:rPr>
        <w:t>lente et laborieuse.</w:t>
      </w:r>
    </w:p>
    <w:p w14:paraId="619F3C89" w14:textId="6567B4A0" w:rsidR="0031621F" w:rsidRDefault="0031621F">
      <w:pPr>
        <w:numPr>
          <w:ilvl w:val="0"/>
          <w:numId w:val="13"/>
        </w:numPr>
        <w:spacing w:before="160"/>
        <w:rPr>
          <w:lang w:eastAsia="fr-FR"/>
        </w:rPr>
      </w:pPr>
      <w:r w:rsidRPr="0031621F">
        <w:rPr>
          <w:lang w:eastAsia="fr-FR"/>
        </w:rPr>
        <w:t>Le décret n° 2019-768 du 24 juillet 2019 relatif à l’accessibilité aux personnes handicapées des services de communication au public en ligne</w:t>
      </w:r>
      <w:r w:rsidR="001B765D">
        <w:rPr>
          <w:lang w:eastAsia="fr-FR"/>
        </w:rPr>
        <w:t>. Ce décret</w:t>
      </w:r>
      <w:r w:rsidRPr="0031621F">
        <w:rPr>
          <w:lang w:eastAsia="fr-FR"/>
        </w:rPr>
        <w:t xml:space="preserve"> </w:t>
      </w:r>
      <w:r w:rsidR="00BF71DE">
        <w:rPr>
          <w:lang w:eastAsia="fr-FR"/>
        </w:rPr>
        <w:t xml:space="preserve">étend le texte </w:t>
      </w:r>
      <w:r w:rsidRPr="0031621F">
        <w:rPr>
          <w:lang w:eastAsia="fr-FR"/>
        </w:rPr>
        <w:t xml:space="preserve">aux entreprises privées </w:t>
      </w:r>
      <w:r w:rsidR="00AA79E2">
        <w:rPr>
          <w:lang w:eastAsia="fr-FR"/>
        </w:rPr>
        <w:t>dont le</w:t>
      </w:r>
      <w:r w:rsidRPr="0031621F">
        <w:rPr>
          <w:lang w:eastAsia="fr-FR"/>
        </w:rPr>
        <w:t xml:space="preserve"> chiffre d'affaires </w:t>
      </w:r>
      <w:r w:rsidR="00AA79E2">
        <w:rPr>
          <w:lang w:eastAsia="fr-FR"/>
        </w:rPr>
        <w:t xml:space="preserve">est </w:t>
      </w:r>
      <w:r w:rsidRPr="0031621F">
        <w:rPr>
          <w:lang w:eastAsia="fr-FR"/>
        </w:rPr>
        <w:t>supérieur à 2 millions d'euros</w:t>
      </w:r>
      <w:r w:rsidR="00BF71DE">
        <w:rPr>
          <w:lang w:eastAsia="fr-FR"/>
        </w:rPr>
        <w:t xml:space="preserve"> qui doivent désormais :</w:t>
      </w:r>
    </w:p>
    <w:p w14:paraId="7E685B8A" w14:textId="02C96651" w:rsidR="00BF71DE" w:rsidRDefault="00BF71DE">
      <w:pPr>
        <w:numPr>
          <w:ilvl w:val="1"/>
          <w:numId w:val="13"/>
        </w:numPr>
        <w:spacing w:before="160"/>
        <w:rPr>
          <w:lang w:eastAsia="fr-FR"/>
        </w:rPr>
      </w:pPr>
      <w:proofErr w:type="gramStart"/>
      <w:r>
        <w:rPr>
          <w:lang w:eastAsia="fr-FR"/>
        </w:rPr>
        <w:t>publier</w:t>
      </w:r>
      <w:proofErr w:type="gramEnd"/>
      <w:r>
        <w:rPr>
          <w:lang w:eastAsia="fr-FR"/>
        </w:rPr>
        <w:t xml:space="preserve"> une déclaration d’accessibilité basée sur le référentiel RGAA</w:t>
      </w:r>
      <w:r w:rsidR="00FC093D">
        <w:rPr>
          <w:lang w:eastAsia="fr-FR"/>
        </w:rPr>
        <w:t> ;</w:t>
      </w:r>
    </w:p>
    <w:p w14:paraId="048CC222" w14:textId="4AC9EEF8" w:rsidR="00BF71DE" w:rsidRDefault="00BF71DE">
      <w:pPr>
        <w:numPr>
          <w:ilvl w:val="1"/>
          <w:numId w:val="13"/>
        </w:numPr>
        <w:spacing w:before="160"/>
        <w:rPr>
          <w:lang w:eastAsia="fr-FR"/>
        </w:rPr>
      </w:pPr>
      <w:proofErr w:type="gramStart"/>
      <w:r>
        <w:rPr>
          <w:lang w:eastAsia="fr-FR"/>
        </w:rPr>
        <w:t>afficher</w:t>
      </w:r>
      <w:proofErr w:type="gramEnd"/>
      <w:r>
        <w:rPr>
          <w:lang w:eastAsia="fr-FR"/>
        </w:rPr>
        <w:t xml:space="preserve"> la conformité dès la page d’accueil </w:t>
      </w:r>
      <w:r w:rsidR="0071178A">
        <w:rPr>
          <w:lang w:eastAsia="fr-FR"/>
        </w:rPr>
        <w:t>de leurs</w:t>
      </w:r>
      <w:r>
        <w:rPr>
          <w:lang w:eastAsia="fr-FR"/>
        </w:rPr>
        <w:t xml:space="preserve"> site</w:t>
      </w:r>
      <w:r w:rsidR="0071178A">
        <w:rPr>
          <w:lang w:eastAsia="fr-FR"/>
        </w:rPr>
        <w:t>s</w:t>
      </w:r>
      <w:r w:rsidR="00FC093D">
        <w:rPr>
          <w:lang w:eastAsia="fr-FR"/>
        </w:rPr>
        <w:t> ;</w:t>
      </w:r>
    </w:p>
    <w:p w14:paraId="270055B7" w14:textId="1939C0C9" w:rsidR="00BF71DE" w:rsidRDefault="00BF71DE">
      <w:pPr>
        <w:numPr>
          <w:ilvl w:val="1"/>
          <w:numId w:val="13"/>
        </w:numPr>
        <w:spacing w:before="160"/>
        <w:rPr>
          <w:lang w:eastAsia="fr-FR"/>
        </w:rPr>
      </w:pPr>
      <w:proofErr w:type="gramStart"/>
      <w:r>
        <w:rPr>
          <w:lang w:eastAsia="fr-FR"/>
        </w:rPr>
        <w:t>publier</w:t>
      </w:r>
      <w:proofErr w:type="gramEnd"/>
      <w:r>
        <w:rPr>
          <w:lang w:eastAsia="fr-FR"/>
        </w:rPr>
        <w:t xml:space="preserve"> un schéma pluriannuel et des plans d’actions sur 3 ans</w:t>
      </w:r>
      <w:r w:rsidR="00FC093D">
        <w:rPr>
          <w:lang w:eastAsia="fr-FR"/>
        </w:rPr>
        <w:t> ;</w:t>
      </w:r>
    </w:p>
    <w:p w14:paraId="11962D84" w14:textId="70819AD1" w:rsidR="00BF71DE" w:rsidRDefault="00FC093D">
      <w:pPr>
        <w:numPr>
          <w:ilvl w:val="1"/>
          <w:numId w:val="13"/>
        </w:numPr>
        <w:spacing w:before="160"/>
        <w:rPr>
          <w:lang w:eastAsia="fr-FR"/>
        </w:rPr>
      </w:pPr>
      <w:proofErr w:type="gramStart"/>
      <w:r>
        <w:rPr>
          <w:lang w:eastAsia="fr-FR"/>
        </w:rPr>
        <w:t>nommer</w:t>
      </w:r>
      <w:proofErr w:type="gramEnd"/>
      <w:r>
        <w:rPr>
          <w:lang w:eastAsia="fr-FR"/>
        </w:rPr>
        <w:t xml:space="preserve"> </w:t>
      </w:r>
      <w:r w:rsidR="00BF71DE">
        <w:rPr>
          <w:lang w:eastAsia="fr-FR"/>
        </w:rPr>
        <w:t>un référent accessibilité en interne</w:t>
      </w:r>
      <w:r>
        <w:rPr>
          <w:lang w:eastAsia="fr-FR"/>
        </w:rPr>
        <w:t> ;</w:t>
      </w:r>
      <w:r w:rsidR="00BF71DE">
        <w:rPr>
          <w:lang w:eastAsia="fr-FR"/>
        </w:rPr>
        <w:t xml:space="preserve"> </w:t>
      </w:r>
    </w:p>
    <w:p w14:paraId="6E16C195" w14:textId="2B41B05E" w:rsidR="00FC093D" w:rsidRPr="0031621F" w:rsidRDefault="00FC093D">
      <w:pPr>
        <w:numPr>
          <w:ilvl w:val="1"/>
          <w:numId w:val="13"/>
        </w:numPr>
        <w:spacing w:before="160"/>
        <w:rPr>
          <w:lang w:eastAsia="fr-FR"/>
        </w:rPr>
      </w:pPr>
      <w:proofErr w:type="gramStart"/>
      <w:r>
        <w:rPr>
          <w:lang w:eastAsia="fr-FR"/>
        </w:rPr>
        <w:t>m</w:t>
      </w:r>
      <w:r w:rsidRPr="00FC093D">
        <w:rPr>
          <w:lang w:eastAsia="fr-FR"/>
        </w:rPr>
        <w:t>ettre</w:t>
      </w:r>
      <w:proofErr w:type="gramEnd"/>
      <w:r w:rsidRPr="00FC093D">
        <w:rPr>
          <w:lang w:eastAsia="fr-FR"/>
        </w:rPr>
        <w:t xml:space="preserve"> en place un système de signalement pour les </w:t>
      </w:r>
      <w:r>
        <w:rPr>
          <w:lang w:eastAsia="fr-FR"/>
        </w:rPr>
        <w:t>utilisateurs</w:t>
      </w:r>
      <w:r w:rsidRPr="00FC093D">
        <w:rPr>
          <w:lang w:eastAsia="fr-FR"/>
        </w:rPr>
        <w:t xml:space="preserve"> et</w:t>
      </w:r>
      <w:r>
        <w:rPr>
          <w:lang w:eastAsia="fr-FR"/>
        </w:rPr>
        <w:t xml:space="preserve"> </w:t>
      </w:r>
      <w:r w:rsidRPr="00FC093D">
        <w:rPr>
          <w:lang w:eastAsia="fr-FR"/>
        </w:rPr>
        <w:t>s'engager à traiter</w:t>
      </w:r>
      <w:r>
        <w:rPr>
          <w:lang w:eastAsia="fr-FR"/>
        </w:rPr>
        <w:t xml:space="preserve"> les difficultés remontées</w:t>
      </w:r>
      <w:r w:rsidRPr="00FC093D">
        <w:rPr>
          <w:lang w:eastAsia="fr-FR"/>
        </w:rPr>
        <w:t xml:space="preserve"> dans un délai raisonnable</w:t>
      </w:r>
      <w:r>
        <w:rPr>
          <w:lang w:eastAsia="fr-FR"/>
        </w:rPr>
        <w:t>.</w:t>
      </w:r>
    </w:p>
    <w:p w14:paraId="34E24716" w14:textId="7F27D4A8" w:rsidR="0031621F" w:rsidRPr="0031621F" w:rsidRDefault="0031621F" w:rsidP="00401C48">
      <w:pPr>
        <w:spacing w:before="160"/>
        <w:rPr>
          <w:lang w:eastAsia="fr-FR"/>
        </w:rPr>
      </w:pPr>
      <w:r w:rsidRPr="002E3391">
        <w:rPr>
          <w:b/>
          <w:bCs/>
          <w:lang w:eastAsia="fr-FR"/>
        </w:rPr>
        <w:t>À l’échelle européenne</w:t>
      </w:r>
      <w:r w:rsidRPr="0031621F">
        <w:rPr>
          <w:lang w:eastAsia="fr-FR"/>
        </w:rPr>
        <w:t>, deux directives spécifient les exigences d’accessibilité en matière d’usage des outils et services numériques :</w:t>
      </w:r>
    </w:p>
    <w:p w14:paraId="67CDDF5F" w14:textId="0AF1E290" w:rsidR="0031621F" w:rsidRPr="0031621F" w:rsidRDefault="0031621F">
      <w:pPr>
        <w:numPr>
          <w:ilvl w:val="0"/>
          <w:numId w:val="14"/>
        </w:numPr>
        <w:spacing w:before="160"/>
        <w:rPr>
          <w:lang w:eastAsia="fr-FR"/>
        </w:rPr>
      </w:pPr>
      <w:r w:rsidRPr="0031621F">
        <w:rPr>
          <w:lang w:eastAsia="fr-FR"/>
        </w:rPr>
        <w:t>La directive (UE) 2016/2102</w:t>
      </w:r>
      <w:r w:rsidR="00401C48" w:rsidRPr="00401C48">
        <w:rPr>
          <w:vertAlign w:val="superscript"/>
          <w:lang w:eastAsia="fr-FR"/>
        </w:rPr>
        <w:footnoteReference w:id="7"/>
      </w:r>
      <w:r w:rsidRPr="0031621F">
        <w:rPr>
          <w:lang w:eastAsia="fr-FR"/>
        </w:rPr>
        <w:t>, relative à l'accessibilité des sites internet et des applications mobiles des organismes du secteur public. Cette directive permet</w:t>
      </w:r>
      <w:r w:rsidR="00AA79E2">
        <w:rPr>
          <w:lang w:eastAsia="fr-FR"/>
        </w:rPr>
        <w:t>,</w:t>
      </w:r>
      <w:r w:rsidRPr="0031621F">
        <w:rPr>
          <w:lang w:eastAsia="fr-FR"/>
        </w:rPr>
        <w:t xml:space="preserve"> </w:t>
      </w:r>
      <w:r w:rsidR="00AA79E2" w:rsidRPr="0031621F">
        <w:rPr>
          <w:lang w:eastAsia="fr-FR"/>
        </w:rPr>
        <w:t>pour la première fois,</w:t>
      </w:r>
      <w:r w:rsidR="00AA79E2">
        <w:rPr>
          <w:lang w:eastAsia="fr-FR"/>
        </w:rPr>
        <w:t xml:space="preserve"> </w:t>
      </w:r>
      <w:r w:rsidRPr="0031621F">
        <w:rPr>
          <w:lang w:eastAsia="fr-FR"/>
        </w:rPr>
        <w:t>d’harmoniser les règles d’accessibilité des services publics en Europe</w:t>
      </w:r>
      <w:r w:rsidR="00401C48">
        <w:rPr>
          <w:lang w:eastAsia="fr-FR"/>
        </w:rPr>
        <w:t xml:space="preserve">, qui doivent se </w:t>
      </w:r>
      <w:r w:rsidR="00401C48" w:rsidRPr="00401C48">
        <w:rPr>
          <w:lang w:eastAsia="fr-FR"/>
        </w:rPr>
        <w:t>conformer aux exigences énoncées dans la norme européenne EN 301</w:t>
      </w:r>
      <w:r w:rsidR="0071178A">
        <w:rPr>
          <w:lang w:eastAsia="fr-FR"/>
        </w:rPr>
        <w:t> </w:t>
      </w:r>
      <w:r w:rsidR="00401C48" w:rsidRPr="00401C48">
        <w:rPr>
          <w:lang w:eastAsia="fr-FR"/>
        </w:rPr>
        <w:t>549</w:t>
      </w:r>
      <w:r w:rsidR="0071178A">
        <w:rPr>
          <w:lang w:eastAsia="fr-FR"/>
        </w:rPr>
        <w:t xml:space="preserve"> </w:t>
      </w:r>
      <w:r w:rsidR="00401C48" w:rsidRPr="00401C48">
        <w:rPr>
          <w:vertAlign w:val="superscript"/>
          <w:lang w:eastAsia="fr-FR"/>
        </w:rPr>
        <w:footnoteReference w:id="8"/>
      </w:r>
      <w:r w:rsidR="00401C48">
        <w:rPr>
          <w:lang w:eastAsia="fr-FR"/>
        </w:rPr>
        <w:t xml:space="preserve">, reprenant </w:t>
      </w:r>
      <w:r w:rsidR="00401C48" w:rsidRPr="00401C48">
        <w:rPr>
          <w:lang w:eastAsia="fr-FR"/>
        </w:rPr>
        <w:t xml:space="preserve">les critères de succès des </w:t>
      </w:r>
      <w:r w:rsidR="00401C48" w:rsidRPr="00401C48">
        <w:rPr>
          <w:i/>
          <w:iCs/>
          <w:lang w:eastAsia="fr-FR"/>
        </w:rPr>
        <w:t xml:space="preserve">Web Content </w:t>
      </w:r>
      <w:proofErr w:type="spellStart"/>
      <w:r w:rsidR="00401C48" w:rsidRPr="00401C48">
        <w:rPr>
          <w:i/>
          <w:iCs/>
          <w:lang w:eastAsia="fr-FR"/>
        </w:rPr>
        <w:t>Accessibility</w:t>
      </w:r>
      <w:proofErr w:type="spellEnd"/>
      <w:r w:rsidR="00401C48" w:rsidRPr="00401C48">
        <w:rPr>
          <w:i/>
          <w:iCs/>
          <w:lang w:eastAsia="fr-FR"/>
        </w:rPr>
        <w:t xml:space="preserve"> Guidelines</w:t>
      </w:r>
      <w:r w:rsidR="00401C48" w:rsidRPr="00401C48">
        <w:rPr>
          <w:lang w:eastAsia="fr-FR"/>
        </w:rPr>
        <w:t xml:space="preserve"> (WCAG). </w:t>
      </w:r>
    </w:p>
    <w:p w14:paraId="5FFF2B2F" w14:textId="7D20A948" w:rsidR="0031621F" w:rsidRPr="0031621F" w:rsidRDefault="0031621F">
      <w:pPr>
        <w:numPr>
          <w:ilvl w:val="0"/>
          <w:numId w:val="14"/>
        </w:numPr>
        <w:spacing w:before="160"/>
        <w:rPr>
          <w:lang w:eastAsia="fr-FR"/>
        </w:rPr>
      </w:pPr>
      <w:r w:rsidRPr="0031621F">
        <w:rPr>
          <w:lang w:eastAsia="fr-FR"/>
        </w:rPr>
        <w:t xml:space="preserve">La directive (UE) 2019/882, dite aussi « </w:t>
      </w:r>
      <w:proofErr w:type="spellStart"/>
      <w:r w:rsidRPr="00401C48">
        <w:rPr>
          <w:b/>
          <w:bCs/>
          <w:i/>
          <w:iCs/>
          <w:lang w:eastAsia="fr-FR"/>
        </w:rPr>
        <w:t>European</w:t>
      </w:r>
      <w:proofErr w:type="spellEnd"/>
      <w:r w:rsidRPr="00401C48">
        <w:rPr>
          <w:b/>
          <w:bCs/>
          <w:i/>
          <w:iCs/>
          <w:lang w:eastAsia="fr-FR"/>
        </w:rPr>
        <w:t xml:space="preserve"> </w:t>
      </w:r>
      <w:proofErr w:type="spellStart"/>
      <w:r w:rsidRPr="00401C48">
        <w:rPr>
          <w:b/>
          <w:bCs/>
          <w:i/>
          <w:iCs/>
          <w:lang w:eastAsia="fr-FR"/>
        </w:rPr>
        <w:t>Accessibility</w:t>
      </w:r>
      <w:proofErr w:type="spellEnd"/>
      <w:r w:rsidRPr="00401C48">
        <w:rPr>
          <w:b/>
          <w:bCs/>
          <w:i/>
          <w:iCs/>
          <w:lang w:eastAsia="fr-FR"/>
        </w:rPr>
        <w:t xml:space="preserve"> Act</w:t>
      </w:r>
      <w:r w:rsidRPr="0031621F">
        <w:rPr>
          <w:lang w:eastAsia="fr-FR"/>
        </w:rPr>
        <w:t xml:space="preserve"> » (EAA), relative aux exigences en matière d’accessibilité applicables aux produits et services</w:t>
      </w:r>
      <w:r w:rsidR="001B765D">
        <w:rPr>
          <w:lang w:eastAsia="fr-FR"/>
        </w:rPr>
        <w:t>.</w:t>
      </w:r>
      <w:r w:rsidRPr="0031621F">
        <w:rPr>
          <w:lang w:eastAsia="fr-FR"/>
        </w:rPr>
        <w:t xml:space="preserve"> </w:t>
      </w:r>
      <w:r w:rsidR="001B765D">
        <w:rPr>
          <w:b/>
          <w:bCs/>
          <w:lang w:eastAsia="fr-FR"/>
        </w:rPr>
        <w:t>T</w:t>
      </w:r>
      <w:r w:rsidRPr="0031621F">
        <w:rPr>
          <w:b/>
          <w:bCs/>
          <w:lang w:eastAsia="fr-FR"/>
        </w:rPr>
        <w:t xml:space="preserve">ransposée à </w:t>
      </w:r>
      <w:r w:rsidRPr="0031621F">
        <w:rPr>
          <w:b/>
          <w:bCs/>
          <w:lang w:eastAsia="fr-FR"/>
        </w:rPr>
        <w:lastRenderedPageBreak/>
        <w:t>l’échelle nationale et en vigueur depuis le 28 juin 2025</w:t>
      </w:r>
      <w:r>
        <w:rPr>
          <w:rStyle w:val="Appelnotedebasdep"/>
          <w:b/>
          <w:bCs/>
          <w:lang w:eastAsia="fr-FR"/>
        </w:rPr>
        <w:footnoteReference w:id="9"/>
      </w:r>
      <w:r w:rsidR="003A3968" w:rsidRPr="003A3968">
        <w:rPr>
          <w:lang w:eastAsia="fr-FR"/>
        </w:rPr>
        <w:t xml:space="preserve"> </w:t>
      </w:r>
      <w:r w:rsidR="001B765D">
        <w:rPr>
          <w:lang w:eastAsia="fr-FR"/>
        </w:rPr>
        <w:t xml:space="preserve">, </w:t>
      </w:r>
      <w:r w:rsidR="003A3968" w:rsidRPr="003A3968">
        <w:rPr>
          <w:lang w:eastAsia="fr-FR"/>
        </w:rPr>
        <w:t>ses obligations sont appliquées par le biais du RGAA (Référentiel Général d'Amélioration de l'Accessibilité)</w:t>
      </w:r>
      <w:r w:rsidR="003A3968">
        <w:rPr>
          <w:lang w:eastAsia="fr-FR"/>
        </w:rPr>
        <w:t>.</w:t>
      </w:r>
      <w:r w:rsidRPr="0031621F">
        <w:rPr>
          <w:lang w:eastAsia="fr-FR"/>
        </w:rPr>
        <w:t xml:space="preserve"> </w:t>
      </w:r>
      <w:r w:rsidR="001459B6">
        <w:rPr>
          <w:lang w:eastAsia="fr-FR"/>
        </w:rPr>
        <w:t xml:space="preserve">Le cadre opérationnel est précisé par le décret </w:t>
      </w:r>
      <w:r w:rsidR="001459B6" w:rsidRPr="001459B6">
        <w:rPr>
          <w:lang w:eastAsia="fr-FR"/>
        </w:rPr>
        <w:t>n° 2023-931 du 9 octobre 2023</w:t>
      </w:r>
      <w:r w:rsidR="001459B6">
        <w:rPr>
          <w:rStyle w:val="Appelnotedebasdep"/>
          <w:lang w:eastAsia="fr-FR"/>
        </w:rPr>
        <w:footnoteReference w:id="10"/>
      </w:r>
      <w:r w:rsidR="001459B6" w:rsidRPr="001459B6">
        <w:rPr>
          <w:lang w:eastAsia="fr-FR"/>
        </w:rPr>
        <w:t xml:space="preserve"> </w:t>
      </w:r>
      <w:r w:rsidR="001459B6">
        <w:rPr>
          <w:lang w:eastAsia="fr-FR"/>
        </w:rPr>
        <w:t>et les spécifications techniques sont détaillées par l‘a</w:t>
      </w:r>
      <w:r w:rsidR="001459B6" w:rsidRPr="001459B6">
        <w:rPr>
          <w:lang w:eastAsia="fr-FR"/>
        </w:rPr>
        <w:t>rrêté du 9 octobre 2023 fixant les exigences en matière d'accessibilité applicables aux produits et services</w:t>
      </w:r>
      <w:r w:rsidR="001459B6">
        <w:rPr>
          <w:rStyle w:val="Appelnotedebasdep"/>
          <w:lang w:eastAsia="fr-FR"/>
        </w:rPr>
        <w:footnoteReference w:id="11"/>
      </w:r>
      <w:r w:rsidR="001459B6">
        <w:rPr>
          <w:lang w:eastAsia="fr-FR"/>
        </w:rPr>
        <w:t xml:space="preserve">. </w:t>
      </w:r>
      <w:r w:rsidRPr="0031621F">
        <w:rPr>
          <w:lang w:eastAsia="fr-FR"/>
        </w:rPr>
        <w:t>Cette directive étend les obligations à de nouveaux secteurs privés comme la banque, la téléphonie, le e-commerce et les transports. Une gamme de produits et services plus large entre désormais dans le périmètre de l’EAA : les sites web (intranet, extranet), les applications mobiles, les applications métiers, les progiciels ainsi que le mobilier urbain numérique, les matériels informatiques et les systèmes d’exploitation. </w:t>
      </w:r>
      <w:r w:rsidR="003A3968" w:rsidRPr="003A3968">
        <w:rPr>
          <w:lang w:eastAsia="fr-FR"/>
        </w:rPr>
        <w:t xml:space="preserve"> </w:t>
      </w:r>
    </w:p>
    <w:p w14:paraId="5B288496" w14:textId="718916E6" w:rsidR="0031621F" w:rsidRPr="0031621F" w:rsidRDefault="001B765D" w:rsidP="001B765D">
      <w:pPr>
        <w:spacing w:before="160"/>
        <w:rPr>
          <w:lang w:eastAsia="fr-FR"/>
        </w:rPr>
      </w:pPr>
      <w:r>
        <w:rPr>
          <w:lang w:eastAsia="fr-FR"/>
        </w:rPr>
        <w:t>En synthèse, d</w:t>
      </w:r>
      <w:r w:rsidR="0031621F" w:rsidRPr="0031621F">
        <w:rPr>
          <w:lang w:eastAsia="fr-FR"/>
        </w:rPr>
        <w:t>es exigences et obligations déclaratives s’appliquent désormais aux organisations concernées par ce cadre législatif :</w:t>
      </w:r>
    </w:p>
    <w:p w14:paraId="3C735884" w14:textId="46576607" w:rsidR="0031621F" w:rsidRPr="0031621F" w:rsidRDefault="0031621F">
      <w:pPr>
        <w:numPr>
          <w:ilvl w:val="0"/>
          <w:numId w:val="15"/>
        </w:numPr>
        <w:spacing w:before="160"/>
        <w:rPr>
          <w:lang w:eastAsia="fr-FR"/>
        </w:rPr>
      </w:pPr>
      <w:r w:rsidRPr="0031621F">
        <w:rPr>
          <w:lang w:eastAsia="fr-FR"/>
        </w:rPr>
        <w:t xml:space="preserve">Les produits et services doivent </w:t>
      </w:r>
      <w:r w:rsidRPr="0031621F">
        <w:rPr>
          <w:b/>
          <w:bCs/>
          <w:lang w:eastAsia="fr-FR"/>
        </w:rPr>
        <w:t xml:space="preserve">respecter les exigences techniques </w:t>
      </w:r>
      <w:r w:rsidRPr="0031621F">
        <w:rPr>
          <w:lang w:eastAsia="fr-FR"/>
        </w:rPr>
        <w:t>définies par la directive, en s'appuyant sur des normes harmonisées comme la norme européenne EN 301 549, qui s'appuie elle-même sur les WCAG.</w:t>
      </w:r>
    </w:p>
    <w:p w14:paraId="30179A9E" w14:textId="77777777" w:rsidR="0031621F" w:rsidRPr="0031621F" w:rsidRDefault="0031621F">
      <w:pPr>
        <w:numPr>
          <w:ilvl w:val="0"/>
          <w:numId w:val="15"/>
        </w:numPr>
        <w:spacing w:before="160"/>
        <w:rPr>
          <w:lang w:eastAsia="fr-FR"/>
        </w:rPr>
      </w:pPr>
      <w:r w:rsidRPr="0031621F">
        <w:rPr>
          <w:lang w:eastAsia="fr-FR"/>
        </w:rPr>
        <w:t xml:space="preserve">Les fabricants et fournisseurs doivent rédiger une </w:t>
      </w:r>
      <w:r w:rsidRPr="0031621F">
        <w:rPr>
          <w:b/>
          <w:bCs/>
          <w:lang w:eastAsia="fr-FR"/>
        </w:rPr>
        <w:t xml:space="preserve">documentation technique </w:t>
      </w:r>
      <w:r w:rsidRPr="0031621F">
        <w:rPr>
          <w:lang w:eastAsia="fr-FR"/>
        </w:rPr>
        <w:t xml:space="preserve">et apposer un </w:t>
      </w:r>
      <w:r w:rsidRPr="0031621F">
        <w:rPr>
          <w:b/>
          <w:bCs/>
          <w:lang w:eastAsia="fr-FR"/>
        </w:rPr>
        <w:t xml:space="preserve">marquage </w:t>
      </w:r>
      <w:r w:rsidRPr="0031621F">
        <w:rPr>
          <w:lang w:eastAsia="fr-FR"/>
        </w:rPr>
        <w:t>de conformité (Marquage CE) sur les produits.</w:t>
      </w:r>
    </w:p>
    <w:p w14:paraId="14937100" w14:textId="77777777" w:rsidR="0031621F" w:rsidRPr="0031621F" w:rsidRDefault="0031621F">
      <w:pPr>
        <w:numPr>
          <w:ilvl w:val="0"/>
          <w:numId w:val="15"/>
        </w:numPr>
        <w:spacing w:before="160"/>
        <w:rPr>
          <w:lang w:eastAsia="fr-FR"/>
        </w:rPr>
      </w:pPr>
      <w:r w:rsidRPr="0031621F">
        <w:rPr>
          <w:lang w:eastAsia="fr-FR"/>
        </w:rPr>
        <w:t xml:space="preserve">Une </w:t>
      </w:r>
      <w:r w:rsidRPr="0031621F">
        <w:rPr>
          <w:b/>
          <w:bCs/>
          <w:lang w:eastAsia="fr-FR"/>
        </w:rPr>
        <w:t>déclaration de conformité</w:t>
      </w:r>
      <w:r w:rsidRPr="0031621F">
        <w:rPr>
          <w:lang w:eastAsia="fr-FR"/>
        </w:rPr>
        <w:t xml:space="preserve"> doit être établie pour attester du respect des exigences d'accessibilité.</w:t>
      </w:r>
    </w:p>
    <w:p w14:paraId="7762B90E" w14:textId="77777777" w:rsidR="0031621F" w:rsidRPr="0031621F" w:rsidRDefault="0031621F">
      <w:pPr>
        <w:numPr>
          <w:ilvl w:val="0"/>
          <w:numId w:val="15"/>
        </w:numPr>
        <w:spacing w:before="160"/>
        <w:rPr>
          <w:lang w:eastAsia="fr-FR"/>
        </w:rPr>
      </w:pPr>
      <w:r w:rsidRPr="0031621F">
        <w:rPr>
          <w:lang w:eastAsia="fr-FR"/>
        </w:rPr>
        <w:t xml:space="preserve">Les organisations doivent </w:t>
      </w:r>
      <w:r w:rsidRPr="0031621F">
        <w:rPr>
          <w:b/>
          <w:bCs/>
          <w:lang w:eastAsia="fr-FR"/>
        </w:rPr>
        <w:t>fournir des informations sur l'accessibilité de leurs produits et services</w:t>
      </w:r>
      <w:r w:rsidRPr="0031621F">
        <w:rPr>
          <w:lang w:eastAsia="fr-FR"/>
        </w:rPr>
        <w:t xml:space="preserve"> dans la documentation et via des services d'assistance accessibles (centres d'appel, support technique).</w:t>
      </w:r>
    </w:p>
    <w:p w14:paraId="216246CC" w14:textId="77777777" w:rsidR="0031621F" w:rsidRPr="0031621F" w:rsidRDefault="0031621F" w:rsidP="0031621F">
      <w:pPr>
        <w:pStyle w:val="Titre3"/>
      </w:pPr>
      <w:bookmarkStart w:id="9" w:name="_Toc230076997"/>
      <w:r w:rsidRPr="0031621F">
        <w:t xml:space="preserve">Qui est </w:t>
      </w:r>
      <w:proofErr w:type="gramStart"/>
      <w:r w:rsidRPr="0031621F">
        <w:t>concerné ?</w:t>
      </w:r>
      <w:bookmarkEnd w:id="9"/>
      <w:proofErr w:type="gramEnd"/>
    </w:p>
    <w:p w14:paraId="5242CB90" w14:textId="0C21832B" w:rsidR="0031621F" w:rsidRPr="0031621F" w:rsidRDefault="006673CA" w:rsidP="0031621F">
      <w:pPr>
        <w:spacing w:before="160"/>
        <w:rPr>
          <w:lang w:eastAsia="fr-FR"/>
        </w:rPr>
      </w:pPr>
      <w:r>
        <w:rPr>
          <w:lang w:eastAsia="fr-FR"/>
        </w:rPr>
        <w:t>Jusqu’en 2025</w:t>
      </w:r>
      <w:r w:rsidR="0031621F" w:rsidRPr="0031621F">
        <w:rPr>
          <w:lang w:eastAsia="fr-FR"/>
        </w:rPr>
        <w:t>, seuls quelques organismes étaient concernés par la législation française en matière d’accessibilité :</w:t>
      </w:r>
    </w:p>
    <w:p w14:paraId="2B7C9FFE" w14:textId="77777777" w:rsidR="001B765D" w:rsidRDefault="0031621F">
      <w:pPr>
        <w:pStyle w:val="Paragraphedeliste"/>
        <w:numPr>
          <w:ilvl w:val="0"/>
          <w:numId w:val="70"/>
        </w:numPr>
      </w:pPr>
      <w:r w:rsidRPr="0031621F">
        <w:t>Le secteur public (administrations, collectivités, territoriales, etc.)</w:t>
      </w:r>
      <w:r w:rsidR="006673CA">
        <w:t> ;</w:t>
      </w:r>
    </w:p>
    <w:p w14:paraId="38C467D3" w14:textId="77777777" w:rsidR="001B765D" w:rsidRDefault="0031621F">
      <w:pPr>
        <w:pStyle w:val="Paragraphedeliste"/>
        <w:numPr>
          <w:ilvl w:val="0"/>
          <w:numId w:val="70"/>
        </w:numPr>
      </w:pPr>
      <w:r w:rsidRPr="0031621F">
        <w:t xml:space="preserve">Les </w:t>
      </w:r>
      <w:r w:rsidR="006673CA" w:rsidRPr="0031621F">
        <w:t>organis</w:t>
      </w:r>
      <w:r w:rsidR="006673CA">
        <w:t>ations à but non lucratif investies d’une mission</w:t>
      </w:r>
      <w:r w:rsidR="006673CA" w:rsidRPr="0031621F">
        <w:t xml:space="preserve"> </w:t>
      </w:r>
      <w:r w:rsidRPr="0031621F">
        <w:t>d’intérêt général</w:t>
      </w:r>
      <w:r w:rsidR="006673CA">
        <w:t> ;</w:t>
      </w:r>
      <w:r w:rsidRPr="0031621F">
        <w:t xml:space="preserve"> </w:t>
      </w:r>
    </w:p>
    <w:p w14:paraId="24796DEA" w14:textId="77777777" w:rsidR="001B765D" w:rsidRDefault="0031621F">
      <w:pPr>
        <w:pStyle w:val="Paragraphedeliste"/>
        <w:numPr>
          <w:ilvl w:val="0"/>
          <w:numId w:val="70"/>
        </w:numPr>
      </w:pPr>
      <w:r w:rsidRPr="0031621F">
        <w:t>Les délégataires d’une mission de service public (transports en commun, eau, énergie …)</w:t>
      </w:r>
    </w:p>
    <w:p w14:paraId="35D77C3D" w14:textId="57A9B45E" w:rsidR="0031621F" w:rsidRPr="0031621F" w:rsidRDefault="0031621F">
      <w:pPr>
        <w:pStyle w:val="Paragraphedeliste"/>
        <w:numPr>
          <w:ilvl w:val="0"/>
          <w:numId w:val="70"/>
        </w:numPr>
      </w:pPr>
      <w:r w:rsidRPr="0031621F">
        <w:t xml:space="preserve">Les entreprises privées réalisant </w:t>
      </w:r>
      <w:r w:rsidR="00677DD3" w:rsidRPr="0031621F">
        <w:t xml:space="preserve">en France </w:t>
      </w:r>
      <w:r w:rsidRPr="0031621F">
        <w:t>un chiffre d’affaires annuel égal ou supérieur à 250 millions d’euros.</w:t>
      </w:r>
    </w:p>
    <w:p w14:paraId="26C600EF" w14:textId="47937584" w:rsidR="0031621F" w:rsidRPr="0031621F" w:rsidRDefault="004C66C1" w:rsidP="0031621F">
      <w:pPr>
        <w:spacing w:before="160"/>
        <w:rPr>
          <w:lang w:eastAsia="fr-FR"/>
        </w:rPr>
      </w:pPr>
      <w:r>
        <w:rPr>
          <w:lang w:eastAsia="fr-FR"/>
        </w:rPr>
        <w:t xml:space="preserve">Depuis </w:t>
      </w:r>
      <w:r w:rsidR="006673CA">
        <w:rPr>
          <w:lang w:eastAsia="fr-FR"/>
        </w:rPr>
        <w:t xml:space="preserve">juin </w:t>
      </w:r>
      <w:r w:rsidR="0031621F" w:rsidRPr="0031621F">
        <w:rPr>
          <w:lang w:eastAsia="fr-FR"/>
        </w:rPr>
        <w:t xml:space="preserve">2025, cependant, </w:t>
      </w:r>
      <w:r w:rsidR="0031621F" w:rsidRPr="0031621F">
        <w:rPr>
          <w:b/>
          <w:bCs/>
          <w:lang w:eastAsia="fr-FR"/>
        </w:rPr>
        <w:t>le législateur étend l’obligation légale à quelques autres secteurs</w:t>
      </w:r>
      <w:r w:rsidR="0031621F" w:rsidRPr="0031621F">
        <w:rPr>
          <w:lang w:eastAsia="fr-FR"/>
        </w:rPr>
        <w:t xml:space="preserve"> : </w:t>
      </w:r>
    </w:p>
    <w:p w14:paraId="4828F9B3" w14:textId="77777777" w:rsidR="001B765D" w:rsidRDefault="0031621F">
      <w:pPr>
        <w:pStyle w:val="Paragraphedeliste"/>
        <w:numPr>
          <w:ilvl w:val="0"/>
          <w:numId w:val="71"/>
        </w:numPr>
      </w:pPr>
      <w:r w:rsidRPr="0031621F">
        <w:t>L</w:t>
      </w:r>
      <w:r w:rsidR="000506B8">
        <w:t>es services bancaires, de crédits, d’investissement et de paiement ;</w:t>
      </w:r>
    </w:p>
    <w:p w14:paraId="76E115B9" w14:textId="77777777" w:rsidR="001B765D" w:rsidRDefault="0031621F">
      <w:pPr>
        <w:pStyle w:val="Paragraphedeliste"/>
        <w:numPr>
          <w:ilvl w:val="0"/>
          <w:numId w:val="71"/>
        </w:numPr>
      </w:pPr>
      <w:r w:rsidRPr="0031621F">
        <w:t>La téléphonie </w:t>
      </w:r>
      <w:r w:rsidR="000506B8">
        <w:t>et les services de communication électroniques (visioconférence) ;</w:t>
      </w:r>
    </w:p>
    <w:p w14:paraId="3EB2F8D2" w14:textId="77777777" w:rsidR="001B765D" w:rsidRDefault="000506B8">
      <w:pPr>
        <w:pStyle w:val="Paragraphedeliste"/>
        <w:numPr>
          <w:ilvl w:val="0"/>
          <w:numId w:val="71"/>
        </w:numPr>
      </w:pPr>
      <w:r>
        <w:t>Les livres numériques ;</w:t>
      </w:r>
    </w:p>
    <w:p w14:paraId="35403673" w14:textId="77777777" w:rsidR="001B765D" w:rsidRDefault="000506B8">
      <w:pPr>
        <w:pStyle w:val="Paragraphedeliste"/>
        <w:numPr>
          <w:ilvl w:val="0"/>
          <w:numId w:val="71"/>
        </w:numPr>
      </w:pPr>
      <w:r>
        <w:lastRenderedPageBreak/>
        <w:t>L</w:t>
      </w:r>
      <w:r w:rsidR="006673CA" w:rsidRPr="006673CA">
        <w:t>es sites et plateformes de commerce électronique</w:t>
      </w:r>
      <w:r>
        <w:t> ;</w:t>
      </w:r>
    </w:p>
    <w:p w14:paraId="1A0AC470" w14:textId="77777777" w:rsidR="001B765D" w:rsidRDefault="000506B8">
      <w:pPr>
        <w:pStyle w:val="Paragraphedeliste"/>
        <w:numPr>
          <w:ilvl w:val="0"/>
          <w:numId w:val="71"/>
        </w:numPr>
      </w:pPr>
      <w:r>
        <w:t>Les services de médias audiovisuels ;</w:t>
      </w:r>
    </w:p>
    <w:p w14:paraId="017772CE" w14:textId="77777777" w:rsidR="001B765D" w:rsidRDefault="000506B8">
      <w:pPr>
        <w:pStyle w:val="Paragraphedeliste"/>
        <w:numPr>
          <w:ilvl w:val="0"/>
          <w:numId w:val="71"/>
        </w:numPr>
      </w:pPr>
      <w:r>
        <w:t>Les services de transport de voyageurs (sites Web, applications mobiles, terminaux en libre-service, écrans d’information) ;</w:t>
      </w:r>
    </w:p>
    <w:p w14:paraId="46A7B459" w14:textId="55C4FEFF" w:rsidR="000506B8" w:rsidRDefault="000506B8">
      <w:pPr>
        <w:pStyle w:val="Paragraphedeliste"/>
        <w:numPr>
          <w:ilvl w:val="0"/>
          <w:numId w:val="71"/>
        </w:numPr>
      </w:pPr>
      <w:r>
        <w:t>Les services d’urgence.</w:t>
      </w:r>
    </w:p>
    <w:p w14:paraId="5DF39DDC" w14:textId="76E7B234" w:rsidR="00726013" w:rsidRPr="0031621F" w:rsidRDefault="00DD2D5E" w:rsidP="003803FF">
      <w:r w:rsidRPr="00910341">
        <w:rPr>
          <w:b/>
          <w:bCs/>
        </w:rPr>
        <w:t>Dans tous ces secteurs</w:t>
      </w:r>
      <w:r>
        <w:t>, s</w:t>
      </w:r>
      <w:r w:rsidR="00726013">
        <w:t xml:space="preserve">ont désormais concernées </w:t>
      </w:r>
      <w:r w:rsidR="00726013" w:rsidRPr="002E3391">
        <w:rPr>
          <w:b/>
          <w:bCs/>
        </w:rPr>
        <w:t xml:space="preserve">toutes les entreprises </w:t>
      </w:r>
      <w:r w:rsidR="009A3B6A" w:rsidRPr="009A3B6A">
        <w:rPr>
          <w:b/>
          <w:bCs/>
        </w:rPr>
        <w:t>commercialis</w:t>
      </w:r>
      <w:r w:rsidR="00910341">
        <w:rPr>
          <w:b/>
          <w:bCs/>
        </w:rPr>
        <w:t>a</w:t>
      </w:r>
      <w:r w:rsidR="009A3B6A" w:rsidRPr="009A3B6A">
        <w:rPr>
          <w:b/>
          <w:bCs/>
        </w:rPr>
        <w:t>nt des produits ou services sur le marché européen, quel que soit le pays où se situe leur siège social</w:t>
      </w:r>
      <w:r w:rsidR="00726013">
        <w:t xml:space="preserve">, à l’exception des TPE, </w:t>
      </w:r>
      <w:r w:rsidR="00726013" w:rsidRPr="00710325">
        <w:t>c'est-à-dire celles comptant moins de 10 salariés et ayant un chiffre d'affaires inférieur à 2 millions d'euros.</w:t>
      </w:r>
    </w:p>
    <w:p w14:paraId="65B7114A" w14:textId="41D93976" w:rsidR="0031621F" w:rsidRPr="0031621F" w:rsidRDefault="0031621F" w:rsidP="0031621F">
      <w:pPr>
        <w:pStyle w:val="Titre3"/>
        <w:rPr>
          <w:lang w:val="fr-FR"/>
        </w:rPr>
      </w:pPr>
      <w:bookmarkStart w:id="10" w:name="_Toc230076998"/>
      <w:r w:rsidRPr="0031621F">
        <w:rPr>
          <w:lang w:val="fr-FR"/>
        </w:rPr>
        <w:t xml:space="preserve">Quel calendrier pour la mise en conformité </w:t>
      </w:r>
      <w:r w:rsidR="00677DD3">
        <w:rPr>
          <w:lang w:val="fr-FR"/>
        </w:rPr>
        <w:t>À</w:t>
      </w:r>
      <w:r w:rsidR="00677DD3" w:rsidRPr="0031621F">
        <w:rPr>
          <w:lang w:val="fr-FR"/>
        </w:rPr>
        <w:t xml:space="preserve"> </w:t>
      </w:r>
      <w:r w:rsidRPr="0031621F">
        <w:rPr>
          <w:lang w:val="fr-FR"/>
        </w:rPr>
        <w:t>l’EAA ?</w:t>
      </w:r>
      <w:bookmarkEnd w:id="10"/>
    </w:p>
    <w:p w14:paraId="3B1F3FE4" w14:textId="77777777" w:rsidR="0031621F" w:rsidRPr="0031621F" w:rsidRDefault="0031621F" w:rsidP="0031621F">
      <w:pPr>
        <w:spacing w:before="160"/>
        <w:rPr>
          <w:lang w:eastAsia="fr-FR"/>
        </w:rPr>
      </w:pPr>
      <w:r w:rsidRPr="0031621F">
        <w:rPr>
          <w:lang w:eastAsia="fr-FR"/>
        </w:rPr>
        <w:t>Le calendrier de mise en conformité a été établi en deux temps : </w:t>
      </w:r>
    </w:p>
    <w:p w14:paraId="38E2D8E8" w14:textId="71EEF775" w:rsidR="0031621F" w:rsidRPr="0031621F" w:rsidRDefault="0031621F">
      <w:pPr>
        <w:numPr>
          <w:ilvl w:val="0"/>
          <w:numId w:val="16"/>
        </w:numPr>
        <w:spacing w:before="160"/>
        <w:rPr>
          <w:lang w:eastAsia="fr-FR"/>
        </w:rPr>
      </w:pPr>
      <w:r w:rsidRPr="0031621F">
        <w:rPr>
          <w:lang w:eastAsia="fr-FR"/>
        </w:rPr>
        <w:t xml:space="preserve">Une première échéance a été arrêtée en date du </w:t>
      </w:r>
      <w:r w:rsidRPr="0031621F">
        <w:rPr>
          <w:b/>
          <w:bCs/>
          <w:lang w:eastAsia="fr-FR"/>
        </w:rPr>
        <w:t xml:space="preserve">28 juin 2025 </w:t>
      </w:r>
      <w:r w:rsidRPr="0031621F">
        <w:rPr>
          <w:lang w:eastAsia="fr-FR"/>
        </w:rPr>
        <w:t xml:space="preserve">: </w:t>
      </w:r>
      <w:r w:rsidR="001B765D">
        <w:rPr>
          <w:lang w:eastAsia="fr-FR"/>
        </w:rPr>
        <w:t>depuis</w:t>
      </w:r>
      <w:r w:rsidR="000506B8">
        <w:rPr>
          <w:lang w:eastAsia="fr-FR"/>
        </w:rPr>
        <w:t xml:space="preserve"> cette date, </w:t>
      </w:r>
      <w:r w:rsidRPr="0031621F">
        <w:rPr>
          <w:lang w:eastAsia="fr-FR"/>
        </w:rPr>
        <w:t>les nouveaux services ainsi que toutes les mises à jour d’un service (</w:t>
      </w:r>
      <w:r w:rsidR="000506B8">
        <w:rPr>
          <w:lang w:eastAsia="fr-FR"/>
        </w:rPr>
        <w:t xml:space="preserve">par exemple, </w:t>
      </w:r>
      <w:r w:rsidRPr="0031621F">
        <w:rPr>
          <w:lang w:eastAsia="fr-FR"/>
        </w:rPr>
        <w:t xml:space="preserve">la refonte d’un site internet) </w:t>
      </w:r>
      <w:r w:rsidR="00677DD3" w:rsidRPr="0031621F">
        <w:rPr>
          <w:lang w:eastAsia="fr-FR"/>
        </w:rPr>
        <w:t>d</w:t>
      </w:r>
      <w:r w:rsidR="00677DD3">
        <w:rPr>
          <w:lang w:eastAsia="fr-FR"/>
        </w:rPr>
        <w:t>oivent</w:t>
      </w:r>
      <w:r w:rsidR="00677DD3" w:rsidRPr="0031621F">
        <w:rPr>
          <w:lang w:eastAsia="fr-FR"/>
        </w:rPr>
        <w:t xml:space="preserve"> </w:t>
      </w:r>
      <w:r w:rsidRPr="0031621F">
        <w:rPr>
          <w:lang w:eastAsia="fr-FR"/>
        </w:rPr>
        <w:t xml:space="preserve">être accessibles. En l’espèce, </w:t>
      </w:r>
      <w:r w:rsidRPr="0031621F">
        <w:rPr>
          <w:b/>
          <w:bCs/>
          <w:lang w:eastAsia="fr-FR"/>
        </w:rPr>
        <w:t>la date de contractualisation fait foi</w:t>
      </w:r>
      <w:r w:rsidRPr="0031621F">
        <w:rPr>
          <w:lang w:eastAsia="fr-FR"/>
        </w:rPr>
        <w:t xml:space="preserve">, ce qui signifie que si un contrat de refonte de site </w:t>
      </w:r>
      <w:r w:rsidR="00677DD3">
        <w:rPr>
          <w:lang w:eastAsia="fr-FR"/>
        </w:rPr>
        <w:t>a été</w:t>
      </w:r>
      <w:r w:rsidR="00677DD3" w:rsidRPr="0031621F">
        <w:rPr>
          <w:lang w:eastAsia="fr-FR"/>
        </w:rPr>
        <w:t xml:space="preserve"> </w:t>
      </w:r>
      <w:r w:rsidRPr="0031621F">
        <w:rPr>
          <w:lang w:eastAsia="fr-FR"/>
        </w:rPr>
        <w:t xml:space="preserve">signé et est entré en production avant le 28 juin 2025, il </w:t>
      </w:r>
      <w:r w:rsidR="00677DD3">
        <w:rPr>
          <w:lang w:eastAsia="fr-FR"/>
        </w:rPr>
        <w:t>n’est</w:t>
      </w:r>
      <w:r w:rsidRPr="0031621F">
        <w:rPr>
          <w:lang w:eastAsia="fr-FR"/>
        </w:rPr>
        <w:t xml:space="preserve"> pas soumis à cette législation. En revanche, si le contrat </w:t>
      </w:r>
      <w:r w:rsidR="00677DD3">
        <w:rPr>
          <w:lang w:eastAsia="fr-FR"/>
        </w:rPr>
        <w:t>a été</w:t>
      </w:r>
      <w:r w:rsidR="00677DD3" w:rsidRPr="0031621F">
        <w:rPr>
          <w:lang w:eastAsia="fr-FR"/>
        </w:rPr>
        <w:t xml:space="preserve"> </w:t>
      </w:r>
      <w:r w:rsidRPr="0031621F">
        <w:rPr>
          <w:lang w:eastAsia="fr-FR"/>
        </w:rPr>
        <w:t xml:space="preserve">renouvelé après la date d’entrée en vigueur de la directive, il lui faudra être conforme. Il est à noter que </w:t>
      </w:r>
      <w:r w:rsidRPr="0031621F">
        <w:rPr>
          <w:b/>
          <w:bCs/>
          <w:lang w:eastAsia="fr-FR"/>
        </w:rPr>
        <w:t xml:space="preserve">ces enjeux concernent également l’ensemble des fournisseurs, </w:t>
      </w:r>
      <w:r w:rsidRPr="0031621F">
        <w:rPr>
          <w:lang w:eastAsia="fr-FR"/>
        </w:rPr>
        <w:t>dont les éditeurs de logiciels et les auditeurs d’accessibilité numérique eux-mêmes</w:t>
      </w:r>
      <w:r w:rsidR="00677DD3">
        <w:rPr>
          <w:lang w:eastAsia="fr-FR"/>
        </w:rPr>
        <w:t xml:space="preserve">. Ceux-ci </w:t>
      </w:r>
      <w:r w:rsidRPr="0031621F">
        <w:rPr>
          <w:lang w:eastAsia="fr-FR"/>
        </w:rPr>
        <w:t xml:space="preserve">sont </w:t>
      </w:r>
      <w:r w:rsidR="00677DD3">
        <w:rPr>
          <w:lang w:eastAsia="fr-FR"/>
        </w:rPr>
        <w:t xml:space="preserve">en effet </w:t>
      </w:r>
      <w:r w:rsidRPr="0031621F">
        <w:rPr>
          <w:lang w:eastAsia="fr-FR"/>
        </w:rPr>
        <w:t>soumis</w:t>
      </w:r>
      <w:r w:rsidR="00677DD3">
        <w:rPr>
          <w:lang w:eastAsia="fr-FR"/>
        </w:rPr>
        <w:t>,</w:t>
      </w:r>
      <w:r w:rsidRPr="0031621F">
        <w:rPr>
          <w:lang w:eastAsia="fr-FR"/>
        </w:rPr>
        <w:t xml:space="preserve"> </w:t>
      </w:r>
      <w:r w:rsidR="00677DD3" w:rsidRPr="0031621F">
        <w:rPr>
          <w:lang w:eastAsia="fr-FR"/>
        </w:rPr>
        <w:t xml:space="preserve">depuis 2019, </w:t>
      </w:r>
      <w:r w:rsidRPr="0031621F">
        <w:rPr>
          <w:lang w:eastAsia="fr-FR"/>
        </w:rPr>
        <w:t xml:space="preserve">à la </w:t>
      </w:r>
      <w:r w:rsidRPr="0031621F">
        <w:rPr>
          <w:b/>
          <w:bCs/>
          <w:lang w:eastAsia="fr-FR"/>
        </w:rPr>
        <w:t xml:space="preserve">même obligation de garantie d’accessibilité numérique que toute entité juridique </w:t>
      </w:r>
      <w:r w:rsidRPr="0031621F">
        <w:rPr>
          <w:lang w:eastAsia="fr-FR"/>
        </w:rPr>
        <w:t xml:space="preserve">réalisant </w:t>
      </w:r>
      <w:r w:rsidR="00677DD3" w:rsidRPr="0031621F">
        <w:rPr>
          <w:lang w:eastAsia="fr-FR"/>
        </w:rPr>
        <w:t xml:space="preserve">en France </w:t>
      </w:r>
      <w:r w:rsidRPr="0031621F">
        <w:rPr>
          <w:lang w:eastAsia="fr-FR"/>
        </w:rPr>
        <w:t xml:space="preserve">un chiffre d’affaires annuel égal ou supérieur à </w:t>
      </w:r>
      <w:r w:rsidR="00726013">
        <w:rPr>
          <w:lang w:eastAsia="fr-FR"/>
        </w:rPr>
        <w:t>2</w:t>
      </w:r>
      <w:r w:rsidRPr="0031621F">
        <w:rPr>
          <w:lang w:eastAsia="fr-FR"/>
        </w:rPr>
        <w:t xml:space="preserve"> millions d’euros. Le </w:t>
      </w:r>
      <w:proofErr w:type="spellStart"/>
      <w:r w:rsidRPr="0031621F">
        <w:rPr>
          <w:lang w:eastAsia="fr-FR"/>
        </w:rPr>
        <w:t>sourcing</w:t>
      </w:r>
      <w:proofErr w:type="spellEnd"/>
      <w:r w:rsidRPr="0031621F">
        <w:rPr>
          <w:lang w:eastAsia="fr-FR"/>
        </w:rPr>
        <w:t xml:space="preserve"> d’éditeurs de logiciels compatibles avec les exigences de conformité n’en demeure pas moins un enjeu crucial pour les organisations.</w:t>
      </w:r>
    </w:p>
    <w:p w14:paraId="71A81644" w14:textId="6D19A885" w:rsidR="0031621F" w:rsidRPr="0031621F" w:rsidRDefault="0031621F">
      <w:pPr>
        <w:numPr>
          <w:ilvl w:val="0"/>
          <w:numId w:val="16"/>
        </w:numPr>
        <w:spacing w:before="160"/>
        <w:rPr>
          <w:lang w:eastAsia="fr-FR"/>
        </w:rPr>
      </w:pPr>
      <w:r w:rsidRPr="0031621F">
        <w:rPr>
          <w:lang w:eastAsia="fr-FR"/>
        </w:rPr>
        <w:t>Une seconde échéance</w:t>
      </w:r>
      <w:r w:rsidR="001B765D">
        <w:rPr>
          <w:lang w:eastAsia="fr-FR"/>
        </w:rPr>
        <w:t xml:space="preserve"> est</w:t>
      </w:r>
      <w:r w:rsidRPr="0031621F">
        <w:rPr>
          <w:lang w:eastAsia="fr-FR"/>
        </w:rPr>
        <w:t xml:space="preserve"> fixée au</w:t>
      </w:r>
      <w:r w:rsidRPr="0031621F">
        <w:rPr>
          <w:b/>
          <w:bCs/>
          <w:lang w:eastAsia="fr-FR"/>
        </w:rPr>
        <w:t xml:space="preserve"> 28 juin 2030</w:t>
      </w:r>
      <w:r w:rsidR="001B765D">
        <w:rPr>
          <w:lang w:eastAsia="fr-FR"/>
        </w:rPr>
        <w:t xml:space="preserve"> et</w:t>
      </w:r>
      <w:r w:rsidRPr="0031621F">
        <w:rPr>
          <w:lang w:eastAsia="fr-FR"/>
        </w:rPr>
        <w:t xml:space="preserve"> concerne les produits et services existants qui ont été </w:t>
      </w:r>
      <w:r w:rsidRPr="0031621F">
        <w:rPr>
          <w:b/>
          <w:bCs/>
          <w:lang w:eastAsia="fr-FR"/>
        </w:rPr>
        <w:t xml:space="preserve">mis sur le marché </w:t>
      </w:r>
      <w:r w:rsidRPr="0031621F">
        <w:rPr>
          <w:b/>
          <w:bCs/>
          <w:i/>
          <w:iCs/>
          <w:lang w:eastAsia="fr-FR"/>
        </w:rPr>
        <w:t xml:space="preserve">avant </w:t>
      </w:r>
      <w:r w:rsidRPr="0031621F">
        <w:rPr>
          <w:b/>
          <w:bCs/>
          <w:lang w:eastAsia="fr-FR"/>
        </w:rPr>
        <w:t>le 28 juin 2025</w:t>
      </w:r>
      <w:r w:rsidRPr="0031621F">
        <w:rPr>
          <w:lang w:eastAsia="fr-FR"/>
        </w:rPr>
        <w:t>. Ces derniers bénéficient d'une période de transition de cinq ans pour se conformer.</w:t>
      </w:r>
    </w:p>
    <w:p w14:paraId="23D0A1FF" w14:textId="60BDD194" w:rsidR="0031621F" w:rsidRPr="0031621F" w:rsidRDefault="0031621F" w:rsidP="0031621F">
      <w:pPr>
        <w:spacing w:before="160"/>
        <w:rPr>
          <w:lang w:eastAsia="fr-FR"/>
        </w:rPr>
      </w:pPr>
      <w:r w:rsidRPr="0031621F">
        <w:rPr>
          <w:lang w:eastAsia="fr-FR"/>
        </w:rPr>
        <w:t xml:space="preserve">Ce calendrier en deux temps permet une transition ordonnée. </w:t>
      </w:r>
      <w:r w:rsidR="00677DD3">
        <w:rPr>
          <w:lang w:eastAsia="fr-FR"/>
        </w:rPr>
        <w:t>Pour la réussir, i</w:t>
      </w:r>
      <w:r w:rsidRPr="0031621F">
        <w:rPr>
          <w:lang w:eastAsia="fr-FR"/>
        </w:rPr>
        <w:t>l est crucial pour les organisations de mettre en place une stratégie de déploiement à l'échelle :</w:t>
      </w:r>
    </w:p>
    <w:p w14:paraId="5C9AF1D1" w14:textId="7AF166E1" w:rsidR="0031621F" w:rsidRDefault="00677DD3">
      <w:pPr>
        <w:numPr>
          <w:ilvl w:val="0"/>
          <w:numId w:val="17"/>
        </w:numPr>
        <w:ind w:left="714" w:hanging="357"/>
        <w:contextualSpacing/>
        <w:rPr>
          <w:lang w:eastAsia="fr-FR"/>
        </w:rPr>
      </w:pPr>
      <w:r w:rsidRPr="0031621F">
        <w:rPr>
          <w:b/>
          <w:bCs/>
          <w:lang w:eastAsia="fr-FR"/>
        </w:rPr>
        <w:t>Prioris</w:t>
      </w:r>
      <w:r>
        <w:rPr>
          <w:b/>
          <w:bCs/>
          <w:lang w:eastAsia="fr-FR"/>
        </w:rPr>
        <w:t>er</w:t>
      </w:r>
      <w:r w:rsidRPr="0031621F">
        <w:rPr>
          <w:b/>
          <w:bCs/>
          <w:lang w:eastAsia="fr-FR"/>
        </w:rPr>
        <w:t xml:space="preserve"> </w:t>
      </w:r>
      <w:r w:rsidR="0031621F" w:rsidRPr="0031621F">
        <w:rPr>
          <w:b/>
          <w:bCs/>
          <w:lang w:eastAsia="fr-FR"/>
        </w:rPr>
        <w:t xml:space="preserve">les nouveaux développements </w:t>
      </w:r>
      <w:r w:rsidR="0031621F" w:rsidRPr="0031621F">
        <w:rPr>
          <w:lang w:eastAsia="fr-FR"/>
        </w:rPr>
        <w:t xml:space="preserve">pour s'assurer qu'ils respectent les exigences dès la conception (approche « </w:t>
      </w:r>
      <w:proofErr w:type="spellStart"/>
      <w:r w:rsidR="0031621F" w:rsidRPr="0031621F">
        <w:rPr>
          <w:i/>
          <w:iCs/>
          <w:lang w:eastAsia="fr-FR"/>
        </w:rPr>
        <w:t>accessibility</w:t>
      </w:r>
      <w:proofErr w:type="spellEnd"/>
      <w:r w:rsidR="0031621F" w:rsidRPr="0031621F">
        <w:rPr>
          <w:i/>
          <w:iCs/>
          <w:lang w:eastAsia="fr-FR"/>
        </w:rPr>
        <w:t xml:space="preserve"> by design </w:t>
      </w:r>
      <w:r w:rsidR="0031621F" w:rsidRPr="0031621F">
        <w:rPr>
          <w:lang w:eastAsia="fr-FR"/>
        </w:rPr>
        <w:t>»).</w:t>
      </w:r>
    </w:p>
    <w:p w14:paraId="541685BE" w14:textId="4834633C" w:rsidR="0031621F" w:rsidRPr="0031621F" w:rsidRDefault="00677DD3">
      <w:pPr>
        <w:numPr>
          <w:ilvl w:val="0"/>
          <w:numId w:val="17"/>
        </w:numPr>
        <w:ind w:left="714" w:hanging="357"/>
        <w:contextualSpacing/>
        <w:rPr>
          <w:lang w:eastAsia="fr-FR"/>
        </w:rPr>
      </w:pPr>
      <w:r w:rsidRPr="0031621F">
        <w:rPr>
          <w:b/>
          <w:bCs/>
          <w:lang w:eastAsia="fr-FR"/>
        </w:rPr>
        <w:t>Évalu</w:t>
      </w:r>
      <w:r>
        <w:rPr>
          <w:b/>
          <w:bCs/>
          <w:lang w:eastAsia="fr-FR"/>
        </w:rPr>
        <w:t>er</w:t>
      </w:r>
      <w:r w:rsidRPr="0031621F">
        <w:rPr>
          <w:b/>
          <w:bCs/>
          <w:lang w:eastAsia="fr-FR"/>
        </w:rPr>
        <w:t xml:space="preserve"> </w:t>
      </w:r>
      <w:r w:rsidR="0031621F" w:rsidRPr="0031621F">
        <w:rPr>
          <w:b/>
          <w:bCs/>
          <w:lang w:eastAsia="fr-FR"/>
        </w:rPr>
        <w:t xml:space="preserve">et </w:t>
      </w:r>
      <w:r w:rsidRPr="0031621F">
        <w:rPr>
          <w:b/>
          <w:bCs/>
          <w:lang w:eastAsia="fr-FR"/>
        </w:rPr>
        <w:t>planifi</w:t>
      </w:r>
      <w:r>
        <w:rPr>
          <w:b/>
          <w:bCs/>
          <w:lang w:eastAsia="fr-FR"/>
        </w:rPr>
        <w:t>er</w:t>
      </w:r>
      <w:r w:rsidRPr="0031621F">
        <w:rPr>
          <w:b/>
          <w:bCs/>
          <w:lang w:eastAsia="fr-FR"/>
        </w:rPr>
        <w:t xml:space="preserve"> </w:t>
      </w:r>
      <w:r w:rsidR="0031621F" w:rsidRPr="0031621F">
        <w:rPr>
          <w:b/>
          <w:bCs/>
          <w:lang w:eastAsia="fr-FR"/>
        </w:rPr>
        <w:t>la mise en conformité</w:t>
      </w:r>
      <w:r w:rsidR="0031621F" w:rsidRPr="0031621F">
        <w:rPr>
          <w:lang w:eastAsia="fr-FR"/>
        </w:rPr>
        <w:t xml:space="preserve"> des services existants sur la période 2025-2030, en priorisant les service</w:t>
      </w:r>
      <w:r w:rsidR="0031621F" w:rsidRPr="002E3391">
        <w:rPr>
          <w:lang w:eastAsia="fr-FR"/>
        </w:rPr>
        <w:t xml:space="preserve">s </w:t>
      </w:r>
      <w:r w:rsidR="0031621F" w:rsidRPr="0031621F">
        <w:rPr>
          <w:b/>
          <w:bCs/>
          <w:lang w:eastAsia="fr-FR"/>
        </w:rPr>
        <w:t>les plus critiques ou les plus utilisés</w:t>
      </w:r>
      <w:r w:rsidR="0031621F" w:rsidRPr="0031621F">
        <w:rPr>
          <w:lang w:eastAsia="fr-FR"/>
        </w:rPr>
        <w:t>.</w:t>
      </w:r>
    </w:p>
    <w:p w14:paraId="7F15B983" w14:textId="72D0CE10" w:rsidR="0031621F" w:rsidRPr="0031621F" w:rsidRDefault="00677DD3">
      <w:pPr>
        <w:numPr>
          <w:ilvl w:val="0"/>
          <w:numId w:val="17"/>
        </w:numPr>
        <w:ind w:left="714" w:hanging="357"/>
        <w:contextualSpacing/>
        <w:rPr>
          <w:lang w:eastAsia="fr-FR"/>
        </w:rPr>
      </w:pPr>
      <w:r w:rsidRPr="0031621F">
        <w:rPr>
          <w:b/>
          <w:bCs/>
          <w:lang w:eastAsia="fr-FR"/>
        </w:rPr>
        <w:t>Intégr</w:t>
      </w:r>
      <w:r>
        <w:rPr>
          <w:b/>
          <w:bCs/>
          <w:lang w:eastAsia="fr-FR"/>
        </w:rPr>
        <w:t>er</w:t>
      </w:r>
      <w:r w:rsidRPr="0031621F">
        <w:rPr>
          <w:b/>
          <w:bCs/>
          <w:lang w:eastAsia="fr-FR"/>
        </w:rPr>
        <w:t xml:space="preserve"> </w:t>
      </w:r>
      <w:r w:rsidR="0031621F" w:rsidRPr="0031621F">
        <w:rPr>
          <w:b/>
          <w:bCs/>
          <w:lang w:eastAsia="fr-FR"/>
        </w:rPr>
        <w:t>l'accessibilité dans les processus</w:t>
      </w:r>
      <w:r w:rsidR="0031621F" w:rsidRPr="0031621F">
        <w:rPr>
          <w:lang w:eastAsia="fr-FR"/>
        </w:rPr>
        <w:t xml:space="preserve"> d'entreprise, les </w:t>
      </w:r>
      <w:r w:rsidR="0031621F" w:rsidRPr="0031621F">
        <w:rPr>
          <w:b/>
          <w:bCs/>
          <w:lang w:eastAsia="fr-FR"/>
        </w:rPr>
        <w:t xml:space="preserve">politiques RSE </w:t>
      </w:r>
      <w:r w:rsidR="0031621F" w:rsidRPr="0031621F">
        <w:rPr>
          <w:lang w:eastAsia="fr-FR"/>
        </w:rPr>
        <w:t xml:space="preserve">et les </w:t>
      </w:r>
      <w:r w:rsidR="0031621F" w:rsidRPr="0031621F">
        <w:rPr>
          <w:b/>
          <w:bCs/>
          <w:lang w:eastAsia="fr-FR"/>
        </w:rPr>
        <w:t xml:space="preserve">budgets </w:t>
      </w:r>
      <w:r w:rsidR="0031621F" w:rsidRPr="0031621F">
        <w:rPr>
          <w:lang w:eastAsia="fr-FR"/>
        </w:rPr>
        <w:t>d'investissement pour garantir la pérennité de la démarche.</w:t>
      </w:r>
    </w:p>
    <w:p w14:paraId="7F7AE194" w14:textId="6DEBCFFF" w:rsidR="0031621F" w:rsidRPr="0031621F" w:rsidRDefault="00677DD3" w:rsidP="0031621F">
      <w:pPr>
        <w:spacing w:before="160"/>
        <w:rPr>
          <w:lang w:eastAsia="fr-FR"/>
        </w:rPr>
      </w:pPr>
      <w:r>
        <w:rPr>
          <w:lang w:eastAsia="fr-FR"/>
        </w:rPr>
        <w:lastRenderedPageBreak/>
        <w:t>C</w:t>
      </w:r>
      <w:r w:rsidRPr="0031621F">
        <w:rPr>
          <w:lang w:eastAsia="fr-FR"/>
        </w:rPr>
        <w:t>omme le soulignent les travaux du</w:t>
      </w:r>
      <w:r w:rsidRPr="0031621F">
        <w:rPr>
          <w:i/>
          <w:iCs/>
          <w:lang w:eastAsia="fr-FR"/>
        </w:rPr>
        <w:t xml:space="preserve"> Low Office of Lainey Feingold</w:t>
      </w:r>
      <w:r>
        <w:rPr>
          <w:rStyle w:val="Appelnotedebasdep"/>
          <w:i/>
          <w:iCs/>
          <w:lang w:eastAsia="fr-FR"/>
        </w:rPr>
        <w:footnoteReference w:id="12"/>
      </w:r>
      <w:r w:rsidRPr="0031621F">
        <w:rPr>
          <w:lang w:eastAsia="fr-FR"/>
        </w:rPr>
        <w:t xml:space="preserve"> en matière de « </w:t>
      </w:r>
      <w:r w:rsidRPr="0031621F">
        <w:rPr>
          <w:i/>
          <w:iCs/>
          <w:lang w:eastAsia="fr-FR"/>
        </w:rPr>
        <w:t>Global Law and Policy</w:t>
      </w:r>
      <w:r w:rsidR="001B765D">
        <w:rPr>
          <w:lang w:eastAsia="fr-FR"/>
        </w:rPr>
        <w:t> </w:t>
      </w:r>
      <w:r w:rsidRPr="0031621F">
        <w:rPr>
          <w:lang w:eastAsia="fr-FR"/>
        </w:rPr>
        <w:t>»</w:t>
      </w:r>
      <w:r>
        <w:rPr>
          <w:lang w:eastAsia="fr-FR"/>
        </w:rPr>
        <w:t>,</w:t>
      </w:r>
      <w:r w:rsidRPr="0031621F">
        <w:rPr>
          <w:lang w:eastAsia="fr-FR"/>
        </w:rPr>
        <w:t> </w:t>
      </w:r>
      <w:r>
        <w:rPr>
          <w:lang w:eastAsia="fr-FR"/>
        </w:rPr>
        <w:t>c</w:t>
      </w:r>
      <w:r w:rsidR="0031621F" w:rsidRPr="0031621F">
        <w:rPr>
          <w:lang w:eastAsia="fr-FR"/>
        </w:rPr>
        <w:t>es dispositifs nationaux et internationaux vont globalement dans le sens d’une harmonisation des différentes normes</w:t>
      </w:r>
      <w:r>
        <w:rPr>
          <w:lang w:eastAsia="fr-FR"/>
        </w:rPr>
        <w:t>.</w:t>
      </w:r>
      <w:r w:rsidR="0031621F" w:rsidRPr="0031621F">
        <w:rPr>
          <w:lang w:eastAsia="fr-FR"/>
        </w:rPr>
        <w:t xml:space="preserve"> </w:t>
      </w:r>
    </w:p>
    <w:p w14:paraId="282CE8DF" w14:textId="77777777" w:rsidR="0031621F" w:rsidRPr="0031621F" w:rsidRDefault="0031621F" w:rsidP="0069716E">
      <w:pPr>
        <w:pStyle w:val="Titre3"/>
      </w:pPr>
      <w:bookmarkStart w:id="11" w:name="_Toc230076999"/>
      <w:r w:rsidRPr="0031621F">
        <w:t>Les sanctions</w:t>
      </w:r>
      <w:bookmarkEnd w:id="11"/>
      <w:r w:rsidRPr="0031621F">
        <w:t> </w:t>
      </w:r>
    </w:p>
    <w:p w14:paraId="409EF10E" w14:textId="3DFA82CB" w:rsidR="002C1CC8" w:rsidRDefault="008D7E35" w:rsidP="0031621F">
      <w:pPr>
        <w:spacing w:before="160"/>
        <w:rPr>
          <w:lang w:eastAsia="fr-FR"/>
        </w:rPr>
      </w:pPr>
      <w:r>
        <w:rPr>
          <w:lang w:eastAsia="fr-FR"/>
        </w:rPr>
        <w:t>À</w:t>
      </w:r>
      <w:r w:rsidR="002C1CC8">
        <w:rPr>
          <w:lang w:eastAsia="fr-FR"/>
        </w:rPr>
        <w:t xml:space="preserve"> l’échelon français, dans le cadre de la loi « Handicap » de 2005 et l’ordonnance du 6 septembre 2023, l</w:t>
      </w:r>
      <w:r w:rsidR="0031621F" w:rsidRPr="0031621F">
        <w:rPr>
          <w:lang w:eastAsia="fr-FR"/>
        </w:rPr>
        <w:t>e défaut de publication d</w:t>
      </w:r>
      <w:r w:rsidR="00FC093D">
        <w:rPr>
          <w:lang w:eastAsia="fr-FR"/>
        </w:rPr>
        <w:t xml:space="preserve">’une déclaration d’accessibilité </w:t>
      </w:r>
      <w:r w:rsidR="0031621F" w:rsidRPr="0031621F">
        <w:rPr>
          <w:lang w:eastAsia="fr-FR"/>
        </w:rPr>
        <w:t>peut être sanctionné de 25 000€</w:t>
      </w:r>
      <w:r w:rsidR="00FC093D">
        <w:rPr>
          <w:lang w:eastAsia="fr-FR"/>
        </w:rPr>
        <w:t xml:space="preserve"> par sites </w:t>
      </w:r>
      <w:r w:rsidR="00677DD3">
        <w:rPr>
          <w:lang w:eastAsia="fr-FR"/>
        </w:rPr>
        <w:t xml:space="preserve">et </w:t>
      </w:r>
      <w:r w:rsidR="00677DD3" w:rsidRPr="00677DD3">
        <w:rPr>
          <w:lang w:eastAsia="fr-FR"/>
        </w:rPr>
        <w:t xml:space="preserve">jusqu'à 50 000€ </w:t>
      </w:r>
      <w:r w:rsidR="00677DD3">
        <w:rPr>
          <w:lang w:eastAsia="fr-FR"/>
        </w:rPr>
        <w:t>pour</w:t>
      </w:r>
      <w:r w:rsidR="00677DD3" w:rsidRPr="0031621F">
        <w:rPr>
          <w:lang w:eastAsia="fr-FR"/>
        </w:rPr>
        <w:t xml:space="preserve"> </w:t>
      </w:r>
      <w:r w:rsidR="00FC093D">
        <w:rPr>
          <w:lang w:eastAsia="fr-FR"/>
        </w:rPr>
        <w:t>une non-</w:t>
      </w:r>
      <w:r w:rsidR="0031621F" w:rsidRPr="0031621F">
        <w:rPr>
          <w:lang w:eastAsia="fr-FR"/>
        </w:rPr>
        <w:t>conformité</w:t>
      </w:r>
      <w:r w:rsidR="00FC093D">
        <w:rPr>
          <w:lang w:eastAsia="fr-FR"/>
        </w:rPr>
        <w:t xml:space="preserve"> à la réglementation</w:t>
      </w:r>
      <w:r w:rsidR="00677DD3">
        <w:rPr>
          <w:lang w:eastAsia="fr-FR"/>
        </w:rPr>
        <w:t xml:space="preserve">. </w:t>
      </w:r>
    </w:p>
    <w:p w14:paraId="5DEE8176" w14:textId="7C733E3A" w:rsidR="0031621F" w:rsidRPr="0031621F" w:rsidRDefault="00677DD3" w:rsidP="0031621F">
      <w:pPr>
        <w:spacing w:before="160"/>
        <w:rPr>
          <w:lang w:eastAsia="fr-FR"/>
        </w:rPr>
      </w:pPr>
      <w:r>
        <w:rPr>
          <w:lang w:eastAsia="fr-FR"/>
        </w:rPr>
        <w:t>À</w:t>
      </w:r>
      <w:r w:rsidR="003803FF">
        <w:rPr>
          <w:lang w:eastAsia="fr-FR"/>
        </w:rPr>
        <w:t xml:space="preserve"> cela</w:t>
      </w:r>
      <w:r>
        <w:rPr>
          <w:lang w:eastAsia="fr-FR"/>
        </w:rPr>
        <w:t xml:space="preserve"> s’ajoutent</w:t>
      </w:r>
      <w:r w:rsidR="0031621F" w:rsidRPr="0031621F">
        <w:rPr>
          <w:lang w:eastAsia="fr-FR"/>
        </w:rPr>
        <w:t xml:space="preserve">, </w:t>
      </w:r>
      <w:r>
        <w:rPr>
          <w:lang w:eastAsia="fr-FR"/>
        </w:rPr>
        <w:t>depuis</w:t>
      </w:r>
      <w:r w:rsidR="0031621F" w:rsidRPr="0031621F">
        <w:rPr>
          <w:lang w:eastAsia="fr-FR"/>
        </w:rPr>
        <w:t xml:space="preserve"> 2025,</w:t>
      </w:r>
      <w:r w:rsidR="002C1CC8">
        <w:rPr>
          <w:lang w:eastAsia="fr-FR"/>
        </w:rPr>
        <w:t xml:space="preserve"> </w:t>
      </w:r>
      <w:r w:rsidR="0031621F" w:rsidRPr="0031621F">
        <w:rPr>
          <w:lang w:eastAsia="fr-FR"/>
        </w:rPr>
        <w:t xml:space="preserve">des sanctions spécifiques </w:t>
      </w:r>
      <w:r w:rsidR="008D7E35">
        <w:rPr>
          <w:lang w:eastAsia="fr-FR"/>
        </w:rPr>
        <w:t xml:space="preserve">à l’échelon européen, allant </w:t>
      </w:r>
      <w:r w:rsidR="0031621F" w:rsidRPr="0031621F">
        <w:rPr>
          <w:lang w:eastAsia="fr-FR"/>
        </w:rPr>
        <w:t>de</w:t>
      </w:r>
      <w:r w:rsidR="00645E8E">
        <w:rPr>
          <w:lang w:eastAsia="fr-FR"/>
        </w:rPr>
        <w:t xml:space="preserve"> </w:t>
      </w:r>
      <w:r w:rsidR="0031621F" w:rsidRPr="0031621F">
        <w:rPr>
          <w:lang w:eastAsia="fr-FR"/>
        </w:rPr>
        <w:t>7</w:t>
      </w:r>
      <w:r w:rsidR="00645E8E">
        <w:rPr>
          <w:lang w:eastAsia="fr-FR"/>
        </w:rPr>
        <w:t xml:space="preserve"> </w:t>
      </w:r>
      <w:r w:rsidR="0031621F" w:rsidRPr="0031621F">
        <w:rPr>
          <w:lang w:eastAsia="fr-FR"/>
        </w:rPr>
        <w:t xml:space="preserve">500€ </w:t>
      </w:r>
      <w:r w:rsidR="008D7E35">
        <w:rPr>
          <w:lang w:eastAsia="fr-FR"/>
        </w:rPr>
        <w:t xml:space="preserve">jusqu’à </w:t>
      </w:r>
      <w:r w:rsidR="0031621F" w:rsidRPr="0031621F">
        <w:rPr>
          <w:lang w:eastAsia="fr-FR"/>
        </w:rPr>
        <w:t>à 30 000€ en cas de récidive, avec un risque de retrait du marché européen</w:t>
      </w:r>
      <w:r w:rsidR="002C1CC8">
        <w:rPr>
          <w:lang w:eastAsia="fr-FR"/>
        </w:rPr>
        <w:t xml:space="preserve"> suite à </w:t>
      </w:r>
      <w:r w:rsidR="008D7E35">
        <w:rPr>
          <w:lang w:eastAsia="fr-FR"/>
        </w:rPr>
        <w:t xml:space="preserve">la transposition </w:t>
      </w:r>
      <w:r w:rsidR="002C1CC8">
        <w:rPr>
          <w:lang w:eastAsia="fr-FR"/>
        </w:rPr>
        <w:t xml:space="preserve">en France </w:t>
      </w:r>
      <w:r w:rsidR="008D7E35">
        <w:rPr>
          <w:lang w:eastAsia="fr-FR"/>
        </w:rPr>
        <w:t>l’</w:t>
      </w:r>
      <w:proofErr w:type="spellStart"/>
      <w:r w:rsidR="008D7E35" w:rsidRPr="008D7E35">
        <w:rPr>
          <w:i/>
          <w:iCs/>
          <w:lang w:eastAsia="fr-FR"/>
        </w:rPr>
        <w:t>European</w:t>
      </w:r>
      <w:proofErr w:type="spellEnd"/>
      <w:r w:rsidR="008D7E35" w:rsidRPr="008D7E35">
        <w:rPr>
          <w:i/>
          <w:iCs/>
          <w:lang w:eastAsia="fr-FR"/>
        </w:rPr>
        <w:t xml:space="preserve"> </w:t>
      </w:r>
      <w:proofErr w:type="spellStart"/>
      <w:r w:rsidR="008D7E35" w:rsidRPr="008D7E35">
        <w:rPr>
          <w:i/>
          <w:iCs/>
          <w:lang w:eastAsia="fr-FR"/>
        </w:rPr>
        <w:t>Accessibility</w:t>
      </w:r>
      <w:proofErr w:type="spellEnd"/>
      <w:r w:rsidR="008D7E35" w:rsidRPr="008D7E35">
        <w:rPr>
          <w:i/>
          <w:iCs/>
          <w:lang w:eastAsia="fr-FR"/>
        </w:rPr>
        <w:t xml:space="preserve"> Act</w:t>
      </w:r>
      <w:r w:rsidR="008D7E35">
        <w:rPr>
          <w:lang w:eastAsia="fr-FR"/>
        </w:rPr>
        <w:t xml:space="preserve"> (EAA) </w:t>
      </w:r>
      <w:r w:rsidR="002C1CC8">
        <w:rPr>
          <w:lang w:eastAsia="fr-FR"/>
        </w:rPr>
        <w:t>par la loi du 9 mars 2023</w:t>
      </w:r>
      <w:r w:rsidR="008D7E35">
        <w:rPr>
          <w:lang w:eastAsia="fr-FR"/>
        </w:rPr>
        <w:t>,</w:t>
      </w:r>
      <w:r w:rsidR="00ED2BEC">
        <w:rPr>
          <w:lang w:eastAsia="fr-FR"/>
        </w:rPr>
        <w:t xml:space="preserve"> en vigueur depuis le 28 juin 2025</w:t>
      </w:r>
      <w:r w:rsidR="002C1CC8">
        <w:rPr>
          <w:lang w:eastAsia="fr-FR"/>
        </w:rPr>
        <w:t>.</w:t>
      </w:r>
    </w:p>
    <w:p w14:paraId="21E96C87" w14:textId="621B7F05" w:rsidR="0031621F" w:rsidRPr="0031621F" w:rsidRDefault="0031621F" w:rsidP="0031621F">
      <w:pPr>
        <w:spacing w:before="160"/>
        <w:rPr>
          <w:lang w:eastAsia="fr-FR"/>
        </w:rPr>
      </w:pPr>
      <w:r w:rsidRPr="0031621F">
        <w:rPr>
          <w:lang w:eastAsia="fr-FR"/>
        </w:rPr>
        <w:t xml:space="preserve">Les contrôles et sanctions </w:t>
      </w:r>
      <w:r w:rsidR="00677DD3" w:rsidRPr="0031621F">
        <w:rPr>
          <w:lang w:eastAsia="fr-FR"/>
        </w:rPr>
        <w:t>s</w:t>
      </w:r>
      <w:r w:rsidR="00677DD3">
        <w:rPr>
          <w:lang w:eastAsia="fr-FR"/>
        </w:rPr>
        <w:t>ont</w:t>
      </w:r>
      <w:r w:rsidR="00677DD3" w:rsidRPr="0031621F">
        <w:rPr>
          <w:lang w:eastAsia="fr-FR"/>
        </w:rPr>
        <w:t xml:space="preserve"> </w:t>
      </w:r>
      <w:r w:rsidRPr="0031621F">
        <w:rPr>
          <w:lang w:eastAsia="fr-FR"/>
        </w:rPr>
        <w:t xml:space="preserve">pilotés par la </w:t>
      </w:r>
      <w:r w:rsidRPr="00B5346E">
        <w:rPr>
          <w:b/>
          <w:bCs/>
          <w:lang w:eastAsia="fr-FR"/>
        </w:rPr>
        <w:t>DGCCRF</w:t>
      </w:r>
      <w:r w:rsidRPr="0031621F">
        <w:rPr>
          <w:lang w:eastAsia="fr-FR"/>
        </w:rPr>
        <w:t xml:space="preserve"> (Direction générale de la Concurrence, de la Consommation et de la Répression des fraudes), autorité de contrôle transverse, compétente sur tous les produits et services visés par la directive européenne, à l’exception du livre numérique. Dans le cadre de ces missions, </w:t>
      </w:r>
      <w:r w:rsidR="00A14735">
        <w:rPr>
          <w:lang w:eastAsia="fr-FR"/>
        </w:rPr>
        <w:t>cinq</w:t>
      </w:r>
      <w:r w:rsidR="00A14735" w:rsidRPr="0031621F">
        <w:rPr>
          <w:lang w:eastAsia="fr-FR"/>
        </w:rPr>
        <w:t xml:space="preserve"> </w:t>
      </w:r>
      <w:r w:rsidRPr="0031621F">
        <w:rPr>
          <w:lang w:eastAsia="fr-FR"/>
        </w:rPr>
        <w:t xml:space="preserve">autres nouvelles autorités de contrôle </w:t>
      </w:r>
      <w:r w:rsidR="00677DD3" w:rsidRPr="0031621F">
        <w:rPr>
          <w:lang w:eastAsia="fr-FR"/>
        </w:rPr>
        <w:t>s</w:t>
      </w:r>
      <w:r w:rsidR="00677DD3">
        <w:rPr>
          <w:lang w:eastAsia="fr-FR"/>
        </w:rPr>
        <w:t>on</w:t>
      </w:r>
      <w:r w:rsidR="00677DD3" w:rsidRPr="0031621F">
        <w:rPr>
          <w:lang w:eastAsia="fr-FR"/>
        </w:rPr>
        <w:t xml:space="preserve">t </w:t>
      </w:r>
      <w:r w:rsidRPr="0031621F">
        <w:rPr>
          <w:lang w:eastAsia="fr-FR"/>
        </w:rPr>
        <w:t xml:space="preserve">habilitées </w:t>
      </w:r>
      <w:r w:rsidR="00677DD3">
        <w:rPr>
          <w:lang w:eastAsia="fr-FR"/>
        </w:rPr>
        <w:t xml:space="preserve">depuis 2025 </w:t>
      </w:r>
      <w:r w:rsidRPr="0031621F">
        <w:rPr>
          <w:lang w:eastAsia="fr-FR"/>
        </w:rPr>
        <w:t>à suivre la transformation des organisations vers l’accessibilité</w:t>
      </w:r>
      <w:r w:rsidR="00677DD3">
        <w:rPr>
          <w:lang w:eastAsia="fr-FR"/>
        </w:rPr>
        <w:t xml:space="preserve"> </w:t>
      </w:r>
      <w:r w:rsidRPr="0031621F">
        <w:rPr>
          <w:lang w:eastAsia="fr-FR"/>
        </w:rPr>
        <w:t>: </w:t>
      </w:r>
    </w:p>
    <w:p w14:paraId="12F536A9" w14:textId="77777777" w:rsidR="0031621F" w:rsidRPr="0031621F" w:rsidRDefault="0031621F">
      <w:pPr>
        <w:pStyle w:val="Paragraphedeliste"/>
        <w:numPr>
          <w:ilvl w:val="0"/>
          <w:numId w:val="11"/>
        </w:numPr>
      </w:pPr>
      <w:r w:rsidRPr="0031621F">
        <w:t>L’</w:t>
      </w:r>
      <w:r w:rsidRPr="00B5346E">
        <w:rPr>
          <w:b/>
          <w:bCs/>
        </w:rPr>
        <w:t>ARCEP</w:t>
      </w:r>
      <w:r w:rsidRPr="0031621F">
        <w:t xml:space="preserve"> (Autorité de régulation des communications électroniques, des postes et de la distribution de la presse) pour les services de communication en ligne ;</w:t>
      </w:r>
    </w:p>
    <w:p w14:paraId="53812296" w14:textId="4637630D" w:rsidR="0031621F" w:rsidRPr="0031621F" w:rsidRDefault="0031621F">
      <w:pPr>
        <w:pStyle w:val="Paragraphedeliste"/>
        <w:numPr>
          <w:ilvl w:val="0"/>
          <w:numId w:val="11"/>
        </w:numPr>
      </w:pPr>
      <w:r w:rsidRPr="0031621F">
        <w:t>L’</w:t>
      </w:r>
      <w:r w:rsidRPr="00B5346E">
        <w:rPr>
          <w:b/>
          <w:bCs/>
        </w:rPr>
        <w:t xml:space="preserve">ACPR </w:t>
      </w:r>
      <w:r w:rsidRPr="0031621F">
        <w:t>(Autorité de contrôle prudentiel et de résolution)</w:t>
      </w:r>
      <w:r w:rsidR="00A14735">
        <w:t xml:space="preserve"> et l</w:t>
      </w:r>
      <w:r w:rsidRPr="0031621F">
        <w:t>’</w:t>
      </w:r>
      <w:r w:rsidRPr="00B5346E">
        <w:rPr>
          <w:b/>
          <w:bCs/>
        </w:rPr>
        <w:t>AMF</w:t>
      </w:r>
      <w:r w:rsidRPr="0031621F">
        <w:t xml:space="preserve"> (Autorité des marchés financiers) pour les services bancaires ;</w:t>
      </w:r>
    </w:p>
    <w:p w14:paraId="1C18B90C" w14:textId="519D02A9" w:rsidR="0031621F" w:rsidRDefault="0031621F">
      <w:pPr>
        <w:pStyle w:val="Paragraphedeliste"/>
        <w:numPr>
          <w:ilvl w:val="0"/>
          <w:numId w:val="11"/>
        </w:numPr>
      </w:pPr>
      <w:r w:rsidRPr="0031621F">
        <w:t xml:space="preserve">La </w:t>
      </w:r>
      <w:r w:rsidRPr="00B5346E">
        <w:rPr>
          <w:b/>
          <w:bCs/>
        </w:rPr>
        <w:t>Banque de France</w:t>
      </w:r>
      <w:r w:rsidRPr="0031621F">
        <w:t xml:space="preserve"> concernant l’accessibilité des moyens de paiement</w:t>
      </w:r>
      <w:r w:rsidR="00A14735">
        <w:t xml:space="preserve">, des méthodes d’identification, des signatures </w:t>
      </w:r>
      <w:r w:rsidR="00733FC9">
        <w:t>électroniques</w:t>
      </w:r>
      <w:r w:rsidR="00A14735">
        <w:t>…</w:t>
      </w:r>
      <w:r w:rsidR="00B5346E">
        <w:t xml:space="preserve"> </w:t>
      </w:r>
      <w:r w:rsidR="00FC093D">
        <w:t>;</w:t>
      </w:r>
    </w:p>
    <w:p w14:paraId="761561E9" w14:textId="48220CFD" w:rsidR="00726013" w:rsidRPr="0031621F" w:rsidRDefault="00726013">
      <w:pPr>
        <w:pStyle w:val="Paragraphedeliste"/>
        <w:numPr>
          <w:ilvl w:val="0"/>
          <w:numId w:val="11"/>
        </w:numPr>
      </w:pPr>
      <w:r w:rsidRPr="00726013">
        <w:t>L'</w:t>
      </w:r>
      <w:r w:rsidRPr="00B5346E">
        <w:rPr>
          <w:b/>
          <w:bCs/>
        </w:rPr>
        <w:t>ARCOM</w:t>
      </w:r>
      <w:r w:rsidR="00A14735">
        <w:t xml:space="preserve"> (</w:t>
      </w:r>
      <w:r w:rsidR="00A14735" w:rsidRPr="00A14735">
        <w:t>Autorité de régulation de la communication audiovisuelle et numérique</w:t>
      </w:r>
      <w:r w:rsidR="00A14735">
        <w:t>)</w:t>
      </w:r>
      <w:r w:rsidR="001B765D">
        <w:t>,</w:t>
      </w:r>
      <w:r w:rsidRPr="00726013">
        <w:t xml:space="preserve"> habilitée pour le contrôle des </w:t>
      </w:r>
      <w:r w:rsidR="00FC093D">
        <w:t>services numériques (sites</w:t>
      </w:r>
      <w:r w:rsidR="00FC093D" w:rsidRPr="00726013">
        <w:t xml:space="preserve"> </w:t>
      </w:r>
      <w:r w:rsidRPr="00726013">
        <w:t>internet</w:t>
      </w:r>
      <w:r w:rsidR="00FC093D">
        <w:t>, applications mobiles, intranets…).</w:t>
      </w:r>
      <w:r w:rsidRPr="00726013">
        <w:t xml:space="preserve"> </w:t>
      </w:r>
    </w:p>
    <w:p w14:paraId="7B7FD20E" w14:textId="2C0068A6" w:rsidR="0031621F" w:rsidRPr="0031621F" w:rsidRDefault="0031621F" w:rsidP="0031621F">
      <w:pPr>
        <w:spacing w:before="160"/>
        <w:rPr>
          <w:lang w:eastAsia="fr-FR"/>
        </w:rPr>
      </w:pPr>
      <w:r w:rsidRPr="0031621F">
        <w:rPr>
          <w:lang w:eastAsia="fr-FR"/>
        </w:rPr>
        <w:t>Le respect des exigences de l’</w:t>
      </w:r>
      <w:r w:rsidR="003803FF">
        <w:rPr>
          <w:lang w:eastAsia="fr-FR"/>
        </w:rPr>
        <w:t>a</w:t>
      </w:r>
      <w:r w:rsidR="00677DD3">
        <w:rPr>
          <w:lang w:eastAsia="fr-FR"/>
        </w:rPr>
        <w:t xml:space="preserve">ccessibilité </w:t>
      </w:r>
      <w:r w:rsidR="003803FF">
        <w:rPr>
          <w:lang w:eastAsia="fr-FR"/>
        </w:rPr>
        <w:t>n</w:t>
      </w:r>
      <w:r w:rsidR="00677DD3">
        <w:rPr>
          <w:lang w:eastAsia="fr-FR"/>
        </w:rPr>
        <w:t>umérique</w:t>
      </w:r>
      <w:r w:rsidR="003803FF">
        <w:rPr>
          <w:lang w:eastAsia="fr-FR"/>
        </w:rPr>
        <w:t xml:space="preserve"> </w:t>
      </w:r>
      <w:r w:rsidRPr="0031621F">
        <w:rPr>
          <w:lang w:eastAsia="fr-FR"/>
        </w:rPr>
        <w:t>est également suivi de près par certaines associations, comme la Fédération des Aveugles de France et son « observatoire du respect des obligations d’accessibilité numérique »</w:t>
      </w:r>
      <w:r w:rsidR="0069716E">
        <w:rPr>
          <w:rStyle w:val="Appelnotedebasdep"/>
          <w:lang w:eastAsia="fr-FR"/>
        </w:rPr>
        <w:footnoteReference w:id="13"/>
      </w:r>
      <w:r w:rsidRPr="0031621F">
        <w:rPr>
          <w:lang w:eastAsia="fr-FR"/>
        </w:rPr>
        <w:t>.  </w:t>
      </w:r>
    </w:p>
    <w:p w14:paraId="71AA54F9" w14:textId="249471AE" w:rsidR="0031621F" w:rsidRPr="0031621F" w:rsidRDefault="0031621F" w:rsidP="0031621F">
      <w:pPr>
        <w:spacing w:before="160"/>
        <w:rPr>
          <w:lang w:eastAsia="fr-FR"/>
        </w:rPr>
      </w:pPr>
      <w:r w:rsidRPr="0031621F">
        <w:rPr>
          <w:lang w:eastAsia="fr-FR"/>
        </w:rPr>
        <w:t>Une fois de plus, en matière réglementaire, l’</w:t>
      </w:r>
      <w:r w:rsidRPr="0031621F">
        <w:rPr>
          <w:b/>
          <w:bCs/>
          <w:lang w:eastAsia="fr-FR"/>
        </w:rPr>
        <w:t>Union européenne produit un pouvoir normatif de marché</w:t>
      </w:r>
      <w:r w:rsidR="003803FF">
        <w:rPr>
          <w:b/>
          <w:bCs/>
          <w:lang w:eastAsia="fr-FR"/>
        </w:rPr>
        <w:t xml:space="preserve"> </w:t>
      </w:r>
      <w:r w:rsidR="003803FF" w:rsidRPr="003803FF">
        <w:rPr>
          <w:lang w:eastAsia="fr-FR"/>
        </w:rPr>
        <w:t>(</w:t>
      </w:r>
      <w:r w:rsidRPr="0031621F">
        <w:rPr>
          <w:lang w:eastAsia="fr-FR"/>
        </w:rPr>
        <w:t>souvent qualifié d'</w:t>
      </w:r>
      <w:r w:rsidRPr="003803FF">
        <w:rPr>
          <w:i/>
          <w:iCs/>
          <w:lang w:eastAsia="fr-FR"/>
        </w:rPr>
        <w:t>effet de Bruxelles</w:t>
      </w:r>
      <w:r w:rsidR="003803FF">
        <w:rPr>
          <w:i/>
          <w:iCs/>
          <w:lang w:eastAsia="fr-FR"/>
        </w:rPr>
        <w:t>)</w:t>
      </w:r>
      <w:r w:rsidRPr="0031621F">
        <w:rPr>
          <w:lang w:eastAsia="fr-FR"/>
        </w:rPr>
        <w:t xml:space="preserve"> : toute entreprise internationale qui vend ses produits ou services dans l'UE devra se conformer </w:t>
      </w:r>
      <w:r w:rsidR="00677DD3" w:rsidRPr="0031621F">
        <w:rPr>
          <w:lang w:eastAsia="fr-FR"/>
        </w:rPr>
        <w:t xml:space="preserve">également </w:t>
      </w:r>
      <w:r w:rsidRPr="0031621F">
        <w:rPr>
          <w:lang w:eastAsia="fr-FR"/>
        </w:rPr>
        <w:t xml:space="preserve">à </w:t>
      </w:r>
      <w:r w:rsidR="00A14735">
        <w:rPr>
          <w:lang w:eastAsia="fr-FR"/>
        </w:rPr>
        <w:t>c</w:t>
      </w:r>
      <w:r w:rsidRPr="0031621F">
        <w:rPr>
          <w:lang w:eastAsia="fr-FR"/>
        </w:rPr>
        <w:t xml:space="preserve">es exigences d’accessibilité. </w:t>
      </w:r>
      <w:r w:rsidR="00677DD3">
        <w:rPr>
          <w:lang w:eastAsia="fr-FR"/>
        </w:rPr>
        <w:t>De ce fait</w:t>
      </w:r>
      <w:r w:rsidRPr="0031621F">
        <w:rPr>
          <w:lang w:eastAsia="fr-FR"/>
        </w:rPr>
        <w:t>, l'accessibilité numérique transcende le seul cadre légal pour devenir un enjeu de performance économique et stratégique fondamental pour les grandes organisations.</w:t>
      </w:r>
    </w:p>
    <w:p w14:paraId="2E8AD842" w14:textId="77777777" w:rsidR="0031621F" w:rsidRPr="0031621F" w:rsidRDefault="0031621F" w:rsidP="0031621F">
      <w:pPr>
        <w:pStyle w:val="Titre2"/>
      </w:pPr>
      <w:bookmarkStart w:id="12" w:name="_Toc230077000"/>
      <w:r w:rsidRPr="0031621F">
        <w:lastRenderedPageBreak/>
        <w:t>Un enjeu stratégique et économique</w:t>
      </w:r>
      <w:bookmarkEnd w:id="12"/>
      <w:r w:rsidRPr="0031621F">
        <w:t> </w:t>
      </w:r>
    </w:p>
    <w:p w14:paraId="1F9722F0" w14:textId="686FE458" w:rsidR="0031621F" w:rsidRPr="0031621F" w:rsidRDefault="00DD269E" w:rsidP="0031621F">
      <w:pPr>
        <w:spacing w:before="160"/>
        <w:rPr>
          <w:lang w:eastAsia="fr-FR"/>
        </w:rPr>
      </w:pPr>
      <w:r w:rsidRPr="00DD269E">
        <w:rPr>
          <w:lang w:eastAsia="fr-FR"/>
        </w:rPr>
        <w:t xml:space="preserve">L'accessibilité numérique est </w:t>
      </w:r>
      <w:r>
        <w:rPr>
          <w:lang w:eastAsia="fr-FR"/>
        </w:rPr>
        <w:t xml:space="preserve">encore trop </w:t>
      </w:r>
      <w:r w:rsidRPr="00DD269E">
        <w:rPr>
          <w:lang w:eastAsia="fr-FR"/>
        </w:rPr>
        <w:t>souvent perçue sous le seul prisme de la contrainte budgétaire</w:t>
      </w:r>
      <w:r>
        <w:rPr>
          <w:lang w:eastAsia="fr-FR"/>
        </w:rPr>
        <w:t xml:space="preserve">. </w:t>
      </w:r>
      <w:r w:rsidR="00A14735">
        <w:rPr>
          <w:lang w:eastAsia="fr-FR"/>
        </w:rPr>
        <w:t>E</w:t>
      </w:r>
      <w:r w:rsidR="00A14735" w:rsidRPr="00A14735">
        <w:rPr>
          <w:lang w:eastAsia="fr-FR"/>
        </w:rPr>
        <w:t xml:space="preserve">lle </w:t>
      </w:r>
      <w:r w:rsidR="00A14735">
        <w:rPr>
          <w:lang w:eastAsia="fr-FR"/>
        </w:rPr>
        <w:t xml:space="preserve">gagnerait </w:t>
      </w:r>
      <w:r w:rsidR="004501B0">
        <w:rPr>
          <w:lang w:eastAsia="fr-FR"/>
        </w:rPr>
        <w:t xml:space="preserve">pourtant </w:t>
      </w:r>
      <w:r w:rsidR="00A14735">
        <w:rPr>
          <w:lang w:eastAsia="fr-FR"/>
        </w:rPr>
        <w:t>à</w:t>
      </w:r>
      <w:r w:rsidR="00A14735" w:rsidRPr="00A14735">
        <w:rPr>
          <w:lang w:eastAsia="fr-FR"/>
        </w:rPr>
        <w:t xml:space="preserve"> être réévaluée comme un investissement stratégique, capable de générer des gains de performance économique concret</w:t>
      </w:r>
      <w:r w:rsidR="00B5346E">
        <w:rPr>
          <w:lang w:eastAsia="fr-FR"/>
        </w:rPr>
        <w:t>s</w:t>
      </w:r>
      <w:r w:rsidR="004501B0">
        <w:rPr>
          <w:lang w:eastAsia="fr-FR"/>
        </w:rPr>
        <w:t>.</w:t>
      </w:r>
    </w:p>
    <w:p w14:paraId="04240531" w14:textId="5D91E0C9" w:rsidR="0031621F" w:rsidRPr="0031621F" w:rsidRDefault="0031621F" w:rsidP="0031621F">
      <w:pPr>
        <w:spacing w:before="160"/>
        <w:rPr>
          <w:lang w:eastAsia="fr-FR"/>
        </w:rPr>
      </w:pPr>
      <w:r w:rsidRPr="0031621F">
        <w:rPr>
          <w:lang w:eastAsia="fr-FR"/>
        </w:rPr>
        <w:t>Comme le souligne un participant du groupe de travail</w:t>
      </w:r>
      <w:r w:rsidR="00677DD3">
        <w:rPr>
          <w:lang w:eastAsia="fr-FR"/>
        </w:rPr>
        <w:t xml:space="preserve"> : </w:t>
      </w:r>
      <w:r w:rsidRPr="0031621F">
        <w:rPr>
          <w:lang w:eastAsia="fr-FR"/>
        </w:rPr>
        <w:t xml:space="preserve">« </w:t>
      </w:r>
      <w:r w:rsidR="00677DD3" w:rsidRPr="00DD269E">
        <w:rPr>
          <w:i/>
          <w:iCs/>
          <w:lang w:eastAsia="fr-FR"/>
        </w:rPr>
        <w:t>C</w:t>
      </w:r>
      <w:r w:rsidRPr="00DD269E">
        <w:rPr>
          <w:i/>
          <w:iCs/>
          <w:lang w:eastAsia="fr-FR"/>
        </w:rPr>
        <w:t>ertes,</w:t>
      </w:r>
      <w:r w:rsidRPr="0031621F">
        <w:rPr>
          <w:lang w:eastAsia="fr-FR"/>
        </w:rPr>
        <w:t xml:space="preserve"> </w:t>
      </w:r>
      <w:r w:rsidRPr="0031621F">
        <w:rPr>
          <w:i/>
          <w:iCs/>
          <w:lang w:eastAsia="fr-FR"/>
        </w:rPr>
        <w:t xml:space="preserve">nous avons une idée du coût de la mise en accessibilité, mais avons-nous une idée du coût du défaut d’accessibilité ? </w:t>
      </w:r>
      <w:r w:rsidRPr="0031621F">
        <w:rPr>
          <w:lang w:eastAsia="fr-FR"/>
        </w:rPr>
        <w:t xml:space="preserve">» En effet, le défaut d'accessibilité représente potentiellement une </w:t>
      </w:r>
      <w:r w:rsidRPr="0031621F">
        <w:rPr>
          <w:b/>
          <w:bCs/>
          <w:lang w:eastAsia="fr-FR"/>
        </w:rPr>
        <w:t>perte de clientèle significative</w:t>
      </w:r>
      <w:r w:rsidRPr="0031621F">
        <w:rPr>
          <w:lang w:eastAsia="fr-FR"/>
        </w:rPr>
        <w:t>, estimée</w:t>
      </w:r>
      <w:r w:rsidR="00645E8E">
        <w:rPr>
          <w:lang w:eastAsia="fr-FR"/>
        </w:rPr>
        <w:t>,</w:t>
      </w:r>
      <w:r w:rsidRPr="0031621F">
        <w:rPr>
          <w:lang w:eastAsia="fr-FR"/>
        </w:rPr>
        <w:t xml:space="preserve"> </w:t>
      </w:r>
      <w:r w:rsidR="00645E8E">
        <w:rPr>
          <w:lang w:eastAsia="fr-FR"/>
        </w:rPr>
        <w:t>pour le cas particulier d’une</w:t>
      </w:r>
      <w:r w:rsidR="00677DD3" w:rsidRPr="0031621F">
        <w:rPr>
          <w:lang w:eastAsia="fr-FR"/>
        </w:rPr>
        <w:t xml:space="preserve"> entreprise participante</w:t>
      </w:r>
      <w:r w:rsidR="00645E8E">
        <w:rPr>
          <w:lang w:eastAsia="fr-FR"/>
        </w:rPr>
        <w:t>,</w:t>
      </w:r>
      <w:r w:rsidR="00677DD3" w:rsidRPr="0031621F">
        <w:rPr>
          <w:lang w:eastAsia="fr-FR"/>
        </w:rPr>
        <w:t xml:space="preserve"> </w:t>
      </w:r>
      <w:r w:rsidRPr="0031621F">
        <w:rPr>
          <w:lang w:eastAsia="fr-FR"/>
        </w:rPr>
        <w:t>à 20% des utilisateurs de</w:t>
      </w:r>
      <w:r w:rsidR="00645E8E">
        <w:rPr>
          <w:lang w:eastAsia="fr-FR"/>
        </w:rPr>
        <w:t xml:space="preserve"> </w:t>
      </w:r>
      <w:r w:rsidRPr="0031621F">
        <w:rPr>
          <w:lang w:eastAsia="fr-FR"/>
        </w:rPr>
        <w:t>services numériques. Les personnes en situation de handicap ainsi que leurs proches et aidants, privilégient les plateformes qui leur offrent une expérience plus praticable. L'accessibilité permet donc de capter ce «</w:t>
      </w:r>
      <w:r w:rsidR="00677DD3">
        <w:rPr>
          <w:lang w:eastAsia="fr-FR"/>
        </w:rPr>
        <w:t> </w:t>
      </w:r>
      <w:r w:rsidRPr="0031621F">
        <w:rPr>
          <w:lang w:eastAsia="fr-FR"/>
        </w:rPr>
        <w:t>marché caché » et de fidéliser une part importante de la population. </w:t>
      </w:r>
    </w:p>
    <w:p w14:paraId="74E7DE85" w14:textId="1B5D19A1" w:rsidR="0031621F" w:rsidRPr="0031621F" w:rsidRDefault="0031621F" w:rsidP="0031621F">
      <w:pPr>
        <w:spacing w:before="160"/>
        <w:rPr>
          <w:lang w:eastAsia="fr-FR"/>
        </w:rPr>
      </w:pPr>
      <w:r w:rsidRPr="0031621F">
        <w:rPr>
          <w:lang w:eastAsia="fr-FR"/>
        </w:rPr>
        <w:t>L'accessibilité numérique force par ailleurs à appliquer les meilleures pratiques de conception (code propre, structures logiques, navigation claire). Les sites accessibles bénéficient souvent d'une architecture technique plus légère</w:t>
      </w:r>
      <w:r w:rsidR="007256CE">
        <w:rPr>
          <w:lang w:eastAsia="fr-FR"/>
        </w:rPr>
        <w:t xml:space="preserve"> et plus résiliente,</w:t>
      </w:r>
      <w:r w:rsidRPr="0031621F">
        <w:rPr>
          <w:lang w:eastAsia="fr-FR"/>
        </w:rPr>
        <w:t xml:space="preserve"> car </w:t>
      </w:r>
      <w:r w:rsidRPr="0031621F">
        <w:rPr>
          <w:b/>
          <w:bCs/>
          <w:lang w:eastAsia="fr-FR"/>
        </w:rPr>
        <w:t>l'optimisation des performances, sujet récurrent dans les référentiels d'écoconception (RGESN), est une exigence commune avec l'accessibilité</w:t>
      </w:r>
      <w:r w:rsidRPr="0031621F">
        <w:rPr>
          <w:lang w:eastAsia="fr-FR"/>
        </w:rPr>
        <w:t xml:space="preserve">. Ces améliorations bénéficient à </w:t>
      </w:r>
      <w:r w:rsidRPr="0031621F">
        <w:rPr>
          <w:i/>
          <w:iCs/>
          <w:lang w:eastAsia="fr-FR"/>
        </w:rPr>
        <w:t xml:space="preserve">tous </w:t>
      </w:r>
      <w:r w:rsidRPr="0031621F">
        <w:rPr>
          <w:lang w:eastAsia="fr-FR"/>
        </w:rPr>
        <w:t>les utilisateurs, y compris ceux ayant une connexion lente</w:t>
      </w:r>
      <w:r w:rsidR="00EB4E49">
        <w:rPr>
          <w:lang w:eastAsia="fr-FR"/>
        </w:rPr>
        <w:t xml:space="preserve"> ou</w:t>
      </w:r>
      <w:r w:rsidRPr="0031621F">
        <w:rPr>
          <w:lang w:eastAsia="fr-FR"/>
        </w:rPr>
        <w:t xml:space="preserve"> </w:t>
      </w:r>
      <w:r w:rsidR="001B765D">
        <w:rPr>
          <w:lang w:eastAsia="fr-FR"/>
        </w:rPr>
        <w:t xml:space="preserve">utilisant </w:t>
      </w:r>
      <w:r w:rsidRPr="0031621F">
        <w:rPr>
          <w:lang w:eastAsia="fr-FR"/>
        </w:rPr>
        <w:t xml:space="preserve">des appareils anciens, renforçant ainsi la rétention et la satisfaction client. De plus, les exigences d'accessibilité (utilisation correcte des balises sémantiques, de l'ordre des titres, des descriptions textuelles pour les images) sont directement corrélées aux </w:t>
      </w:r>
      <w:r w:rsidRPr="0031621F">
        <w:rPr>
          <w:b/>
          <w:bCs/>
          <w:lang w:eastAsia="fr-FR"/>
        </w:rPr>
        <w:t>critères de qualité et de pertinence des moteurs de recherche</w:t>
      </w:r>
      <w:r w:rsidRPr="0031621F">
        <w:rPr>
          <w:lang w:eastAsia="fr-FR"/>
        </w:rPr>
        <w:t xml:space="preserve">, </w:t>
      </w:r>
      <w:r w:rsidR="00EB4E49">
        <w:rPr>
          <w:lang w:eastAsia="fr-FR"/>
        </w:rPr>
        <w:t>et confèrent</w:t>
      </w:r>
      <w:r w:rsidR="00EB4E49" w:rsidRPr="0031621F">
        <w:rPr>
          <w:lang w:eastAsia="fr-FR"/>
        </w:rPr>
        <w:t xml:space="preserve"> </w:t>
      </w:r>
      <w:r w:rsidRPr="0031621F">
        <w:rPr>
          <w:lang w:eastAsia="fr-FR"/>
        </w:rPr>
        <w:t>aux sites accessibles un meilleur référencement (SEO).</w:t>
      </w:r>
    </w:p>
    <w:p w14:paraId="7E509D95" w14:textId="28342970" w:rsidR="0031621F" w:rsidRPr="0031621F" w:rsidRDefault="0031621F" w:rsidP="0031621F">
      <w:pPr>
        <w:spacing w:before="160"/>
        <w:rPr>
          <w:lang w:eastAsia="fr-FR"/>
        </w:rPr>
      </w:pPr>
      <w:r w:rsidRPr="0031621F">
        <w:rPr>
          <w:lang w:eastAsia="fr-FR"/>
        </w:rPr>
        <w:t>Enfin, le respect des normes d’accessibilité numérique en interne comme en externe, vient renforcer l’image de l’entreprise, sa cohérence vis-à-vis de sa stratégie RSE et sa crédibilité auprès de</w:t>
      </w:r>
      <w:r w:rsidR="001B765D">
        <w:rPr>
          <w:lang w:eastAsia="fr-FR"/>
        </w:rPr>
        <w:t>s</w:t>
      </w:r>
      <w:r w:rsidRPr="0031621F">
        <w:rPr>
          <w:lang w:eastAsia="fr-FR"/>
        </w:rPr>
        <w:t xml:space="preserve"> parties prenantes. </w:t>
      </w:r>
    </w:p>
    <w:p w14:paraId="75BA5456" w14:textId="243266E1" w:rsidR="0031621F" w:rsidRPr="0031621F" w:rsidRDefault="0031621F" w:rsidP="0031621F">
      <w:pPr>
        <w:spacing w:before="160"/>
        <w:rPr>
          <w:lang w:eastAsia="fr-FR"/>
        </w:rPr>
      </w:pPr>
      <w:r w:rsidRPr="0031621F">
        <w:rPr>
          <w:lang w:eastAsia="fr-FR"/>
        </w:rPr>
        <w:t xml:space="preserve">Outre le respect de l'obligation légale, l'accessibilité numérique peut donc être considérée comme un levier de performance stratégique. Elle permet d'élargir la clientèle potentielle, de réduire les risques juridiques liés à la non-conformité, d'optimiser </w:t>
      </w:r>
      <w:r w:rsidR="00EB4E49">
        <w:rPr>
          <w:lang w:eastAsia="fr-FR"/>
        </w:rPr>
        <w:t>l’efficacité</w:t>
      </w:r>
      <w:r w:rsidRPr="0031621F">
        <w:rPr>
          <w:lang w:eastAsia="fr-FR"/>
        </w:rPr>
        <w:t xml:space="preserve">, la qualité et l'ergonomie des services numériques pour l'ensemble des utilisateurs, et de garantir </w:t>
      </w:r>
      <w:r w:rsidR="00EB4E49">
        <w:rPr>
          <w:lang w:eastAsia="fr-FR"/>
        </w:rPr>
        <w:t>l’</w:t>
      </w:r>
      <w:r w:rsidRPr="0031621F">
        <w:rPr>
          <w:lang w:eastAsia="fr-FR"/>
        </w:rPr>
        <w:t>image</w:t>
      </w:r>
      <w:r w:rsidR="00EB4E49">
        <w:rPr>
          <w:lang w:eastAsia="fr-FR"/>
        </w:rPr>
        <w:t xml:space="preserve"> de l’entreprise ou de l’administration publique</w:t>
      </w:r>
      <w:r w:rsidRPr="0031621F">
        <w:rPr>
          <w:lang w:eastAsia="fr-FR"/>
        </w:rPr>
        <w:t>. </w:t>
      </w:r>
    </w:p>
    <w:p w14:paraId="7F356BEC" w14:textId="77777777" w:rsidR="004111F2" w:rsidRPr="00DE3AAD" w:rsidRDefault="004111F2" w:rsidP="004111F2">
      <w:pPr>
        <w:pStyle w:val="Titre2"/>
        <w:rPr>
          <w:lang w:val="fr-FR"/>
        </w:rPr>
      </w:pPr>
      <w:bookmarkStart w:id="13" w:name="_Toc230077001"/>
      <w:r w:rsidRPr="00DE3AAD">
        <w:rPr>
          <w:lang w:val="fr-FR"/>
        </w:rPr>
        <w:t>État des lieux dans les grandes organisations</w:t>
      </w:r>
      <w:bookmarkEnd w:id="13"/>
      <w:r w:rsidRPr="00DE3AAD">
        <w:rPr>
          <w:lang w:val="fr-FR"/>
        </w:rPr>
        <w:t xml:space="preserve"> </w:t>
      </w:r>
    </w:p>
    <w:p w14:paraId="1E88C764" w14:textId="1E36279A" w:rsidR="004111F2" w:rsidRDefault="00EA2E36" w:rsidP="004111F2">
      <w:pPr>
        <w:spacing w:before="160"/>
        <w:rPr>
          <w:lang w:eastAsia="fr-FR"/>
        </w:rPr>
      </w:pPr>
      <w:r>
        <w:rPr>
          <w:lang w:eastAsia="fr-FR"/>
        </w:rPr>
        <w:t>Si l</w:t>
      </w:r>
      <w:r w:rsidR="004111F2" w:rsidRPr="004111F2">
        <w:rPr>
          <w:lang w:eastAsia="fr-FR"/>
        </w:rPr>
        <w:t xml:space="preserve">a plupart des organisations ne dissocient pas le sujet </w:t>
      </w:r>
      <w:r w:rsidR="00EB4E49" w:rsidRPr="004111F2">
        <w:rPr>
          <w:lang w:eastAsia="fr-FR"/>
        </w:rPr>
        <w:t xml:space="preserve">de </w:t>
      </w:r>
      <w:r w:rsidR="00EB4E49" w:rsidRPr="004111F2">
        <w:rPr>
          <w:b/>
          <w:bCs/>
          <w:lang w:eastAsia="fr-FR"/>
        </w:rPr>
        <w:t>l’accessibilité</w:t>
      </w:r>
      <w:r w:rsidR="00EB4E49" w:rsidRPr="004111F2">
        <w:rPr>
          <w:lang w:eastAsia="fr-FR"/>
        </w:rPr>
        <w:t xml:space="preserve"> </w:t>
      </w:r>
      <w:r w:rsidR="00EB4E49">
        <w:rPr>
          <w:lang w:eastAsia="fr-FR"/>
        </w:rPr>
        <w:t xml:space="preserve">de celui </w:t>
      </w:r>
      <w:r w:rsidR="004111F2" w:rsidRPr="004111F2">
        <w:rPr>
          <w:lang w:eastAsia="fr-FR"/>
        </w:rPr>
        <w:t xml:space="preserve">de </w:t>
      </w:r>
      <w:r w:rsidR="004111F2" w:rsidRPr="004111F2">
        <w:rPr>
          <w:b/>
          <w:bCs/>
          <w:lang w:eastAsia="fr-FR"/>
        </w:rPr>
        <w:t>l’inclusion</w:t>
      </w:r>
      <w:r w:rsidR="004111F2" w:rsidRPr="004111F2">
        <w:rPr>
          <w:lang w:eastAsia="fr-FR"/>
        </w:rPr>
        <w:t>,</w:t>
      </w:r>
      <w:r w:rsidR="004111F2" w:rsidRPr="004111F2">
        <w:rPr>
          <w:b/>
          <w:bCs/>
          <w:lang w:eastAsia="fr-FR"/>
        </w:rPr>
        <w:t xml:space="preserve"> </w:t>
      </w:r>
      <w:r w:rsidR="004111F2" w:rsidRPr="004111F2">
        <w:rPr>
          <w:lang w:eastAsia="fr-FR"/>
        </w:rPr>
        <w:t xml:space="preserve">certaines se considèrent plus matures sur l’accessibilité </w:t>
      </w:r>
      <w:r w:rsidR="00EB4E49">
        <w:rPr>
          <w:lang w:eastAsia="fr-FR"/>
        </w:rPr>
        <w:t xml:space="preserve">à proprement parler </w:t>
      </w:r>
      <w:r w:rsidR="004111F2" w:rsidRPr="004111F2">
        <w:rPr>
          <w:lang w:eastAsia="fr-FR"/>
        </w:rPr>
        <w:t>que sur l’inclusion, laquelle intègre</w:t>
      </w:r>
      <w:r w:rsidR="00DD269E">
        <w:rPr>
          <w:lang w:eastAsia="fr-FR"/>
        </w:rPr>
        <w:t xml:space="preserve"> de surcroît</w:t>
      </w:r>
      <w:r w:rsidR="00EB4E49">
        <w:rPr>
          <w:lang w:eastAsia="fr-FR"/>
        </w:rPr>
        <w:t xml:space="preserve"> </w:t>
      </w:r>
      <w:r w:rsidR="004111F2" w:rsidRPr="004111F2">
        <w:rPr>
          <w:lang w:eastAsia="fr-FR"/>
        </w:rPr>
        <w:t xml:space="preserve">les questions de fractures numériques, d’illectronisme ou encore d’infobésité. </w:t>
      </w:r>
      <w:r>
        <w:rPr>
          <w:lang w:eastAsia="fr-FR"/>
        </w:rPr>
        <w:t>C</w:t>
      </w:r>
      <w:r w:rsidR="004111F2" w:rsidRPr="004111F2">
        <w:rPr>
          <w:lang w:eastAsia="fr-FR"/>
        </w:rPr>
        <w:t xml:space="preserve">e sujet de l’inclusion numérique </w:t>
      </w:r>
      <w:r>
        <w:rPr>
          <w:lang w:eastAsia="fr-FR"/>
        </w:rPr>
        <w:t xml:space="preserve">est cependant </w:t>
      </w:r>
      <w:r w:rsidR="004111F2" w:rsidRPr="004111F2">
        <w:rPr>
          <w:lang w:eastAsia="fr-FR"/>
        </w:rPr>
        <w:t xml:space="preserve">essentiel : la fracture numérique est un </w:t>
      </w:r>
      <w:r w:rsidR="004111F2" w:rsidRPr="004111F2">
        <w:rPr>
          <w:lang w:eastAsia="fr-FR"/>
        </w:rPr>
        <w:lastRenderedPageBreak/>
        <w:t>enjeu de société qui dépasse le strict cadre réglementaire</w:t>
      </w:r>
      <w:r>
        <w:rPr>
          <w:lang w:eastAsia="fr-FR"/>
        </w:rPr>
        <w:t xml:space="preserve"> </w:t>
      </w:r>
      <w:r w:rsidRPr="004111F2">
        <w:rPr>
          <w:lang w:eastAsia="fr-FR"/>
        </w:rPr>
        <w:t>(environ 20% de la population est en «</w:t>
      </w:r>
      <w:r w:rsidR="001B765D">
        <w:rPr>
          <w:lang w:eastAsia="fr-FR"/>
        </w:rPr>
        <w:t> </w:t>
      </w:r>
      <w:r w:rsidRPr="004111F2">
        <w:rPr>
          <w:lang w:eastAsia="fr-FR"/>
        </w:rPr>
        <w:t>fragilité » numérique</w:t>
      </w:r>
      <w:r>
        <w:rPr>
          <w:rStyle w:val="Appelnotedebasdep"/>
          <w:lang w:eastAsia="fr-FR"/>
        </w:rPr>
        <w:footnoteReference w:id="14"/>
      </w:r>
      <w:r w:rsidRPr="004111F2">
        <w:rPr>
          <w:lang w:eastAsia="fr-FR"/>
        </w:rPr>
        <w:t>)</w:t>
      </w:r>
      <w:r w:rsidR="004111F2" w:rsidRPr="004111F2">
        <w:rPr>
          <w:lang w:eastAsia="fr-FR"/>
        </w:rPr>
        <w:t>.</w:t>
      </w:r>
      <w:r w:rsidR="004111F2">
        <w:rPr>
          <w:lang w:eastAsia="fr-FR"/>
        </w:rPr>
        <w:t xml:space="preserve"> </w:t>
      </w:r>
    </w:p>
    <w:p w14:paraId="71FAABFB" w14:textId="4E8D5C0F" w:rsidR="004111F2" w:rsidRPr="004111F2" w:rsidRDefault="00EA2E36" w:rsidP="004111F2">
      <w:pPr>
        <w:spacing w:before="160"/>
        <w:rPr>
          <w:lang w:eastAsia="fr-FR"/>
        </w:rPr>
      </w:pPr>
      <w:r>
        <w:rPr>
          <w:b/>
          <w:bCs/>
          <w:lang w:eastAsia="fr-FR"/>
        </w:rPr>
        <w:t>L</w:t>
      </w:r>
      <w:r w:rsidR="004111F2" w:rsidRPr="004111F2">
        <w:rPr>
          <w:b/>
          <w:bCs/>
          <w:lang w:eastAsia="fr-FR"/>
        </w:rPr>
        <w:t xml:space="preserve">’accessibilité s’inscrit </w:t>
      </w:r>
      <w:r>
        <w:rPr>
          <w:b/>
          <w:bCs/>
          <w:lang w:eastAsia="fr-FR"/>
        </w:rPr>
        <w:t xml:space="preserve">donc </w:t>
      </w:r>
      <w:r w:rsidR="004111F2" w:rsidRPr="004111F2">
        <w:rPr>
          <w:b/>
          <w:bCs/>
          <w:lang w:eastAsia="fr-FR"/>
        </w:rPr>
        <w:t>dans une politique d’inclusion</w:t>
      </w:r>
      <w:r w:rsidR="004111F2" w:rsidRPr="004111F2">
        <w:rPr>
          <w:lang w:eastAsia="fr-FR"/>
        </w:rPr>
        <w:t xml:space="preserve">, </w:t>
      </w:r>
      <w:r>
        <w:rPr>
          <w:lang w:eastAsia="fr-FR"/>
        </w:rPr>
        <w:t>ce qui</w:t>
      </w:r>
      <w:r w:rsidR="004111F2" w:rsidRPr="004111F2">
        <w:rPr>
          <w:lang w:eastAsia="fr-FR"/>
        </w:rPr>
        <w:t xml:space="preserve"> permet de renforcer les relais en entreprise. Par ailleurs, </w:t>
      </w:r>
      <w:r w:rsidR="007256CE">
        <w:rPr>
          <w:b/>
          <w:bCs/>
          <w:lang w:eastAsia="fr-FR"/>
        </w:rPr>
        <w:t xml:space="preserve">la présence </w:t>
      </w:r>
      <w:r w:rsidR="00D17B94">
        <w:rPr>
          <w:b/>
          <w:bCs/>
          <w:lang w:eastAsia="fr-FR"/>
        </w:rPr>
        <w:t xml:space="preserve">en interne </w:t>
      </w:r>
      <w:r w:rsidR="007256CE">
        <w:rPr>
          <w:b/>
          <w:bCs/>
          <w:lang w:eastAsia="fr-FR"/>
        </w:rPr>
        <w:t xml:space="preserve">de personnes en situation de handicap </w:t>
      </w:r>
      <w:r w:rsidR="004111F2" w:rsidRPr="004111F2">
        <w:rPr>
          <w:b/>
          <w:bCs/>
          <w:lang w:eastAsia="fr-FR"/>
        </w:rPr>
        <w:t xml:space="preserve">favorise la prise de conscience </w:t>
      </w:r>
      <w:r>
        <w:rPr>
          <w:b/>
          <w:bCs/>
          <w:lang w:eastAsia="fr-FR"/>
        </w:rPr>
        <w:t xml:space="preserve">des difficultés </w:t>
      </w:r>
      <w:r w:rsidR="004111F2" w:rsidRPr="004111F2">
        <w:rPr>
          <w:lang w:eastAsia="fr-FR"/>
        </w:rPr>
        <w:t xml:space="preserve">et donc la mise en œuvre de </w:t>
      </w:r>
      <w:r>
        <w:rPr>
          <w:lang w:eastAsia="fr-FR"/>
        </w:rPr>
        <w:t>remédiations pour l’améliorer</w:t>
      </w:r>
      <w:r w:rsidR="004111F2" w:rsidRPr="004111F2">
        <w:rPr>
          <w:lang w:eastAsia="fr-FR"/>
        </w:rPr>
        <w:t xml:space="preserve">. Il est d’ailleurs souvent nécessaire d’avoir fait cette expérience </w:t>
      </w:r>
      <w:r w:rsidR="007256CE">
        <w:rPr>
          <w:lang w:eastAsia="fr-FR"/>
        </w:rPr>
        <w:t xml:space="preserve">au sein même de son organisation </w:t>
      </w:r>
      <w:r w:rsidR="004111F2" w:rsidRPr="004111F2">
        <w:rPr>
          <w:lang w:eastAsia="fr-FR"/>
        </w:rPr>
        <w:t xml:space="preserve">pour pouvoir </w:t>
      </w:r>
      <w:r w:rsidR="007256CE">
        <w:rPr>
          <w:lang w:eastAsia="fr-FR"/>
        </w:rPr>
        <w:t>l’appliquer</w:t>
      </w:r>
      <w:r w:rsidR="004111F2" w:rsidRPr="004111F2">
        <w:rPr>
          <w:lang w:eastAsia="fr-FR"/>
        </w:rPr>
        <w:t xml:space="preserve"> efficacement </w:t>
      </w:r>
      <w:r w:rsidR="00DD269E">
        <w:rPr>
          <w:lang w:eastAsia="fr-FR"/>
        </w:rPr>
        <w:t>vers l’</w:t>
      </w:r>
      <w:r w:rsidR="004111F2" w:rsidRPr="004111F2">
        <w:rPr>
          <w:lang w:eastAsia="fr-FR"/>
        </w:rPr>
        <w:t>externe.</w:t>
      </w:r>
    </w:p>
    <w:p w14:paraId="34E8649C" w14:textId="65368D28" w:rsidR="00186503" w:rsidRDefault="00EA2E36" w:rsidP="00186503">
      <w:pPr>
        <w:spacing w:before="160"/>
        <w:rPr>
          <w:lang w:eastAsia="fr-FR"/>
        </w:rPr>
      </w:pPr>
      <w:r>
        <w:rPr>
          <w:lang w:eastAsia="fr-FR"/>
        </w:rPr>
        <w:t>Aujourd’hui, l</w:t>
      </w:r>
      <w:r w:rsidR="004111F2" w:rsidRPr="004111F2">
        <w:rPr>
          <w:lang w:eastAsia="fr-FR"/>
        </w:rPr>
        <w:t xml:space="preserve">es problématiques récurrentes que les grandes organisations rencontrent pour intégrer l’accessibilité numérique concernent </w:t>
      </w:r>
      <w:r w:rsidRPr="004111F2">
        <w:rPr>
          <w:lang w:eastAsia="fr-FR"/>
        </w:rPr>
        <w:t xml:space="preserve">en majorité </w:t>
      </w:r>
      <w:r w:rsidR="004111F2" w:rsidRPr="004111F2">
        <w:rPr>
          <w:lang w:eastAsia="fr-FR"/>
        </w:rPr>
        <w:t>des sujets de gouvernance, d’acculturation des équipes et de pilotage opérationnel. </w:t>
      </w:r>
      <w:r w:rsidR="00186503">
        <w:rPr>
          <w:lang w:eastAsia="fr-FR"/>
        </w:rPr>
        <w:t>En effet, malgré un cadre réglementaire désormais mature, la majorité des organisations n’ont pas encore intégré l’accessibilité numérique comme un standard opérationnel. Plusieurs limites structurantes persistent :</w:t>
      </w:r>
    </w:p>
    <w:p w14:paraId="52687B54" w14:textId="77777777" w:rsidR="00186503" w:rsidRDefault="00186503">
      <w:pPr>
        <w:pStyle w:val="Paragraphedeliste"/>
        <w:numPr>
          <w:ilvl w:val="0"/>
          <w:numId w:val="65"/>
        </w:numPr>
        <w:spacing w:before="160"/>
        <w:rPr>
          <w:lang w:eastAsia="fr-FR"/>
        </w:rPr>
      </w:pPr>
      <w:proofErr w:type="gramStart"/>
      <w:r>
        <w:rPr>
          <w:lang w:eastAsia="fr-FR"/>
        </w:rPr>
        <w:t>une</w:t>
      </w:r>
      <w:proofErr w:type="gramEnd"/>
      <w:r>
        <w:rPr>
          <w:lang w:eastAsia="fr-FR"/>
        </w:rPr>
        <w:t xml:space="preserve"> approche centrée sur la conformité documentaire plutôt que sur l’usage réel ;</w:t>
      </w:r>
    </w:p>
    <w:p w14:paraId="0D502A5F" w14:textId="77777777" w:rsidR="00186503" w:rsidRDefault="00186503">
      <w:pPr>
        <w:pStyle w:val="Paragraphedeliste"/>
        <w:numPr>
          <w:ilvl w:val="0"/>
          <w:numId w:val="65"/>
        </w:numPr>
        <w:spacing w:before="160"/>
        <w:rPr>
          <w:lang w:eastAsia="fr-FR"/>
        </w:rPr>
      </w:pPr>
      <w:proofErr w:type="gramStart"/>
      <w:r>
        <w:rPr>
          <w:lang w:eastAsia="fr-FR"/>
        </w:rPr>
        <w:t>une</w:t>
      </w:r>
      <w:proofErr w:type="gramEnd"/>
      <w:r>
        <w:rPr>
          <w:lang w:eastAsia="fr-FR"/>
        </w:rPr>
        <w:t xml:space="preserve"> dépendance excessive aux outils automatisés ;</w:t>
      </w:r>
    </w:p>
    <w:p w14:paraId="47645FB5" w14:textId="77777777" w:rsidR="00186503" w:rsidRDefault="00186503">
      <w:pPr>
        <w:pStyle w:val="Paragraphedeliste"/>
        <w:numPr>
          <w:ilvl w:val="0"/>
          <w:numId w:val="65"/>
        </w:numPr>
        <w:spacing w:before="160"/>
        <w:rPr>
          <w:lang w:eastAsia="fr-FR"/>
        </w:rPr>
      </w:pPr>
      <w:proofErr w:type="gramStart"/>
      <w:r>
        <w:rPr>
          <w:lang w:eastAsia="fr-FR"/>
        </w:rPr>
        <w:t>une</w:t>
      </w:r>
      <w:proofErr w:type="gramEnd"/>
      <w:r>
        <w:rPr>
          <w:lang w:eastAsia="fr-FR"/>
        </w:rPr>
        <w:t xml:space="preserve"> faible implication des utilisateurs en situation de handicap dans les projets ;</w:t>
      </w:r>
    </w:p>
    <w:p w14:paraId="38A4B33F" w14:textId="2327C2AE" w:rsidR="004111F2" w:rsidRPr="004111F2" w:rsidRDefault="00186503">
      <w:pPr>
        <w:pStyle w:val="Paragraphedeliste"/>
        <w:numPr>
          <w:ilvl w:val="0"/>
          <w:numId w:val="65"/>
        </w:numPr>
        <w:spacing w:before="160"/>
        <w:rPr>
          <w:lang w:eastAsia="fr-FR"/>
        </w:rPr>
      </w:pPr>
      <w:proofErr w:type="gramStart"/>
      <w:r>
        <w:rPr>
          <w:lang w:eastAsia="fr-FR"/>
        </w:rPr>
        <w:t>une</w:t>
      </w:r>
      <w:proofErr w:type="gramEnd"/>
      <w:r>
        <w:rPr>
          <w:lang w:eastAsia="fr-FR"/>
        </w:rPr>
        <w:t xml:space="preserve"> difficulté à traiter les environnements </w:t>
      </w:r>
      <w:proofErr w:type="spellStart"/>
      <w:r w:rsidRPr="00B5346E">
        <w:rPr>
          <w:i/>
          <w:iCs/>
          <w:lang w:eastAsia="fr-FR"/>
        </w:rPr>
        <w:t>legacy</w:t>
      </w:r>
      <w:proofErr w:type="spellEnd"/>
      <w:r>
        <w:rPr>
          <w:lang w:eastAsia="fr-FR"/>
        </w:rPr>
        <w:t xml:space="preserve"> à grande échelle.</w:t>
      </w:r>
    </w:p>
    <w:p w14:paraId="0067652F" w14:textId="6F1F6652" w:rsidR="004111F2" w:rsidRPr="004111F2" w:rsidRDefault="004111F2" w:rsidP="004111F2">
      <w:pPr>
        <w:pStyle w:val="Titre3"/>
        <w:rPr>
          <w:rFonts w:cstheme="minorBidi"/>
          <w:sz w:val="22"/>
          <w:szCs w:val="22"/>
        </w:rPr>
      </w:pPr>
      <w:bookmarkStart w:id="14" w:name="_Toc230077002"/>
      <w:r w:rsidRPr="004111F2">
        <w:t>Gouvernance et transformation d’entreprise</w:t>
      </w:r>
      <w:bookmarkEnd w:id="14"/>
    </w:p>
    <w:p w14:paraId="45546970" w14:textId="4B3D0BFC" w:rsidR="004111F2" w:rsidRDefault="004111F2" w:rsidP="004111F2">
      <w:pPr>
        <w:spacing w:before="160"/>
        <w:rPr>
          <w:lang w:eastAsia="fr-FR"/>
        </w:rPr>
      </w:pPr>
      <w:r>
        <w:rPr>
          <w:lang w:eastAsia="fr-FR"/>
        </w:rPr>
        <w:t>Alors que l’ampleur du basculement vers les normes d’accessibilité est similaire au passage au RGPD, la nomination d’un</w:t>
      </w:r>
      <w:r w:rsidR="00BF71DE">
        <w:rPr>
          <w:lang w:eastAsia="fr-FR"/>
        </w:rPr>
        <w:t xml:space="preserve"> </w:t>
      </w:r>
      <w:r w:rsidR="004501B0">
        <w:rPr>
          <w:lang w:eastAsia="fr-FR"/>
        </w:rPr>
        <w:t>r</w:t>
      </w:r>
      <w:r>
        <w:rPr>
          <w:lang w:eastAsia="fr-FR"/>
        </w:rPr>
        <w:t xml:space="preserve">éférent </w:t>
      </w:r>
      <w:r w:rsidR="004501B0">
        <w:rPr>
          <w:lang w:eastAsia="fr-FR"/>
        </w:rPr>
        <w:t>a</w:t>
      </w:r>
      <w:r>
        <w:rPr>
          <w:lang w:eastAsia="fr-FR"/>
        </w:rPr>
        <w:t xml:space="preserve">ccessibilité </w:t>
      </w:r>
      <w:r w:rsidR="004501B0">
        <w:rPr>
          <w:lang w:eastAsia="fr-FR"/>
        </w:rPr>
        <w:t>n</w:t>
      </w:r>
      <w:r>
        <w:rPr>
          <w:lang w:eastAsia="fr-FR"/>
        </w:rPr>
        <w:t>umérique pour porter le projet n’est pas encore systématisé</w:t>
      </w:r>
      <w:r w:rsidR="00D17B94">
        <w:rPr>
          <w:lang w:eastAsia="fr-FR"/>
        </w:rPr>
        <w:t>e</w:t>
      </w:r>
      <w:r>
        <w:rPr>
          <w:lang w:eastAsia="fr-FR"/>
        </w:rPr>
        <w:t>, ni l</w:t>
      </w:r>
      <w:r w:rsidR="007256CE">
        <w:rPr>
          <w:lang w:eastAsia="fr-FR"/>
        </w:rPr>
        <w:t>’instauration</w:t>
      </w:r>
      <w:r>
        <w:rPr>
          <w:lang w:eastAsia="fr-FR"/>
        </w:rPr>
        <w:t xml:space="preserve"> d’un </w:t>
      </w:r>
      <w:r w:rsidRPr="00B5346E">
        <w:rPr>
          <w:i/>
          <w:iCs/>
          <w:lang w:eastAsia="fr-FR"/>
        </w:rPr>
        <w:t>sponsoring</w:t>
      </w:r>
      <w:r>
        <w:rPr>
          <w:lang w:eastAsia="fr-FR"/>
        </w:rPr>
        <w:t xml:space="preserve"> dédié. La mise en place d’une gouvernance structurée, au travers d’une répartition des responsabilités, d’un suivi piloté et intégré </w:t>
      </w:r>
      <w:r w:rsidR="007256CE">
        <w:rPr>
          <w:lang w:eastAsia="fr-FR"/>
        </w:rPr>
        <w:t>ainsi que</w:t>
      </w:r>
      <w:r>
        <w:rPr>
          <w:lang w:eastAsia="fr-FR"/>
        </w:rPr>
        <w:t xml:space="preserve"> d’un budget dédié, </w:t>
      </w:r>
      <w:proofErr w:type="gramStart"/>
      <w:r>
        <w:rPr>
          <w:lang w:eastAsia="fr-FR"/>
        </w:rPr>
        <w:t>paraît</w:t>
      </w:r>
      <w:proofErr w:type="gramEnd"/>
      <w:r>
        <w:rPr>
          <w:lang w:eastAsia="fr-FR"/>
        </w:rPr>
        <w:t xml:space="preserve"> pourtant essentielle. Ces sujets sont d’autant plus cruciaux qu’il est nécessaire d’embarquer les </w:t>
      </w:r>
      <w:r w:rsidR="007256CE">
        <w:rPr>
          <w:lang w:eastAsia="fr-FR"/>
        </w:rPr>
        <w:t xml:space="preserve">directions </w:t>
      </w:r>
      <w:r>
        <w:rPr>
          <w:lang w:eastAsia="fr-FR"/>
        </w:rPr>
        <w:t>métier non numériques, qui doivent aussi prendre en considération les enjeux d’accessibilité dès la conception de leurs projets.</w:t>
      </w:r>
    </w:p>
    <w:p w14:paraId="525DBCE3" w14:textId="5933BBA9" w:rsidR="004111F2" w:rsidRDefault="004111F2" w:rsidP="004111F2">
      <w:pPr>
        <w:spacing w:before="160"/>
        <w:rPr>
          <w:lang w:eastAsia="fr-FR"/>
        </w:rPr>
      </w:pPr>
      <w:r>
        <w:rPr>
          <w:lang w:eastAsia="fr-FR"/>
        </w:rPr>
        <w:t xml:space="preserve">Une organisation témoigne avoir mis en place un comité « numérique responsable » dédié exclusivement à l'accessibilité numérique (intégrant des représentants des directions RH, communication, de l’engagement sociétal, des </w:t>
      </w:r>
      <w:r w:rsidR="004501B0">
        <w:rPr>
          <w:lang w:eastAsia="fr-FR"/>
        </w:rPr>
        <w:t>a</w:t>
      </w:r>
      <w:r>
        <w:rPr>
          <w:lang w:eastAsia="fr-FR"/>
        </w:rPr>
        <w:t xml:space="preserve">chats, et des </w:t>
      </w:r>
      <w:r w:rsidR="00BF71DE">
        <w:rPr>
          <w:lang w:eastAsia="fr-FR"/>
        </w:rPr>
        <w:t>organes de direction</w:t>
      </w:r>
      <w:r>
        <w:rPr>
          <w:lang w:eastAsia="fr-FR"/>
        </w:rPr>
        <w:t>) pour impliquer le plus grand nombre d’acteurs, prendre les décisions et sécuriser le budget nécessaire.</w:t>
      </w:r>
    </w:p>
    <w:p w14:paraId="3DC1ABB8" w14:textId="46B40B13" w:rsidR="00C14F66" w:rsidRDefault="004111F2" w:rsidP="004111F2">
      <w:pPr>
        <w:spacing w:before="160"/>
        <w:rPr>
          <w:lang w:eastAsia="fr-FR"/>
        </w:rPr>
      </w:pPr>
      <w:r>
        <w:rPr>
          <w:lang w:eastAsia="fr-FR"/>
        </w:rPr>
        <w:t xml:space="preserve">Une organisation tripartite (ou un </w:t>
      </w:r>
      <w:proofErr w:type="spellStart"/>
      <w:r w:rsidRPr="00D17B94">
        <w:rPr>
          <w:i/>
          <w:iCs/>
          <w:lang w:eastAsia="fr-FR"/>
        </w:rPr>
        <w:t>co-sponsorship</w:t>
      </w:r>
      <w:proofErr w:type="spellEnd"/>
      <w:r>
        <w:rPr>
          <w:lang w:eastAsia="fr-FR"/>
        </w:rPr>
        <w:t xml:space="preserve">) entre les départements de </w:t>
      </w:r>
      <w:r w:rsidR="004501B0">
        <w:rPr>
          <w:lang w:eastAsia="fr-FR"/>
        </w:rPr>
        <w:t>c</w:t>
      </w:r>
      <w:r>
        <w:rPr>
          <w:lang w:eastAsia="fr-FR"/>
        </w:rPr>
        <w:t xml:space="preserve">onformité, de RSE et </w:t>
      </w:r>
      <w:r w:rsidR="00BF71DE">
        <w:rPr>
          <w:lang w:eastAsia="fr-FR"/>
        </w:rPr>
        <w:t xml:space="preserve">la </w:t>
      </w:r>
      <w:r w:rsidR="004501B0">
        <w:rPr>
          <w:lang w:eastAsia="fr-FR"/>
        </w:rPr>
        <w:t xml:space="preserve">direction numérique </w:t>
      </w:r>
      <w:r>
        <w:rPr>
          <w:lang w:eastAsia="fr-FR"/>
        </w:rPr>
        <w:t xml:space="preserve">semble particulièrement efficace pour assurer le déploiement de l’accessibilité dans le quotidien des </w:t>
      </w:r>
      <w:r w:rsidR="00BF71DE">
        <w:rPr>
          <w:lang w:eastAsia="fr-FR"/>
        </w:rPr>
        <w:t>m</w:t>
      </w:r>
      <w:r>
        <w:rPr>
          <w:lang w:eastAsia="fr-FR"/>
        </w:rPr>
        <w:t>étiers, et les pratiques de toute l’organisation. De plus, dans un contexte international, cette gouvernance doit étendre son champ d'action à l'ensemble de la chaîne de valeur, notamment en s'assurant que les fournisseurs et prestataires respectent également les normes d’accessibilité numérique.</w:t>
      </w:r>
      <w:r w:rsidRPr="004111F2">
        <w:rPr>
          <w:lang w:eastAsia="fr-FR"/>
        </w:rPr>
        <w:t xml:space="preserve"> </w:t>
      </w:r>
    </w:p>
    <w:p w14:paraId="34D0163F" w14:textId="77777777" w:rsidR="004111F2" w:rsidRPr="00C14F66" w:rsidRDefault="004111F2" w:rsidP="004111F2">
      <w:pPr>
        <w:pStyle w:val="Titre3"/>
        <w:rPr>
          <w:lang w:val="fr-FR"/>
        </w:rPr>
      </w:pPr>
      <w:bookmarkStart w:id="15" w:name="_Toc230077003"/>
      <w:r w:rsidRPr="00C14F66">
        <w:rPr>
          <w:lang w:val="fr-FR"/>
        </w:rPr>
        <w:lastRenderedPageBreak/>
        <w:t>Formation et acculturation des équipes</w:t>
      </w:r>
      <w:bookmarkEnd w:id="15"/>
      <w:r w:rsidRPr="00C14F66">
        <w:rPr>
          <w:lang w:val="fr-FR"/>
        </w:rPr>
        <w:t xml:space="preserve"> </w:t>
      </w:r>
    </w:p>
    <w:p w14:paraId="2DF22D61" w14:textId="2A9D2DA5" w:rsidR="004111F2" w:rsidRDefault="004111F2" w:rsidP="004111F2">
      <w:pPr>
        <w:spacing w:before="160"/>
        <w:rPr>
          <w:lang w:eastAsia="fr-FR"/>
        </w:rPr>
      </w:pPr>
      <w:r>
        <w:rPr>
          <w:lang w:eastAsia="fr-FR"/>
        </w:rPr>
        <w:t xml:space="preserve">Si la formation des équipes directement impliquées (développeurs, designers) est une première étape courante, l'objectif doit être l'acculturation de l'ensemble des collaborateurs. Cela implique la création et la diffusion de guides opérationnels et </w:t>
      </w:r>
      <w:r w:rsidR="00BF71DE">
        <w:rPr>
          <w:lang w:eastAsia="fr-FR"/>
        </w:rPr>
        <w:t xml:space="preserve">la mise en place </w:t>
      </w:r>
      <w:r>
        <w:rPr>
          <w:lang w:eastAsia="fr-FR"/>
        </w:rPr>
        <w:t>de formations adaptées aux différents métiers.</w:t>
      </w:r>
    </w:p>
    <w:p w14:paraId="3EC3A872" w14:textId="29775989" w:rsidR="004111F2" w:rsidRDefault="004111F2" w:rsidP="004111F2">
      <w:pPr>
        <w:spacing w:before="160"/>
        <w:rPr>
          <w:lang w:eastAsia="fr-FR"/>
        </w:rPr>
      </w:pPr>
      <w:r>
        <w:rPr>
          <w:lang w:eastAsia="fr-FR"/>
        </w:rPr>
        <w:t xml:space="preserve">L’un des freins majeurs </w:t>
      </w:r>
      <w:r w:rsidR="00DD269E">
        <w:rPr>
          <w:lang w:eastAsia="fr-FR"/>
        </w:rPr>
        <w:t>exprimés par les participants</w:t>
      </w:r>
      <w:r>
        <w:rPr>
          <w:lang w:eastAsia="fr-FR"/>
        </w:rPr>
        <w:t xml:space="preserve"> est la difficulté à sélectionner et identifier </w:t>
      </w:r>
      <w:r w:rsidR="00D17B94">
        <w:rPr>
          <w:lang w:eastAsia="fr-FR"/>
        </w:rPr>
        <w:t>d</w:t>
      </w:r>
      <w:r>
        <w:rPr>
          <w:lang w:eastAsia="fr-FR"/>
        </w:rPr>
        <w:t xml:space="preserve">es </w:t>
      </w:r>
      <w:r w:rsidR="004501B0">
        <w:rPr>
          <w:lang w:eastAsia="fr-FR"/>
        </w:rPr>
        <w:t>e</w:t>
      </w:r>
      <w:r>
        <w:rPr>
          <w:lang w:eastAsia="fr-FR"/>
        </w:rPr>
        <w:t xml:space="preserve">ntreprises de </w:t>
      </w:r>
      <w:r w:rsidR="004501B0">
        <w:rPr>
          <w:lang w:eastAsia="fr-FR"/>
        </w:rPr>
        <w:t>s</w:t>
      </w:r>
      <w:r>
        <w:rPr>
          <w:lang w:eastAsia="fr-FR"/>
        </w:rPr>
        <w:t xml:space="preserve">ervices </w:t>
      </w:r>
      <w:r w:rsidR="004501B0">
        <w:rPr>
          <w:lang w:eastAsia="fr-FR"/>
        </w:rPr>
        <w:t>n</w:t>
      </w:r>
      <w:r>
        <w:rPr>
          <w:lang w:eastAsia="fr-FR"/>
        </w:rPr>
        <w:t xml:space="preserve">umériques (ESN) qui </w:t>
      </w:r>
      <w:r w:rsidR="00DC68BC">
        <w:rPr>
          <w:lang w:eastAsia="fr-FR"/>
        </w:rPr>
        <w:t xml:space="preserve">soient </w:t>
      </w:r>
      <w:r>
        <w:rPr>
          <w:lang w:eastAsia="fr-FR"/>
        </w:rPr>
        <w:t xml:space="preserve">réellement formées et qualifiées pour travailler sur des sujets d'accessibilité. </w:t>
      </w:r>
      <w:r w:rsidR="00481DA2" w:rsidRPr="00481DA2">
        <w:rPr>
          <w:lang w:eastAsia="fr-FR"/>
        </w:rPr>
        <w:t>La qualification de l’accessibilité</w:t>
      </w:r>
      <w:r w:rsidR="00481DA2">
        <w:rPr>
          <w:lang w:eastAsia="fr-FR"/>
        </w:rPr>
        <w:t xml:space="preserve"> des services fournis, intégrés ou déployés par les ESN</w:t>
      </w:r>
      <w:r w:rsidR="00D17B94">
        <w:rPr>
          <w:lang w:eastAsia="fr-FR"/>
        </w:rPr>
        <w:t>,</w:t>
      </w:r>
      <w:r w:rsidR="00481DA2">
        <w:rPr>
          <w:lang w:eastAsia="fr-FR"/>
        </w:rPr>
        <w:t xml:space="preserve"> doit, comme pour les développements internes, faire l’objet d’un audit tiers.</w:t>
      </w:r>
    </w:p>
    <w:p w14:paraId="7321FED1" w14:textId="2D7DFE5C" w:rsidR="004111F2" w:rsidRDefault="004111F2" w:rsidP="004111F2">
      <w:pPr>
        <w:spacing w:before="160"/>
        <w:rPr>
          <w:lang w:eastAsia="fr-FR"/>
        </w:rPr>
      </w:pPr>
      <w:r>
        <w:rPr>
          <w:lang w:eastAsia="fr-FR"/>
        </w:rPr>
        <w:t>La motivation des équipes et la valorisation de leurs progrès sont des axes essentiels pour enclencher et maintenir la dynamique.</w:t>
      </w:r>
      <w:r w:rsidR="00186503">
        <w:rPr>
          <w:lang w:eastAsia="fr-FR"/>
        </w:rPr>
        <w:t xml:space="preserve"> Sur ce point,</w:t>
      </w:r>
      <w:r>
        <w:rPr>
          <w:lang w:eastAsia="fr-FR"/>
        </w:rPr>
        <w:t xml:space="preserve"> </w:t>
      </w:r>
      <w:r w:rsidR="00186503">
        <w:rPr>
          <w:lang w:eastAsia="fr-FR"/>
        </w:rPr>
        <w:t>l</w:t>
      </w:r>
      <w:r w:rsidR="00401C48" w:rsidRPr="00401C48">
        <w:rPr>
          <w:lang w:eastAsia="fr-FR"/>
        </w:rPr>
        <w:t>es scores de conformité doivent être maniés avec précaution</w:t>
      </w:r>
      <w:r w:rsidR="002E23B9">
        <w:rPr>
          <w:lang w:eastAsia="fr-FR"/>
        </w:rPr>
        <w:t> </w:t>
      </w:r>
      <w:r w:rsidR="00401C48" w:rsidRPr="00401C48">
        <w:rPr>
          <w:lang w:eastAsia="fr-FR"/>
        </w:rPr>
        <w:t>: afficher un résultat jugé « insuffisant » pour un site atteignant 70 à 80 % de conformité risque de démotiver les équipes, alors qu'un tel niveau représente en réalité une performance solide</w:t>
      </w:r>
      <w:r w:rsidR="00401C48">
        <w:rPr>
          <w:lang w:eastAsia="fr-FR"/>
        </w:rPr>
        <w:t>.</w:t>
      </w:r>
      <w:r w:rsidR="00401C48" w:rsidRPr="00401C48">
        <w:rPr>
          <w:lang w:eastAsia="fr-FR"/>
        </w:rPr>
        <w:t xml:space="preserve"> </w:t>
      </w:r>
      <w:r>
        <w:rPr>
          <w:lang w:eastAsia="fr-FR"/>
        </w:rPr>
        <w:t>Il est bien plus bénéfique et constructif de mettre en avant la progressivité et l'amélioration continue.</w:t>
      </w:r>
    </w:p>
    <w:p w14:paraId="032F315D" w14:textId="0ACF6E33" w:rsidR="004111F2" w:rsidRDefault="004111F2" w:rsidP="004111F2">
      <w:pPr>
        <w:spacing w:before="160"/>
        <w:rPr>
          <w:lang w:eastAsia="fr-FR"/>
        </w:rPr>
      </w:pPr>
      <w:r>
        <w:rPr>
          <w:lang w:eastAsia="fr-FR"/>
        </w:rPr>
        <w:t xml:space="preserve">Le sujet de l’acculturation doit justement s’inscrire dans </w:t>
      </w:r>
      <w:r w:rsidR="00DC68BC">
        <w:rPr>
          <w:lang w:eastAsia="fr-FR"/>
        </w:rPr>
        <w:t xml:space="preserve">la </w:t>
      </w:r>
      <w:r>
        <w:rPr>
          <w:lang w:eastAsia="fr-FR"/>
        </w:rPr>
        <w:t xml:space="preserve">continuité : en effet, un site </w:t>
      </w:r>
      <w:r w:rsidR="00883BF7">
        <w:rPr>
          <w:lang w:eastAsia="fr-FR"/>
        </w:rPr>
        <w:t xml:space="preserve">respectant les critères d’accessibilité </w:t>
      </w:r>
      <w:r>
        <w:rPr>
          <w:lang w:eastAsia="fr-FR"/>
        </w:rPr>
        <w:t xml:space="preserve">à un temps « t » peut rapidement se dégrader si de nouveaux développeurs non formés y travaillent sans </w:t>
      </w:r>
      <w:r w:rsidR="00883BF7">
        <w:rPr>
          <w:lang w:eastAsia="fr-FR"/>
        </w:rPr>
        <w:t xml:space="preserve">avoir </w:t>
      </w:r>
      <w:r>
        <w:rPr>
          <w:lang w:eastAsia="fr-FR"/>
        </w:rPr>
        <w:t xml:space="preserve">connaissance de </w:t>
      </w:r>
      <w:r w:rsidR="00883BF7">
        <w:rPr>
          <w:lang w:eastAsia="fr-FR"/>
        </w:rPr>
        <w:t>c</w:t>
      </w:r>
      <w:r>
        <w:rPr>
          <w:lang w:eastAsia="fr-FR"/>
        </w:rPr>
        <w:t xml:space="preserve">es critères. L’imprégnation culturelle sur le long terme et la mise en place de processus de vérification permettent d’inscrire l’accessibilité numérique dans un processus continu. </w:t>
      </w:r>
      <w:r w:rsidR="00883BF7">
        <w:rPr>
          <w:lang w:eastAsia="fr-FR"/>
        </w:rPr>
        <w:t xml:space="preserve">La pratique d’une </w:t>
      </w:r>
      <w:r>
        <w:rPr>
          <w:lang w:eastAsia="fr-FR"/>
        </w:rPr>
        <w:t xml:space="preserve">communication proactive sur les succès </w:t>
      </w:r>
      <w:r w:rsidR="00DD269E">
        <w:rPr>
          <w:lang w:eastAsia="fr-FR"/>
        </w:rPr>
        <w:t>(</w:t>
      </w:r>
      <w:r w:rsidR="00883BF7">
        <w:rPr>
          <w:lang w:eastAsia="fr-FR"/>
        </w:rPr>
        <w:t xml:space="preserve">ou </w:t>
      </w:r>
      <w:r>
        <w:rPr>
          <w:lang w:eastAsia="fr-FR"/>
        </w:rPr>
        <w:t xml:space="preserve">« </w:t>
      </w:r>
      <w:proofErr w:type="spellStart"/>
      <w:r w:rsidRPr="00DD269E">
        <w:rPr>
          <w:i/>
          <w:iCs/>
          <w:lang w:eastAsia="fr-FR"/>
        </w:rPr>
        <w:t>access-washing</w:t>
      </w:r>
      <w:proofErr w:type="spellEnd"/>
      <w:r w:rsidR="00DD269E">
        <w:rPr>
          <w:lang w:eastAsia="fr-FR"/>
        </w:rPr>
        <w:t> </w:t>
      </w:r>
      <w:r>
        <w:rPr>
          <w:lang w:eastAsia="fr-FR"/>
        </w:rPr>
        <w:t>» au sens positif</w:t>
      </w:r>
      <w:r w:rsidR="00DD269E">
        <w:rPr>
          <w:lang w:eastAsia="fr-FR"/>
        </w:rPr>
        <w:t>)</w:t>
      </w:r>
      <w:r>
        <w:rPr>
          <w:lang w:eastAsia="fr-FR"/>
        </w:rPr>
        <w:t>, lorsque les applications atteignent un haut niveau de conformité, peut également stimuler l'engagement interne.</w:t>
      </w:r>
    </w:p>
    <w:p w14:paraId="69391CF4" w14:textId="77777777" w:rsidR="004111F2" w:rsidRPr="004111F2" w:rsidRDefault="004111F2" w:rsidP="004111F2">
      <w:pPr>
        <w:pStyle w:val="Titre3"/>
      </w:pPr>
      <w:bookmarkStart w:id="16" w:name="_Toc230077004"/>
      <w:r w:rsidRPr="004111F2">
        <w:t>Pilotage et outillage</w:t>
      </w:r>
      <w:bookmarkEnd w:id="16"/>
    </w:p>
    <w:p w14:paraId="4F18A670" w14:textId="3BC394F3" w:rsidR="004111F2" w:rsidRPr="004111F2" w:rsidRDefault="004111F2" w:rsidP="004111F2">
      <w:pPr>
        <w:spacing w:before="160"/>
        <w:rPr>
          <w:lang w:eastAsia="fr-FR"/>
        </w:rPr>
      </w:pPr>
      <w:r w:rsidRPr="004111F2">
        <w:rPr>
          <w:lang w:eastAsia="fr-FR"/>
        </w:rPr>
        <w:t xml:space="preserve">Pour mener à bien ces transformations, il est nécessaire de mettre en place un pilotage efficace voire un outillage dédié. Les équipes ont besoin d’un tableau de bord de pilotage, qui permette de visualiser rapidement l’état de conformité de leurs projets, d’identifier les correctifs à prioriser et enfin </w:t>
      </w:r>
      <w:r w:rsidR="00D17B94">
        <w:rPr>
          <w:lang w:eastAsia="fr-FR"/>
        </w:rPr>
        <w:t xml:space="preserve">de </w:t>
      </w:r>
      <w:r w:rsidRPr="004111F2">
        <w:rPr>
          <w:lang w:eastAsia="fr-FR"/>
        </w:rPr>
        <w:t>fournir une analyse du « ROI »</w:t>
      </w:r>
      <w:r w:rsidR="00B517DA">
        <w:rPr>
          <w:lang w:eastAsia="fr-FR"/>
        </w:rPr>
        <w:t xml:space="preserve"> (baisse de tickets support, réduction des coûts de correction tardive, amélioration du taux de complétion …)</w:t>
      </w:r>
      <w:r w:rsidRPr="004111F2">
        <w:rPr>
          <w:lang w:eastAsia="fr-FR"/>
        </w:rPr>
        <w:t>, en mettant en avant les coûts restants à engager pour la mise en conformité face aux coûts de l’inaction (amendes, perte de clients, dégradation de l’image…).</w:t>
      </w:r>
    </w:p>
    <w:p w14:paraId="0EC31E4C" w14:textId="1ED29107" w:rsidR="008734FD" w:rsidRDefault="004111F2" w:rsidP="004111F2">
      <w:pPr>
        <w:spacing w:before="160"/>
        <w:rPr>
          <w:lang w:eastAsia="fr-FR"/>
        </w:rPr>
      </w:pPr>
      <w:r w:rsidRPr="004111F2">
        <w:rPr>
          <w:lang w:eastAsia="fr-FR"/>
        </w:rPr>
        <w:t>L’intégration d</w:t>
      </w:r>
      <w:r w:rsidR="00883BF7">
        <w:rPr>
          <w:lang w:eastAsia="fr-FR"/>
        </w:rPr>
        <w:t>’un</w:t>
      </w:r>
      <w:r w:rsidRPr="004111F2">
        <w:rPr>
          <w:lang w:eastAsia="fr-FR"/>
        </w:rPr>
        <w:t xml:space="preserve"> référentiel d’accessibilité tel que le RGAA (Référentiel Général d'Amélioration de l'Accessibilité)</w:t>
      </w:r>
      <w:r w:rsidR="00481DA2">
        <w:rPr>
          <w:lang w:eastAsia="fr-FR"/>
        </w:rPr>
        <w:t xml:space="preserve">, ou le RAAM </w:t>
      </w:r>
      <w:r w:rsidR="004501B0">
        <w:rPr>
          <w:lang w:eastAsia="fr-FR"/>
        </w:rPr>
        <w:t>(</w:t>
      </w:r>
      <w:r w:rsidR="004501B0" w:rsidRPr="004501B0">
        <w:rPr>
          <w:lang w:eastAsia="fr-FR"/>
        </w:rPr>
        <w:t xml:space="preserve">Référentiel d'Accessibilité des Applications Mobiles) </w:t>
      </w:r>
      <w:r w:rsidR="00481DA2">
        <w:rPr>
          <w:lang w:eastAsia="fr-FR"/>
        </w:rPr>
        <w:t xml:space="preserve">pour les applications mobiles, </w:t>
      </w:r>
      <w:r w:rsidRPr="004111F2">
        <w:rPr>
          <w:lang w:eastAsia="fr-FR"/>
        </w:rPr>
        <w:t xml:space="preserve">doit se faire le plus en amont </w:t>
      </w:r>
      <w:r w:rsidR="00883BF7">
        <w:rPr>
          <w:lang w:eastAsia="fr-FR"/>
        </w:rPr>
        <w:t xml:space="preserve">possible </w:t>
      </w:r>
      <w:r w:rsidRPr="004111F2">
        <w:rPr>
          <w:lang w:eastAsia="fr-FR"/>
        </w:rPr>
        <w:t>du cycle de vie des projets. Il faut pour cela sensibiliser et former les développeurs de manière continue.</w:t>
      </w:r>
      <w:r w:rsidR="008734FD">
        <w:rPr>
          <w:lang w:eastAsia="fr-FR"/>
        </w:rPr>
        <w:t xml:space="preserve"> D’autant qu’il convient de rester vigilant face aux promesses de c</w:t>
      </w:r>
      <w:r w:rsidRPr="004111F2">
        <w:rPr>
          <w:lang w:eastAsia="fr-FR"/>
        </w:rPr>
        <w:t xml:space="preserve">ertains outils </w:t>
      </w:r>
      <w:r w:rsidR="00D17B94">
        <w:rPr>
          <w:lang w:eastAsia="fr-FR"/>
        </w:rPr>
        <w:t xml:space="preserve">censés </w:t>
      </w:r>
      <w:r w:rsidR="008734FD">
        <w:rPr>
          <w:lang w:eastAsia="fr-FR"/>
        </w:rPr>
        <w:t>suivre et évaluer de manière automatique</w:t>
      </w:r>
      <w:r w:rsidRPr="004111F2">
        <w:rPr>
          <w:lang w:eastAsia="fr-FR"/>
        </w:rPr>
        <w:t xml:space="preserve"> </w:t>
      </w:r>
      <w:r w:rsidR="008734FD" w:rsidRPr="008734FD">
        <w:rPr>
          <w:lang w:eastAsia="fr-FR"/>
        </w:rPr>
        <w:t>la mise aux normes de projets IT suivant les critères d'accessibilité</w:t>
      </w:r>
      <w:r w:rsidR="008734FD">
        <w:rPr>
          <w:lang w:eastAsia="fr-FR"/>
        </w:rPr>
        <w:t xml:space="preserve"> numérique. L</w:t>
      </w:r>
      <w:r w:rsidRPr="004111F2">
        <w:rPr>
          <w:lang w:eastAsia="fr-FR"/>
        </w:rPr>
        <w:t>es organisations alertent sur le fait que les outils miracles n’existent pas</w:t>
      </w:r>
      <w:r w:rsidR="008734FD">
        <w:rPr>
          <w:lang w:eastAsia="fr-FR"/>
        </w:rPr>
        <w:t xml:space="preserve"> </w:t>
      </w:r>
      <w:r w:rsidRPr="004111F2">
        <w:rPr>
          <w:lang w:eastAsia="fr-FR"/>
        </w:rPr>
        <w:t>et</w:t>
      </w:r>
      <w:r w:rsidR="008734FD">
        <w:rPr>
          <w:lang w:eastAsia="fr-FR"/>
        </w:rPr>
        <w:t xml:space="preserve"> que</w:t>
      </w:r>
      <w:r w:rsidRPr="004111F2">
        <w:rPr>
          <w:lang w:eastAsia="fr-FR"/>
        </w:rPr>
        <w:t xml:space="preserve"> </w:t>
      </w:r>
      <w:r w:rsidR="00804DE1">
        <w:rPr>
          <w:lang w:eastAsia="fr-FR"/>
        </w:rPr>
        <w:t>leur utilisation</w:t>
      </w:r>
      <w:r w:rsidR="008734FD">
        <w:rPr>
          <w:lang w:eastAsia="fr-FR"/>
        </w:rPr>
        <w:t>,</w:t>
      </w:r>
      <w:r w:rsidR="00804DE1">
        <w:rPr>
          <w:lang w:eastAsia="fr-FR"/>
        </w:rPr>
        <w:t xml:space="preserve"> </w:t>
      </w:r>
      <w:r w:rsidR="008734FD">
        <w:rPr>
          <w:lang w:eastAsia="fr-FR"/>
        </w:rPr>
        <w:t>sans cadre et accompagnement</w:t>
      </w:r>
      <w:r w:rsidR="007256CE">
        <w:rPr>
          <w:lang w:eastAsia="fr-FR"/>
        </w:rPr>
        <w:t xml:space="preserve">, peut être contre-productive et créer une fausse impression de sécurité juridique. En effet, ces outils de « surcouche » sont souvent des « vernis » techniques qui appliquent des modifications en surface et non pas à la </w:t>
      </w:r>
      <w:r w:rsidR="007256CE">
        <w:rPr>
          <w:lang w:eastAsia="fr-FR"/>
        </w:rPr>
        <w:lastRenderedPageBreak/>
        <w:t xml:space="preserve">source du code. De plus, ils peuvent interférer avec les technologies d’assistance en modifiant </w:t>
      </w:r>
      <w:r w:rsidR="004501B0">
        <w:rPr>
          <w:lang w:eastAsia="fr-FR"/>
        </w:rPr>
        <w:t xml:space="preserve">certains </w:t>
      </w:r>
      <w:r w:rsidR="007256CE">
        <w:rPr>
          <w:lang w:eastAsia="fr-FR"/>
        </w:rPr>
        <w:t>paramétrages.</w:t>
      </w: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8734FD" w:rsidRPr="00C43137" w14:paraId="507D249A" w14:textId="77777777" w:rsidTr="00072B81">
        <w:trPr>
          <w:jc w:val="center"/>
        </w:trPr>
        <w:tc>
          <w:tcPr>
            <w:tcW w:w="9047" w:type="dxa"/>
            <w:tcBorders>
              <w:left w:val="single" w:sz="18" w:space="0" w:color="155E48"/>
            </w:tcBorders>
            <w:shd w:val="clear" w:color="auto" w:fill="F2F2F2" w:themeFill="background1" w:themeFillShade="F2"/>
          </w:tcPr>
          <w:p w14:paraId="03636B29" w14:textId="77777777" w:rsidR="008734FD" w:rsidRDefault="008734FD" w:rsidP="00E00CED">
            <w:pPr>
              <w:pStyle w:val="TitreEncart"/>
            </w:pPr>
            <w:bookmarkStart w:id="17" w:name="_Toc230257723"/>
            <w:bookmarkStart w:id="18" w:name="_Toc226477438"/>
            <w:r>
              <w:lastRenderedPageBreak/>
              <w:t>REX ENEDIS</w:t>
            </w:r>
            <w:bookmarkEnd w:id="17"/>
          </w:p>
          <w:p w14:paraId="1812AA8F" w14:textId="77777777" w:rsidR="008734FD" w:rsidRPr="007B2E61" w:rsidRDefault="008734FD" w:rsidP="0033608D">
            <w:pPr>
              <w:pStyle w:val="TitreencartREX"/>
            </w:pPr>
            <w:r w:rsidRPr="00C14F66">
              <w:t>Gestion de l’accessibilité numérique chez Enedis</w:t>
            </w:r>
            <w:bookmarkEnd w:id="18"/>
          </w:p>
          <w:p w14:paraId="1F25FF4D" w14:textId="77777777" w:rsidR="008734FD" w:rsidRPr="00977670" w:rsidRDefault="008734FD">
            <w:pPr>
              <w:pStyle w:val="Paragraphedeliste"/>
              <w:numPr>
                <w:ilvl w:val="0"/>
                <w:numId w:val="60"/>
              </w:numPr>
              <w:rPr>
                <w:b/>
                <w:bCs/>
              </w:rPr>
            </w:pPr>
            <w:r w:rsidRPr="00977670">
              <w:rPr>
                <w:b/>
                <w:bCs/>
              </w:rPr>
              <w:t xml:space="preserve">Présentation du Programme Numérique Responsable d’Enedis </w:t>
            </w:r>
          </w:p>
          <w:p w14:paraId="0FBFEE2A" w14:textId="1C2E5BCF" w:rsidR="008734FD" w:rsidRDefault="008734FD" w:rsidP="00E00CED">
            <w:r>
              <w:t xml:space="preserve">Le Programme Numérique Responsable porte l’ambition Numérique Responsable d’Enedis. Il fixe le cap de la transformation Numérique Responsable à horizon 2027 en s’appuyant sur un niveau de maturité élevé hérité d’un engagement </w:t>
            </w:r>
            <w:r w:rsidR="004C66C1">
              <w:t xml:space="preserve">pris </w:t>
            </w:r>
            <w:r>
              <w:t>depuis 2018.</w:t>
            </w:r>
          </w:p>
          <w:p w14:paraId="512075C8" w14:textId="02B4E493" w:rsidR="008734FD" w:rsidRDefault="008734FD" w:rsidP="00E00CED">
            <w:r>
              <w:t xml:space="preserve">Le Programme Numérique Responsable </w:t>
            </w:r>
            <w:r w:rsidR="00733FC9">
              <w:t xml:space="preserve">(PGNR) </w:t>
            </w:r>
            <w:r>
              <w:t>est décliné de la politique RSE : le « PGNR » est structuré autour des trois piliers RSE et répond aux objectifs d’entreprise à mission d’Enedis. Le socle transverse assure le déploiement et l’ancrage des transformations en interne ainsi que la promotion du Numérique Responsable à l’externe.</w:t>
            </w:r>
          </w:p>
          <w:p w14:paraId="65536028" w14:textId="7740D578" w:rsidR="008734FD" w:rsidRDefault="008734FD" w:rsidP="00E00CED">
            <w:r>
              <w:t>C’est plus précisément au sein du pilier « Pour les femmes et les hommes » du Programme NR que se situe le chantier de l’</w:t>
            </w:r>
            <w:r w:rsidR="004C66C1">
              <w:t>a</w:t>
            </w:r>
            <w:r>
              <w:t xml:space="preserve">ccessibilité </w:t>
            </w:r>
            <w:r w:rsidR="004C66C1">
              <w:t>n</w:t>
            </w:r>
            <w:r>
              <w:t>umérique sous la responsabilité de la référente accessibilité numérique.</w:t>
            </w:r>
          </w:p>
          <w:p w14:paraId="4A9CCAF4" w14:textId="77777777" w:rsidR="008734FD" w:rsidRPr="00977670" w:rsidRDefault="008734FD">
            <w:pPr>
              <w:pStyle w:val="Paragraphedeliste"/>
              <w:numPr>
                <w:ilvl w:val="0"/>
                <w:numId w:val="60"/>
              </w:numPr>
              <w:rPr>
                <w:b/>
                <w:bCs/>
              </w:rPr>
            </w:pPr>
            <w:r w:rsidRPr="00977670">
              <w:rPr>
                <w:b/>
                <w:bCs/>
              </w:rPr>
              <w:t>Engagements accessibilité numérique dans le cadre de la labélisation Numérique Responsable</w:t>
            </w:r>
          </w:p>
          <w:p w14:paraId="7C22C61B" w14:textId="77777777" w:rsidR="008734FD" w:rsidRDefault="008734FD" w:rsidP="00E00CED">
            <w:r>
              <w:t>Dans le cadre de la labélisation Numérique Responsable de niveau 2 d’Enedis, deux engagements ont été pris sur l’accessibilité numérique :</w:t>
            </w:r>
          </w:p>
          <w:p w14:paraId="5D170759" w14:textId="77777777" w:rsidR="008734FD" w:rsidRPr="00977670" w:rsidRDefault="008734FD" w:rsidP="00E00CED">
            <w:pPr>
              <w:rPr>
                <w:u w:val="single"/>
              </w:rPr>
            </w:pPr>
            <w:r w:rsidRPr="00977670">
              <w:rPr>
                <w:u w:val="single"/>
              </w:rPr>
              <w:t>Intégrer l’accessibilité numérique - Engagement n°7</w:t>
            </w:r>
          </w:p>
          <w:p w14:paraId="5781BFD1" w14:textId="77777777" w:rsidR="008734FD" w:rsidRDefault="008734FD">
            <w:pPr>
              <w:pStyle w:val="Paragraphedeliste"/>
              <w:numPr>
                <w:ilvl w:val="0"/>
                <w:numId w:val="61"/>
              </w:numPr>
            </w:pPr>
            <w:r>
              <w:t>Poursuivre l’intégration de l’accessibilité numérique ;</w:t>
            </w:r>
          </w:p>
          <w:p w14:paraId="27A890A4" w14:textId="77777777" w:rsidR="008734FD" w:rsidRDefault="008734FD">
            <w:pPr>
              <w:pStyle w:val="Paragraphedeliste"/>
              <w:numPr>
                <w:ilvl w:val="0"/>
                <w:numId w:val="61"/>
              </w:numPr>
            </w:pPr>
            <w:r>
              <w:t>Actualiser et publier le schéma pluriannuel sur enedis.fr ;</w:t>
            </w:r>
          </w:p>
          <w:p w14:paraId="08C1A3A5" w14:textId="77777777" w:rsidR="008734FD" w:rsidRDefault="008734FD">
            <w:pPr>
              <w:pStyle w:val="Paragraphedeliste"/>
              <w:numPr>
                <w:ilvl w:val="0"/>
                <w:numId w:val="61"/>
              </w:numPr>
            </w:pPr>
            <w:r>
              <w:t>Contrôler l’accessibilité des sites externes prioritaires et les rendre conformes (Taux de conformité &gt;70%) ;</w:t>
            </w:r>
          </w:p>
          <w:p w14:paraId="07AFB009" w14:textId="47C87AD7" w:rsidR="008734FD" w:rsidRDefault="008734FD">
            <w:pPr>
              <w:pStyle w:val="Paragraphedeliste"/>
              <w:numPr>
                <w:ilvl w:val="0"/>
                <w:numId w:val="61"/>
              </w:numPr>
            </w:pPr>
            <w:r>
              <w:t>Contrôler l’accessibilité des sites internes prioritaires pour les usages numériques des salariés (RH, prévention, formation) et améliorer leur accessibilité (</w:t>
            </w:r>
            <w:r w:rsidR="00733FC9">
              <w:t>t</w:t>
            </w:r>
            <w:r>
              <w:t>aux de conformité &gt;70%).</w:t>
            </w:r>
          </w:p>
          <w:p w14:paraId="7A00FA7F" w14:textId="77777777" w:rsidR="008734FD" w:rsidRPr="00977670" w:rsidRDefault="008734FD" w:rsidP="00E00CED">
            <w:pPr>
              <w:rPr>
                <w:u w:val="single"/>
              </w:rPr>
            </w:pPr>
            <w:r w:rsidRPr="00977670">
              <w:rPr>
                <w:u w:val="single"/>
              </w:rPr>
              <w:t>Faire de sa communication une vitrine de son engagement NR – Engagement n°12</w:t>
            </w:r>
          </w:p>
          <w:p w14:paraId="1296C0F1" w14:textId="77777777" w:rsidR="008734FD" w:rsidRDefault="008734FD">
            <w:pPr>
              <w:pStyle w:val="Paragraphedeliste"/>
              <w:numPr>
                <w:ilvl w:val="0"/>
                <w:numId w:val="61"/>
              </w:numPr>
            </w:pPr>
            <w:r>
              <w:t>Intégrer les critères d’accessibilité et d’éco-socio-conception dans les achats et prestations de communication ;</w:t>
            </w:r>
          </w:p>
          <w:p w14:paraId="3C74991F" w14:textId="4A92D4F9" w:rsidR="008734FD" w:rsidRDefault="004C66C1">
            <w:pPr>
              <w:pStyle w:val="Paragraphedeliste"/>
              <w:numPr>
                <w:ilvl w:val="0"/>
                <w:numId w:val="61"/>
              </w:numPr>
            </w:pPr>
            <w:r>
              <w:t xml:space="preserve">Communiquer </w:t>
            </w:r>
            <w:r w:rsidR="008734FD">
              <w:t>et diffus</w:t>
            </w:r>
            <w:r>
              <w:t>er</w:t>
            </w:r>
            <w:r w:rsidR="008734FD">
              <w:t xml:space="preserve"> des supports de communication éco-socio-conçus ;</w:t>
            </w:r>
          </w:p>
          <w:p w14:paraId="6022FD3F" w14:textId="77777777" w:rsidR="008734FD" w:rsidRDefault="008734FD">
            <w:pPr>
              <w:pStyle w:val="Paragraphedeliste"/>
              <w:numPr>
                <w:ilvl w:val="0"/>
                <w:numId w:val="61"/>
              </w:numPr>
            </w:pPr>
            <w:r>
              <w:t>Sensibiliser la filière communication aux bonnes pratiques d’éco-socio-conception ;</w:t>
            </w:r>
          </w:p>
          <w:p w14:paraId="395A4290" w14:textId="4E6F49FD" w:rsidR="008734FD" w:rsidRDefault="008734FD">
            <w:pPr>
              <w:pStyle w:val="Paragraphedeliste"/>
              <w:numPr>
                <w:ilvl w:val="0"/>
                <w:numId w:val="61"/>
              </w:numPr>
            </w:pPr>
            <w:r>
              <w:t xml:space="preserve">Sensibiliser les salariés sur les </w:t>
            </w:r>
            <w:proofErr w:type="spellStart"/>
            <w:r w:rsidR="00733FC9" w:rsidRPr="00B5346E">
              <w:rPr>
                <w:i/>
                <w:iCs/>
              </w:rPr>
              <w:t>t</w:t>
            </w:r>
            <w:r w:rsidRPr="00B5346E">
              <w:rPr>
                <w:i/>
                <w:iCs/>
              </w:rPr>
              <w:t>emplate</w:t>
            </w:r>
            <w:proofErr w:type="spellEnd"/>
            <w:r>
              <w:t xml:space="preserve"> et outils disponibles ;</w:t>
            </w:r>
          </w:p>
          <w:p w14:paraId="56B85EA2" w14:textId="77777777" w:rsidR="008734FD" w:rsidRDefault="008734FD">
            <w:pPr>
              <w:pStyle w:val="Paragraphedeliste"/>
              <w:numPr>
                <w:ilvl w:val="0"/>
                <w:numId w:val="61"/>
              </w:numPr>
            </w:pPr>
            <w:r>
              <w:t>Étudier l’opportunité d’ajuster la charte digitale d’Enedis pour améliorer son accessibilité.</w:t>
            </w:r>
          </w:p>
          <w:p w14:paraId="7A136243" w14:textId="77777777" w:rsidR="008734FD" w:rsidRDefault="008734FD" w:rsidP="00E00CED"/>
          <w:p w14:paraId="54AD9661" w14:textId="77777777" w:rsidR="008734FD" w:rsidRPr="00977670" w:rsidRDefault="008734FD">
            <w:pPr>
              <w:pStyle w:val="Paragraphedeliste"/>
              <w:numPr>
                <w:ilvl w:val="0"/>
                <w:numId w:val="60"/>
              </w:numPr>
              <w:rPr>
                <w:b/>
                <w:bCs/>
              </w:rPr>
            </w:pPr>
            <w:r w:rsidRPr="00977670">
              <w:rPr>
                <w:b/>
                <w:bCs/>
              </w:rPr>
              <w:t>Gouvernance</w:t>
            </w:r>
          </w:p>
          <w:p w14:paraId="226EF2C3" w14:textId="77777777" w:rsidR="008734FD" w:rsidRPr="005907AD" w:rsidRDefault="008734FD" w:rsidP="00E00CED">
            <w:r w:rsidRPr="005907AD">
              <w:t>Le pilotage de l’accessibilité numérique est assuré à la DSI au sein du programme Numérique Responsable. Ce rôle est porté par la référente Accessibilité Numérique.</w:t>
            </w:r>
          </w:p>
          <w:p w14:paraId="1563EF6B" w14:textId="77777777" w:rsidR="008734FD" w:rsidRDefault="008734FD" w:rsidP="00E00CED">
            <w:r w:rsidRPr="005907AD">
              <w:t xml:space="preserve">Une gouvernance de l’Accessibilité Numérique est en place depuis octobre 2023, au travers du COPIL Accessibilité Numérique dont les membres sont : </w:t>
            </w:r>
          </w:p>
          <w:p w14:paraId="35E4A7C6" w14:textId="597D2D16" w:rsidR="008734FD" w:rsidRDefault="002621F3" w:rsidP="002621F3">
            <w:pPr>
              <w:jc w:val="center"/>
            </w:pPr>
            <w:r>
              <w:rPr>
                <w:noProof/>
              </w:rPr>
              <w:drawing>
                <wp:inline distT="0" distB="0" distL="0" distR="0" wp14:anchorId="61497D10" wp14:editId="1F3B4DD7">
                  <wp:extent cx="5384165" cy="3154045"/>
                  <wp:effectExtent l="0" t="0" r="0" b="8255"/>
                  <wp:docPr id="1441070654" name="Image 1" descr="Pilotage DSI avec la participation du département Diversité de la DRHTS, des pôles RSE et Digital de la Direction Impact et communication, de la DIR2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70654" name="Image 1" descr="Pilotage DSI avec la participation du département Diversité de la DRHTS, des pôles RSE et Digital de la Direction Impact et communication, de la DIR2S-I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4165" cy="3154045"/>
                          </a:xfrm>
                          <a:prstGeom prst="rect">
                            <a:avLst/>
                          </a:prstGeom>
                        </pic:spPr>
                      </pic:pic>
                    </a:graphicData>
                  </a:graphic>
                </wp:inline>
              </w:drawing>
            </w:r>
          </w:p>
          <w:p w14:paraId="200530D9" w14:textId="77777777" w:rsidR="008734FD" w:rsidRPr="0036018E" w:rsidRDefault="008734FD">
            <w:pPr>
              <w:pStyle w:val="Paragraphedeliste"/>
              <w:numPr>
                <w:ilvl w:val="0"/>
                <w:numId w:val="62"/>
              </w:numPr>
              <w:spacing w:after="160" w:line="259" w:lineRule="auto"/>
              <w:jc w:val="left"/>
              <w:rPr>
                <w:rFonts w:ascii="Public Sans" w:hAnsi="Public Sans"/>
                <w:sz w:val="20"/>
                <w:szCs w:val="20"/>
              </w:rPr>
            </w:pPr>
            <w:r w:rsidRPr="40499B4E">
              <w:rPr>
                <w:rFonts w:ascii="Public Sans" w:hAnsi="Public Sans"/>
                <w:sz w:val="20"/>
                <w:szCs w:val="20"/>
              </w:rPr>
              <w:t>DSI : Direction des Système d’Information</w:t>
            </w:r>
          </w:p>
          <w:p w14:paraId="022FA71D" w14:textId="77777777" w:rsidR="008734FD" w:rsidRPr="0036018E" w:rsidRDefault="008734FD">
            <w:pPr>
              <w:pStyle w:val="Paragraphedeliste"/>
              <w:numPr>
                <w:ilvl w:val="0"/>
                <w:numId w:val="62"/>
              </w:numPr>
              <w:spacing w:after="160" w:line="259" w:lineRule="auto"/>
              <w:jc w:val="left"/>
              <w:rPr>
                <w:rFonts w:ascii="Public Sans" w:hAnsi="Public Sans"/>
                <w:sz w:val="20"/>
                <w:szCs w:val="20"/>
              </w:rPr>
            </w:pPr>
            <w:r w:rsidRPr="40499B4E">
              <w:rPr>
                <w:rFonts w:ascii="Public Sans" w:hAnsi="Public Sans"/>
                <w:sz w:val="20"/>
                <w:szCs w:val="20"/>
              </w:rPr>
              <w:t>DRHTS : Direction des Ressources Humaines, Transformation, Santé, Sécurité</w:t>
            </w:r>
          </w:p>
          <w:p w14:paraId="792AB270" w14:textId="77777777" w:rsidR="008734FD" w:rsidRPr="0036018E" w:rsidRDefault="008734FD">
            <w:pPr>
              <w:pStyle w:val="Paragraphedeliste"/>
              <w:numPr>
                <w:ilvl w:val="0"/>
                <w:numId w:val="62"/>
              </w:numPr>
              <w:spacing w:after="160" w:line="259" w:lineRule="auto"/>
              <w:jc w:val="left"/>
              <w:rPr>
                <w:rFonts w:ascii="Public Sans" w:hAnsi="Public Sans"/>
                <w:sz w:val="20"/>
                <w:szCs w:val="20"/>
              </w:rPr>
            </w:pPr>
            <w:r w:rsidRPr="40499B4E">
              <w:rPr>
                <w:rFonts w:ascii="Public Sans" w:hAnsi="Public Sans"/>
                <w:sz w:val="20"/>
                <w:szCs w:val="20"/>
              </w:rPr>
              <w:t>DIR2S-IT : DIR2S - Informatique &amp; Télécoms</w:t>
            </w:r>
          </w:p>
          <w:p w14:paraId="760C67A6" w14:textId="77777777" w:rsidR="008734FD" w:rsidRPr="00FC0AD1" w:rsidRDefault="008734FD" w:rsidP="00E00CED">
            <w:r w:rsidRPr="00FC0AD1">
              <w:t xml:space="preserve">Le COPIL Accessibilité Numérique trimestriel a pour but de : </w:t>
            </w:r>
          </w:p>
          <w:p w14:paraId="54F150E7" w14:textId="2EAF254B" w:rsidR="008734FD" w:rsidRPr="00FC0AD1" w:rsidRDefault="008734FD">
            <w:pPr>
              <w:pStyle w:val="Paragraphedeliste"/>
              <w:numPr>
                <w:ilvl w:val="0"/>
                <w:numId w:val="61"/>
              </w:numPr>
            </w:pPr>
            <w:r w:rsidRPr="00FC0AD1">
              <w:t>Partager l’actualité réglementaire, sujets généraux et actualités Enedis</w:t>
            </w:r>
            <w:r w:rsidR="00733FC9">
              <w:t> ;</w:t>
            </w:r>
          </w:p>
          <w:p w14:paraId="48B982A9" w14:textId="537C3F36" w:rsidR="008734FD" w:rsidRPr="00FC0AD1" w:rsidRDefault="008734FD">
            <w:pPr>
              <w:pStyle w:val="Paragraphedeliste"/>
              <w:numPr>
                <w:ilvl w:val="0"/>
                <w:numId w:val="61"/>
              </w:numPr>
            </w:pPr>
            <w:r w:rsidRPr="00FC0AD1">
              <w:t>Partager l’avancement du plan d’action, les victoires et les alertes</w:t>
            </w:r>
            <w:r w:rsidR="00733FC9">
              <w:t> ;</w:t>
            </w:r>
          </w:p>
          <w:p w14:paraId="3FCF8A89" w14:textId="5E00CD59" w:rsidR="00646CD1" w:rsidRDefault="008734FD" w:rsidP="00646CD1">
            <w:pPr>
              <w:pStyle w:val="Paragraphedeliste"/>
              <w:numPr>
                <w:ilvl w:val="0"/>
                <w:numId w:val="61"/>
              </w:numPr>
            </w:pPr>
            <w:r w:rsidRPr="00FC0AD1">
              <w:t>Valider ensemble les points à remonter en Comité Stratégique du Programme Numérique Responsable</w:t>
            </w:r>
            <w:r w:rsidR="00733FC9">
              <w:t>.</w:t>
            </w:r>
          </w:p>
          <w:p w14:paraId="1C4787F1" w14:textId="77777777" w:rsidR="00646CD1" w:rsidRPr="00977670" w:rsidRDefault="00646CD1" w:rsidP="00646CD1"/>
          <w:p w14:paraId="31C43DA1" w14:textId="77777777" w:rsidR="008734FD" w:rsidRPr="00C43137" w:rsidRDefault="008734FD" w:rsidP="00E00CED">
            <w:pPr>
              <w:jc w:val="right"/>
            </w:pPr>
            <w:r>
              <w:rPr>
                <w:b/>
                <w:bCs/>
              </w:rPr>
              <w:t>Claire Quintanar</w:t>
            </w:r>
            <w:r>
              <w:t xml:space="preserve">, </w:t>
            </w:r>
            <w:r w:rsidRPr="00977670">
              <w:t>Pilote du Programme Numérique Responsable</w:t>
            </w:r>
            <w:r>
              <w:t xml:space="preserve"> d’</w:t>
            </w:r>
            <w:r w:rsidRPr="00F755EB">
              <w:rPr>
                <w:b/>
                <w:bCs/>
              </w:rPr>
              <w:t>ENEDIS</w:t>
            </w:r>
          </w:p>
        </w:tc>
      </w:tr>
    </w:tbl>
    <w:p w14:paraId="436DD276" w14:textId="64C649B2" w:rsidR="008734FD" w:rsidRDefault="008734FD" w:rsidP="002D30A5">
      <w:pPr>
        <w:spacing w:before="160"/>
        <w:rPr>
          <w:lang w:eastAsia="fr-FR"/>
        </w:rPr>
      </w:pPr>
    </w:p>
    <w:tbl>
      <w:tblPr>
        <w:tblW w:w="5000" w:type="pct"/>
        <w:jc w:val="center"/>
        <w:tblBorders>
          <w:top w:val="single" w:sz="18" w:space="0" w:color="155E48"/>
          <w:left w:val="single" w:sz="18" w:space="0" w:color="155E48"/>
          <w:bottom w:val="single" w:sz="18" w:space="0" w:color="155E48"/>
          <w:right w:val="single" w:sz="18" w:space="0" w:color="155E48"/>
        </w:tblBorders>
        <w:shd w:val="clear" w:color="auto" w:fill="E2EFD9" w:themeFill="accent6" w:themeFillTint="33"/>
        <w:tblLayout w:type="fixed"/>
        <w:tblCellMar>
          <w:top w:w="284" w:type="dxa"/>
          <w:left w:w="284" w:type="dxa"/>
          <w:bottom w:w="284" w:type="dxa"/>
          <w:right w:w="284" w:type="dxa"/>
        </w:tblCellMar>
        <w:tblLook w:val="0420" w:firstRow="1" w:lastRow="0" w:firstColumn="0" w:lastColumn="0" w:noHBand="0" w:noVBand="1"/>
      </w:tblPr>
      <w:tblGrid>
        <w:gridCol w:w="9070"/>
      </w:tblGrid>
      <w:tr w:rsidR="00C43137" w:rsidRPr="00C43137" w14:paraId="4F0A07BE" w14:textId="77777777" w:rsidTr="00072B81">
        <w:trPr>
          <w:jc w:val="center"/>
        </w:trPr>
        <w:tc>
          <w:tcPr>
            <w:tcW w:w="9157" w:type="dxa"/>
            <w:tcBorders>
              <w:top w:val="nil"/>
              <w:left w:val="nil"/>
              <w:bottom w:val="nil"/>
              <w:right w:val="nil"/>
            </w:tcBorders>
            <w:shd w:val="clear" w:color="auto" w:fill="E2EFD9" w:themeFill="accent6" w:themeFillTint="33"/>
          </w:tcPr>
          <w:p w14:paraId="5A3BA159" w14:textId="4EA3FE98" w:rsidR="004111F2" w:rsidRPr="004C7112" w:rsidRDefault="00804DE1" w:rsidP="004C7112">
            <w:pPr>
              <w:pStyle w:val="retenir"/>
            </w:pPr>
            <w:bookmarkStart w:id="19" w:name="_Toc230077005"/>
            <w:bookmarkStart w:id="20" w:name="_Toc226477431"/>
            <w:r w:rsidRPr="002D30A5">
              <w:lastRenderedPageBreak/>
              <w:t xml:space="preserve">À </w:t>
            </w:r>
            <w:r w:rsidRPr="004C7112">
              <w:t>retenir</w:t>
            </w:r>
            <w:bookmarkEnd w:id="19"/>
            <w:r w:rsidRPr="004C7112">
              <w:t xml:space="preserve"> </w:t>
            </w:r>
            <w:bookmarkEnd w:id="20"/>
          </w:p>
          <w:p w14:paraId="79FF4CE0" w14:textId="2318EB6A" w:rsidR="00A90E53" w:rsidRPr="00977670" w:rsidRDefault="004111F2">
            <w:pPr>
              <w:pStyle w:val="Paragraphedeliste"/>
              <w:numPr>
                <w:ilvl w:val="0"/>
                <w:numId w:val="63"/>
              </w:numPr>
              <w:rPr>
                <w:b/>
              </w:rPr>
            </w:pPr>
            <w:bookmarkStart w:id="21" w:name="_Toc226477432"/>
            <w:r w:rsidRPr="004111F2">
              <w:t xml:space="preserve">L’EEA </w:t>
            </w:r>
            <w:r w:rsidR="004C66C1">
              <w:t>(</w:t>
            </w:r>
            <w:proofErr w:type="spellStart"/>
            <w:r w:rsidR="004C66C1" w:rsidRPr="00910341">
              <w:rPr>
                <w:i/>
                <w:iCs/>
              </w:rPr>
              <w:t>European</w:t>
            </w:r>
            <w:proofErr w:type="spellEnd"/>
            <w:r w:rsidR="004C66C1" w:rsidRPr="00910341">
              <w:rPr>
                <w:i/>
                <w:iCs/>
              </w:rPr>
              <w:t xml:space="preserve"> </w:t>
            </w:r>
            <w:proofErr w:type="spellStart"/>
            <w:r w:rsidR="004C66C1" w:rsidRPr="00910341">
              <w:rPr>
                <w:i/>
                <w:iCs/>
              </w:rPr>
              <w:t>Accessibility</w:t>
            </w:r>
            <w:proofErr w:type="spellEnd"/>
            <w:r w:rsidR="004C66C1" w:rsidRPr="00910341">
              <w:rPr>
                <w:i/>
                <w:iCs/>
              </w:rPr>
              <w:t xml:space="preserve"> Act</w:t>
            </w:r>
            <w:r w:rsidR="004C66C1">
              <w:t xml:space="preserve">) </w:t>
            </w:r>
            <w:r w:rsidRPr="004111F2">
              <w:t>élargit le périmètre légal</w:t>
            </w:r>
            <w:r w:rsidR="008734FD">
              <w:t xml:space="preserve"> </w:t>
            </w:r>
            <w:r w:rsidR="00D05E6B">
              <w:t xml:space="preserve">de l’accessibilité numérique </w:t>
            </w:r>
            <w:r w:rsidR="008734FD">
              <w:t xml:space="preserve">à </w:t>
            </w:r>
            <w:r w:rsidR="008734FD" w:rsidRPr="008734FD">
              <w:t xml:space="preserve">toutes les entreprises </w:t>
            </w:r>
            <w:r w:rsidR="009A3B6A">
              <w:t>opérant</w:t>
            </w:r>
            <w:r w:rsidR="00B5346E">
              <w:t xml:space="preserve"> </w:t>
            </w:r>
            <w:r w:rsidR="009A3B6A">
              <w:t>au sein de</w:t>
            </w:r>
            <w:r w:rsidR="009A3B6A" w:rsidRPr="008734FD">
              <w:t xml:space="preserve"> </w:t>
            </w:r>
            <w:r w:rsidR="008734FD" w:rsidRPr="008734FD">
              <w:t xml:space="preserve">l’Union européenne, </w:t>
            </w:r>
            <w:r w:rsidR="00D05E6B">
              <w:t>exception faite</w:t>
            </w:r>
            <w:r w:rsidR="008734FD" w:rsidRPr="008734FD">
              <w:t xml:space="preserve"> des TPE </w:t>
            </w:r>
            <w:r w:rsidR="00DD2D5E">
              <w:t>(</w:t>
            </w:r>
            <w:r w:rsidR="008734FD" w:rsidRPr="008734FD">
              <w:t>c'est-à-dire comptant moins de 10 salariés et ayant un chiffre d'affaires inférieur à 2 millions d'euros</w:t>
            </w:r>
            <w:r w:rsidR="00DD2D5E">
              <w:t>)</w:t>
            </w:r>
            <w:r w:rsidR="009A3B6A">
              <w:t xml:space="preserve">, et </w:t>
            </w:r>
            <w:r w:rsidR="00D05E6B">
              <w:t xml:space="preserve">des entreprises appartenant aux </w:t>
            </w:r>
            <w:r w:rsidR="009A3B6A">
              <w:t>secteurs non spécifiés par la directive (</w:t>
            </w:r>
            <w:r w:rsidR="00ED2BEC">
              <w:t xml:space="preserve">voir les pages </w:t>
            </w:r>
            <w:r w:rsidR="00875CEE">
              <w:t>13-14</w:t>
            </w:r>
            <w:r w:rsidR="00ED2BEC">
              <w:t xml:space="preserve"> de ce rapport</w:t>
            </w:r>
            <w:r w:rsidR="009A3B6A">
              <w:t>)</w:t>
            </w:r>
            <w:r w:rsidR="008734FD">
              <w:t> </w:t>
            </w:r>
            <w:bookmarkEnd w:id="21"/>
            <w:r w:rsidR="008734FD">
              <w:t>;</w:t>
            </w:r>
          </w:p>
          <w:p w14:paraId="2094A5B1" w14:textId="679012C0" w:rsidR="008734FD" w:rsidRPr="008734FD" w:rsidRDefault="004111F2">
            <w:pPr>
              <w:pStyle w:val="Paragraphedeliste"/>
              <w:numPr>
                <w:ilvl w:val="0"/>
                <w:numId w:val="63"/>
              </w:numPr>
              <w:rPr>
                <w:b/>
              </w:rPr>
            </w:pPr>
            <w:bookmarkStart w:id="22" w:name="_Toc226477433"/>
            <w:r w:rsidRPr="00A90E53">
              <w:t>Le cadre légal (Directive UE 2016/2102, EAA) s'appuie sur la norme européenne, elle-même basée sur le WCAG : plus ces standards de conception seront intégrés</w:t>
            </w:r>
            <w:r w:rsidR="007256CE">
              <w:t xml:space="preserve"> en amont</w:t>
            </w:r>
            <w:r w:rsidRPr="00A90E53">
              <w:t>, plus facile sera la mise en conformité ;</w:t>
            </w:r>
            <w:bookmarkEnd w:id="22"/>
            <w:r w:rsidR="008734FD">
              <w:t xml:space="preserve"> </w:t>
            </w:r>
          </w:p>
          <w:p w14:paraId="58D4AF92" w14:textId="582D275A" w:rsidR="004111F2" w:rsidRPr="00977670" w:rsidRDefault="004C66C1">
            <w:pPr>
              <w:pStyle w:val="Paragraphedeliste"/>
              <w:numPr>
                <w:ilvl w:val="0"/>
                <w:numId w:val="63"/>
              </w:numPr>
              <w:rPr>
                <w:b/>
              </w:rPr>
            </w:pPr>
            <w:r>
              <w:t>Depuis</w:t>
            </w:r>
            <w:r w:rsidR="008734FD">
              <w:t xml:space="preserve"> juin 2025, i</w:t>
            </w:r>
            <w:r w:rsidR="008734FD" w:rsidRPr="008734FD">
              <w:t>l est nécessaire d</w:t>
            </w:r>
            <w:r w:rsidR="008734FD">
              <w:t>’être conforme aux critères d</w:t>
            </w:r>
            <w:r w:rsidR="008734FD" w:rsidRPr="008734FD">
              <w:t xml:space="preserve">'accessibilité </w:t>
            </w:r>
            <w:r w:rsidR="008734FD">
              <w:t>numérique</w:t>
            </w:r>
            <w:r w:rsidR="008734FD" w:rsidRPr="008734FD">
              <w:t xml:space="preserve"> pour tou</w:t>
            </w:r>
            <w:r w:rsidR="008734FD">
              <w:t>s</w:t>
            </w:r>
            <w:r w:rsidR="008734FD" w:rsidRPr="008734FD">
              <w:t xml:space="preserve"> nouveau</w:t>
            </w:r>
            <w:r w:rsidR="008734FD">
              <w:t>x produits ou services</w:t>
            </w:r>
            <w:r w:rsidR="009F5E7E">
              <w:t>. L’enjeu du maintien du niveau de conformité dans la durée est induit ;</w:t>
            </w:r>
          </w:p>
          <w:p w14:paraId="7260633B" w14:textId="740C6085" w:rsidR="004111F2" w:rsidRPr="00186503" w:rsidRDefault="004111F2">
            <w:pPr>
              <w:pStyle w:val="Paragraphedeliste"/>
              <w:numPr>
                <w:ilvl w:val="0"/>
                <w:numId w:val="63"/>
              </w:numPr>
              <w:rPr>
                <w:b/>
              </w:rPr>
            </w:pPr>
            <w:bookmarkStart w:id="23" w:name="_Toc226477434"/>
            <w:r w:rsidRPr="004111F2">
              <w:t>Il est essentiel de mettre en place une gouvernance, a minima tripartite (</w:t>
            </w:r>
            <w:r w:rsidR="00321F26">
              <w:t>c</w:t>
            </w:r>
            <w:r w:rsidRPr="004111F2">
              <w:t xml:space="preserve">onformité - RSE </w:t>
            </w:r>
            <w:r w:rsidR="00321F26">
              <w:t>–</w:t>
            </w:r>
            <w:r w:rsidRPr="004111F2">
              <w:t xml:space="preserve"> </w:t>
            </w:r>
            <w:r w:rsidR="00321F26">
              <w:t>direction numérique</w:t>
            </w:r>
            <w:r w:rsidR="00804DE1">
              <w:t>,</w:t>
            </w:r>
            <w:r w:rsidRPr="004111F2">
              <w:t xml:space="preserve"> avec un budget et un </w:t>
            </w:r>
            <w:proofErr w:type="spellStart"/>
            <w:r w:rsidRPr="004111F2">
              <w:t>co</w:t>
            </w:r>
            <w:proofErr w:type="spellEnd"/>
            <w:r w:rsidRPr="004111F2">
              <w:t>-</w:t>
            </w:r>
            <w:r w:rsidRPr="00B5346E">
              <w:rPr>
                <w:i/>
                <w:iCs/>
              </w:rPr>
              <w:t>sponsoring</w:t>
            </w:r>
            <w:r w:rsidRPr="004111F2">
              <w:t xml:space="preserve"> dédiés, et </w:t>
            </w:r>
            <w:r w:rsidR="00804DE1">
              <w:t xml:space="preserve">de </w:t>
            </w:r>
            <w:r w:rsidRPr="004111F2">
              <w:t xml:space="preserve">nommer un </w:t>
            </w:r>
            <w:r w:rsidR="00321F26">
              <w:t>r</w:t>
            </w:r>
            <w:r w:rsidRPr="004111F2">
              <w:t xml:space="preserve">éférent </w:t>
            </w:r>
            <w:r w:rsidR="00321F26">
              <w:t>a</w:t>
            </w:r>
            <w:r w:rsidRPr="004111F2">
              <w:t xml:space="preserve">ccessibilité </w:t>
            </w:r>
            <w:r w:rsidR="00321F26">
              <w:t>n</w:t>
            </w:r>
            <w:r w:rsidRPr="004111F2">
              <w:t>umérique à forte autorité ;</w:t>
            </w:r>
            <w:bookmarkEnd w:id="23"/>
            <w:r w:rsidRPr="004111F2">
              <w:t> </w:t>
            </w:r>
          </w:p>
          <w:p w14:paraId="76CBBD8D" w14:textId="18EA2C09" w:rsidR="004111F2" w:rsidRPr="00977670" w:rsidRDefault="004111F2">
            <w:pPr>
              <w:pStyle w:val="Paragraphedeliste"/>
              <w:numPr>
                <w:ilvl w:val="0"/>
                <w:numId w:val="63"/>
              </w:numPr>
              <w:rPr>
                <w:b/>
              </w:rPr>
            </w:pPr>
            <w:bookmarkStart w:id="24" w:name="_Toc226477435"/>
            <w:r w:rsidRPr="004111F2">
              <w:t xml:space="preserve">L’inaction coûte </w:t>
            </w:r>
            <w:r w:rsidR="008734FD">
              <w:t>cher</w:t>
            </w:r>
            <w:r w:rsidRPr="004111F2">
              <w:t xml:space="preserve"> : mesurer le coût du défaut d’accessibilité pour justifier les investissements en la matière peut être un argument stratégique de poids ;</w:t>
            </w:r>
            <w:bookmarkEnd w:id="24"/>
          </w:p>
          <w:p w14:paraId="67A217D6" w14:textId="77777777" w:rsidR="00186503" w:rsidRPr="00186503" w:rsidRDefault="00186503">
            <w:pPr>
              <w:pStyle w:val="Paragraphedeliste"/>
              <w:numPr>
                <w:ilvl w:val="0"/>
                <w:numId w:val="63"/>
              </w:numPr>
              <w:rPr>
                <w:bCs/>
              </w:rPr>
            </w:pPr>
            <w:bookmarkStart w:id="25" w:name="_Toc226477436"/>
            <w:r>
              <w:rPr>
                <w:bCs/>
              </w:rPr>
              <w:t>L</w:t>
            </w:r>
            <w:r w:rsidRPr="00186503">
              <w:rPr>
                <w:bCs/>
              </w:rPr>
              <w:t xml:space="preserve">a conformité ne garantit pas l’accessibilité. </w:t>
            </w:r>
            <w:r>
              <w:rPr>
                <w:bCs/>
              </w:rPr>
              <w:t>Celle-ci</w:t>
            </w:r>
            <w:r w:rsidRPr="00186503">
              <w:rPr>
                <w:bCs/>
              </w:rPr>
              <w:t xml:space="preserve"> ne peut être atteinte sans confrontation aux usages réels.</w:t>
            </w:r>
          </w:p>
          <w:p w14:paraId="0133B274" w14:textId="1755B084" w:rsidR="004111F2" w:rsidRPr="00977670" w:rsidRDefault="004111F2">
            <w:pPr>
              <w:pStyle w:val="Paragraphedeliste"/>
              <w:numPr>
                <w:ilvl w:val="0"/>
                <w:numId w:val="63"/>
              </w:numPr>
              <w:rPr>
                <w:b/>
              </w:rPr>
            </w:pPr>
            <w:r w:rsidRPr="004111F2">
              <w:t xml:space="preserve">L'accessibilité est un marathon, pas un sprint : un site conforme peut rapidement se dégrader sans </w:t>
            </w:r>
            <w:r w:rsidR="00910341">
              <w:t>le maintien d’une</w:t>
            </w:r>
            <w:r w:rsidRPr="004111F2">
              <w:t xml:space="preserve"> continuité d</w:t>
            </w:r>
            <w:r w:rsidR="00910341">
              <w:t>ans</w:t>
            </w:r>
            <w:r w:rsidRPr="004111F2">
              <w:t xml:space="preserve"> la formation, l'imprégnation culturelle et </w:t>
            </w:r>
            <w:r w:rsidR="00910341">
              <w:t>l</w:t>
            </w:r>
            <w:r w:rsidRPr="004111F2">
              <w:t>es processus de vérification.</w:t>
            </w:r>
            <w:bookmarkEnd w:id="25"/>
          </w:p>
          <w:p w14:paraId="21081B3F" w14:textId="421EB1F2" w:rsidR="00C43137" w:rsidRPr="00977670" w:rsidRDefault="004111F2">
            <w:pPr>
              <w:pStyle w:val="Paragraphedeliste"/>
              <w:numPr>
                <w:ilvl w:val="0"/>
                <w:numId w:val="63"/>
              </w:numPr>
              <w:rPr>
                <w:b/>
              </w:rPr>
            </w:pPr>
            <w:bookmarkStart w:id="26" w:name="_Toc226477437"/>
            <w:r w:rsidRPr="004111F2">
              <w:t xml:space="preserve">Les outils d'audit automatique </w:t>
            </w:r>
            <w:r w:rsidR="008734FD">
              <w:t>peuvent être</w:t>
            </w:r>
            <w:r w:rsidRPr="004111F2">
              <w:t xml:space="preserve"> utiles, mais ne remplacent pas l'expertise humaine, </w:t>
            </w:r>
            <w:r w:rsidR="00726013">
              <w:t xml:space="preserve">les référentiels de place tels que </w:t>
            </w:r>
            <w:r w:rsidRPr="004111F2">
              <w:t>le RGAA, et l'acculturation des équipes.</w:t>
            </w:r>
            <w:bookmarkEnd w:id="26"/>
          </w:p>
        </w:tc>
      </w:tr>
    </w:tbl>
    <w:p w14:paraId="4ED7E548" w14:textId="77777777" w:rsidR="00F70BA7" w:rsidRDefault="00F70BA7" w:rsidP="00C43137">
      <w:pPr>
        <w:rPr>
          <w:lang w:eastAsia="fr-FR"/>
        </w:rPr>
      </w:pPr>
    </w:p>
    <w:p w14:paraId="49AC72EC" w14:textId="77777777" w:rsidR="004502A1" w:rsidRDefault="004502A1" w:rsidP="004B1E23">
      <w:pPr>
        <w:spacing w:after="160" w:line="259" w:lineRule="auto"/>
        <w:rPr>
          <w:lang w:eastAsia="fr-FR"/>
        </w:rPr>
      </w:pPr>
    </w:p>
    <w:p w14:paraId="77C1A265" w14:textId="097DC3D0" w:rsidR="00914B3B" w:rsidRPr="007953AC" w:rsidRDefault="004111F2" w:rsidP="007953AC">
      <w:pPr>
        <w:pStyle w:val="Titre1"/>
      </w:pPr>
      <w:bookmarkStart w:id="27" w:name="_Toc230077006"/>
      <w:r w:rsidRPr="004111F2">
        <w:lastRenderedPageBreak/>
        <w:t>Structuration de la démarche de gouvernance</w:t>
      </w:r>
      <w:bookmarkEnd w:id="27"/>
    </w:p>
    <w:p w14:paraId="79D97D29" w14:textId="3DEEEFC9" w:rsidR="00914B3B" w:rsidRPr="00481DA2" w:rsidRDefault="004111F2" w:rsidP="00DE3AAD">
      <w:pPr>
        <w:pStyle w:val="Titre2"/>
        <w:rPr>
          <w:lang w:val="fr-FR"/>
        </w:rPr>
      </w:pPr>
      <w:bookmarkStart w:id="28" w:name="_Toc230077007"/>
      <w:r w:rsidRPr="00481DA2">
        <w:rPr>
          <w:lang w:val="fr-FR"/>
        </w:rPr>
        <w:t>Défini</w:t>
      </w:r>
      <w:r w:rsidR="00AE2703" w:rsidRPr="00481DA2">
        <w:rPr>
          <w:lang w:val="fr-FR"/>
        </w:rPr>
        <w:t>r s</w:t>
      </w:r>
      <w:r w:rsidR="001D5419">
        <w:rPr>
          <w:lang w:val="fr-FR"/>
        </w:rPr>
        <w:t>on ambition</w:t>
      </w:r>
      <w:r w:rsidRPr="00481DA2">
        <w:rPr>
          <w:lang w:val="fr-FR"/>
        </w:rPr>
        <w:t xml:space="preserve"> et </w:t>
      </w:r>
      <w:r w:rsidR="001D5419">
        <w:rPr>
          <w:lang w:val="fr-FR"/>
        </w:rPr>
        <w:t>attribuer l</w:t>
      </w:r>
      <w:r w:rsidRPr="00481DA2">
        <w:rPr>
          <w:lang w:val="fr-FR"/>
        </w:rPr>
        <w:t>es missions</w:t>
      </w:r>
      <w:bookmarkEnd w:id="28"/>
      <w:r w:rsidRPr="00481DA2">
        <w:rPr>
          <w:lang w:val="fr-FR"/>
        </w:rPr>
        <w:t xml:space="preserve"> </w:t>
      </w:r>
    </w:p>
    <w:p w14:paraId="24DB0A09" w14:textId="77777777" w:rsidR="004111F2" w:rsidRPr="001D5419" w:rsidRDefault="004111F2" w:rsidP="004111F2">
      <w:pPr>
        <w:pStyle w:val="Titre3"/>
        <w:rPr>
          <w:lang w:val="fr-FR"/>
        </w:rPr>
      </w:pPr>
      <w:bookmarkStart w:id="29" w:name="_Toc230077008"/>
      <w:r w:rsidRPr="001D5419">
        <w:rPr>
          <w:lang w:val="fr-FR"/>
        </w:rPr>
        <w:t>Vision et ambition de la démarche d’accessibilité</w:t>
      </w:r>
      <w:bookmarkEnd w:id="29"/>
      <w:r w:rsidRPr="001D5419">
        <w:rPr>
          <w:lang w:val="fr-FR"/>
        </w:rPr>
        <w:t xml:space="preserve">  </w:t>
      </w:r>
    </w:p>
    <w:p w14:paraId="2E47AAEA" w14:textId="6A0472A2" w:rsidR="00DE3AAD" w:rsidRPr="001D5419" w:rsidRDefault="001D5419" w:rsidP="00DE3AAD">
      <w:r>
        <w:t>Au-delà des contraintes légales minimales, l</w:t>
      </w:r>
      <w:r w:rsidR="00DE3AAD" w:rsidRPr="001D5419">
        <w:t xml:space="preserve">a structuration de la démarche de gouvernance </w:t>
      </w:r>
      <w:r>
        <w:t>dépend,</w:t>
      </w:r>
      <w:r w:rsidR="00DE3AAD" w:rsidRPr="001D5419">
        <w:t xml:space="preserve"> en premier lieu</w:t>
      </w:r>
      <w:r>
        <w:t>, de</w:t>
      </w:r>
      <w:r w:rsidR="00DE3AAD" w:rsidRPr="001D5419">
        <w:t xml:space="preserve"> la vision et de l’ambition que chaque organisation </w:t>
      </w:r>
      <w:r>
        <w:t xml:space="preserve">définit et </w:t>
      </w:r>
      <w:r w:rsidR="00DE3AAD" w:rsidRPr="001D5419">
        <w:t xml:space="preserve">souhaite soutenir en matière d’accessibilité. Pour les participants du groupe de travail Cigref, l’accessibilité numérique </w:t>
      </w:r>
      <w:r>
        <w:t xml:space="preserve">est </w:t>
      </w:r>
      <w:r w:rsidR="00DE3AAD" w:rsidRPr="001D5419">
        <w:t xml:space="preserve">une responsabilité sociale </w:t>
      </w:r>
      <w:r>
        <w:t>qui incombe aux</w:t>
      </w:r>
      <w:r w:rsidR="00DE3AAD" w:rsidRPr="001D5419">
        <w:t xml:space="preserve"> organisations </w:t>
      </w:r>
      <w:r>
        <w:t>et doit permettre de</w:t>
      </w:r>
      <w:r w:rsidR="00DE3AAD" w:rsidRPr="001D5419">
        <w:t xml:space="preserve"> créer des environnements </w:t>
      </w:r>
      <w:r>
        <w:t>adaptés</w:t>
      </w:r>
      <w:r w:rsidR="00DE3AAD" w:rsidRPr="001D5419">
        <w:t xml:space="preserve"> aux plus fragiles, sans détériorer l’activité du plus grand nombre.</w:t>
      </w:r>
    </w:p>
    <w:p w14:paraId="0E74A37C" w14:textId="2D490B08" w:rsidR="00DE3AAD" w:rsidRPr="001D5419" w:rsidRDefault="00DE3AAD" w:rsidP="00DE3AAD">
      <w:r w:rsidRPr="001D5419">
        <w:t>Le fondement de cette démarche repose sur l’inclusion de toutes les personnes en situation de handicap, qu’elles soient collaborateurs</w:t>
      </w:r>
      <w:r w:rsidR="00A33BCC">
        <w:t xml:space="preserve"> de l’organisation</w:t>
      </w:r>
      <w:r w:rsidRPr="001D5419">
        <w:t xml:space="preserve"> ou citoyens usagers</w:t>
      </w:r>
      <w:r w:rsidR="00321F26">
        <w:t>, considérant que</w:t>
      </w:r>
      <w:r w:rsidR="00321F26" w:rsidRPr="001D5419">
        <w:t xml:space="preserve"> l’accessibilité numérique est le pendant « immatériel » de l’environnement urbain et physique adapté à tous.</w:t>
      </w:r>
    </w:p>
    <w:p w14:paraId="16E758AC" w14:textId="08A31DDC" w:rsidR="0097700D" w:rsidRPr="0097700D" w:rsidRDefault="00DE3AAD" w:rsidP="00DE3AAD">
      <w:r w:rsidRPr="001D5419">
        <w:t xml:space="preserve">L’objectif est de permettre aux personnes en situation de handicap de gagner en autonomie grâce à l’accessibilité numérique et de créer les conditions de leur contribution au tissu social. </w:t>
      </w:r>
    </w:p>
    <w:p w14:paraId="44417C86" w14:textId="73148998" w:rsidR="0097700D" w:rsidRPr="00DE3AAD" w:rsidRDefault="00DE3AAD" w:rsidP="00DE3AAD">
      <w:pPr>
        <w:pStyle w:val="Titre3"/>
        <w:ind w:left="737" w:hanging="737"/>
        <w:rPr>
          <w:lang w:val="fr-FR"/>
        </w:rPr>
      </w:pPr>
      <w:bookmarkStart w:id="30" w:name="_heading=h.3rdcrjn" w:colFirst="0" w:colLast="0"/>
      <w:bookmarkStart w:id="31" w:name="_Toc230077009"/>
      <w:bookmarkStart w:id="32" w:name="_Toc120185961"/>
      <w:bookmarkEnd w:id="30"/>
      <w:r w:rsidRPr="00DE3AAD">
        <w:rPr>
          <w:lang w:val="fr-FR"/>
        </w:rPr>
        <w:t>Missions et responsabilités du référent accessibilité numérique</w:t>
      </w:r>
      <w:bookmarkEnd w:id="31"/>
    </w:p>
    <w:p w14:paraId="30A90701" w14:textId="790F36E8" w:rsidR="00DE3AAD" w:rsidRPr="00DE3AAD" w:rsidRDefault="00861CFD" w:rsidP="00DE3AAD">
      <w:pPr>
        <w:rPr>
          <w:lang w:eastAsia="fr-FR"/>
        </w:rPr>
      </w:pPr>
      <w:r>
        <w:rPr>
          <w:b/>
          <w:bCs/>
          <w:lang w:eastAsia="fr-FR"/>
        </w:rPr>
        <w:t>La</w:t>
      </w:r>
      <w:r w:rsidR="00DE3AAD" w:rsidRPr="00DE3AAD">
        <w:rPr>
          <w:b/>
          <w:bCs/>
          <w:lang w:eastAsia="fr-FR"/>
        </w:rPr>
        <w:t xml:space="preserve"> définition des missions et des responsabilités attribuées au référent accessibilité</w:t>
      </w:r>
      <w:r w:rsidR="00DE3AAD" w:rsidRPr="00DE3AAD">
        <w:rPr>
          <w:lang w:eastAsia="fr-FR"/>
        </w:rPr>
        <w:t xml:space="preserve"> </w:t>
      </w:r>
      <w:r w:rsidR="00DE3AAD" w:rsidRPr="00DE3AAD">
        <w:rPr>
          <w:b/>
          <w:bCs/>
          <w:lang w:eastAsia="fr-FR"/>
        </w:rPr>
        <w:t xml:space="preserve">numérique </w:t>
      </w:r>
      <w:r w:rsidR="00DE3AAD" w:rsidRPr="00DE3AAD">
        <w:rPr>
          <w:lang w:eastAsia="fr-FR"/>
        </w:rPr>
        <w:t xml:space="preserve">constitue un des éléments les plus fondamentaux de la démarche. En effet, la structuration organisationnelle de la feuille de route, ou schéma pluriannuel, deviendra le document central de la démarche de gouvernance et la fonction de référent </w:t>
      </w:r>
      <w:r w:rsidR="00230C35" w:rsidRPr="00230C35">
        <w:rPr>
          <w:lang w:eastAsia="fr-FR"/>
        </w:rPr>
        <w:t xml:space="preserve">accessibilité numérique </w:t>
      </w:r>
      <w:r w:rsidR="00DE3AAD" w:rsidRPr="00DE3AAD">
        <w:rPr>
          <w:lang w:eastAsia="fr-FR"/>
        </w:rPr>
        <w:t>en sera le véritable moteur humain. </w:t>
      </w:r>
    </w:p>
    <w:p w14:paraId="5F7E70AD" w14:textId="3E23D9C1" w:rsidR="00DE3AAD" w:rsidRPr="00DE3AAD" w:rsidRDefault="00DE3AAD" w:rsidP="00DE3AAD">
      <w:pPr>
        <w:rPr>
          <w:lang w:eastAsia="fr-FR"/>
        </w:rPr>
      </w:pPr>
      <w:r w:rsidRPr="00DE3AAD">
        <w:rPr>
          <w:b/>
          <w:bCs/>
          <w:lang w:eastAsia="fr-FR"/>
        </w:rPr>
        <w:t xml:space="preserve">Pour le référent </w:t>
      </w:r>
      <w:r w:rsidR="00321F26">
        <w:rPr>
          <w:b/>
          <w:bCs/>
          <w:lang w:eastAsia="fr-FR"/>
        </w:rPr>
        <w:t>accessibilité numérique</w:t>
      </w:r>
      <w:r w:rsidRPr="00DE3AAD">
        <w:rPr>
          <w:lang w:eastAsia="fr-FR"/>
        </w:rPr>
        <w:t xml:space="preserve">, l’élaboration et la mise en œuvre de la stratégie accessibilité numérique à l’échelle de l’organisation </w:t>
      </w:r>
      <w:r w:rsidR="00C16A87">
        <w:rPr>
          <w:lang w:eastAsia="fr-FR"/>
        </w:rPr>
        <w:t>se traduit par</w:t>
      </w:r>
      <w:r w:rsidR="00C16A87" w:rsidRPr="00DE3AAD">
        <w:rPr>
          <w:lang w:eastAsia="fr-FR"/>
        </w:rPr>
        <w:t xml:space="preserve"> </w:t>
      </w:r>
      <w:r w:rsidRPr="00DE3AAD">
        <w:rPr>
          <w:lang w:eastAsia="fr-FR"/>
        </w:rPr>
        <w:t>différentes activités</w:t>
      </w:r>
      <w:r w:rsidR="00C16A87">
        <w:rPr>
          <w:lang w:eastAsia="fr-FR"/>
        </w:rPr>
        <w:t xml:space="preserve"> </w:t>
      </w:r>
      <w:r w:rsidRPr="00DE3AAD">
        <w:rPr>
          <w:lang w:eastAsia="fr-FR"/>
        </w:rPr>
        <w:t>:</w:t>
      </w:r>
    </w:p>
    <w:p w14:paraId="7B38E441" w14:textId="3293221B" w:rsidR="00DE3AAD" w:rsidRPr="00DE3AAD" w:rsidRDefault="00C16A87">
      <w:pPr>
        <w:pStyle w:val="Paragraphedeliste"/>
        <w:numPr>
          <w:ilvl w:val="0"/>
          <w:numId w:val="11"/>
        </w:numPr>
      </w:pPr>
      <w:r>
        <w:rPr>
          <w:b/>
          <w:bCs/>
        </w:rPr>
        <w:t>I</w:t>
      </w:r>
      <w:r w:rsidRPr="00DE3AAD">
        <w:rPr>
          <w:b/>
          <w:bCs/>
        </w:rPr>
        <w:t xml:space="preserve">nitier </w:t>
      </w:r>
      <w:r w:rsidR="00DE3AAD" w:rsidRPr="00DE3AAD">
        <w:rPr>
          <w:b/>
          <w:bCs/>
        </w:rPr>
        <w:t>la mise en place d'une démarche</w:t>
      </w:r>
      <w:r w:rsidR="00DE3AAD" w:rsidRPr="00DE3AAD">
        <w:t xml:space="preserve"> d'accessibilité numérique et la déployer ;</w:t>
      </w:r>
    </w:p>
    <w:p w14:paraId="50998560" w14:textId="26D24A60" w:rsidR="00DE3AAD" w:rsidRPr="00DE3AAD" w:rsidRDefault="00C16A87">
      <w:pPr>
        <w:pStyle w:val="Paragraphedeliste"/>
        <w:numPr>
          <w:ilvl w:val="0"/>
          <w:numId w:val="11"/>
        </w:numPr>
      </w:pPr>
      <w:r>
        <w:rPr>
          <w:b/>
          <w:bCs/>
        </w:rPr>
        <w:t>C</w:t>
      </w:r>
      <w:r w:rsidR="00DE3AAD" w:rsidRPr="00DE3AAD">
        <w:rPr>
          <w:b/>
          <w:bCs/>
        </w:rPr>
        <w:t>onstruire des indicateurs et des processus de contrôle de la performance</w:t>
      </w:r>
      <w:r w:rsidR="00DE3AAD" w:rsidRPr="00DE3AAD">
        <w:t xml:space="preserve"> de la politique accessibilité numérique et superviser le pilotage et l'atteinte des objectifs ;</w:t>
      </w:r>
    </w:p>
    <w:p w14:paraId="2C9EA624" w14:textId="37F90BA1" w:rsidR="00DE3AAD" w:rsidRPr="00DE3AAD" w:rsidRDefault="00C16A87">
      <w:pPr>
        <w:pStyle w:val="Paragraphedeliste"/>
        <w:numPr>
          <w:ilvl w:val="0"/>
          <w:numId w:val="11"/>
        </w:numPr>
      </w:pPr>
      <w:r>
        <w:rPr>
          <w:b/>
          <w:bCs/>
        </w:rPr>
        <w:t>O</w:t>
      </w:r>
      <w:r w:rsidR="00DE3AAD" w:rsidRPr="00DE3AAD">
        <w:rPr>
          <w:b/>
          <w:bCs/>
        </w:rPr>
        <w:t>rganiser des campagnes de sensibilisation, de formation et d’acculturation</w:t>
      </w:r>
      <w:r w:rsidR="00DE3AAD" w:rsidRPr="00DE3AAD">
        <w:t xml:space="preserve"> à l'accessibilité numérique auprès des différentes parties prenantes et favoriser leur montée en compétence sur le long terme, </w:t>
      </w:r>
      <w:r w:rsidR="007256CE">
        <w:t>sur les plans</w:t>
      </w:r>
      <w:r w:rsidR="00DE3AAD" w:rsidRPr="00DE3AAD">
        <w:t xml:space="preserve"> méthodologique</w:t>
      </w:r>
      <w:r w:rsidR="007256CE">
        <w:t xml:space="preserve"> </w:t>
      </w:r>
      <w:r w:rsidR="00DE3AAD" w:rsidRPr="00DE3AAD">
        <w:t>et organisationnel ;</w:t>
      </w:r>
    </w:p>
    <w:p w14:paraId="5D588CFE" w14:textId="31A73942" w:rsidR="00DE3AAD" w:rsidRPr="00DE3AAD" w:rsidRDefault="00C16A87">
      <w:pPr>
        <w:pStyle w:val="Paragraphedeliste"/>
        <w:numPr>
          <w:ilvl w:val="0"/>
          <w:numId w:val="11"/>
        </w:numPr>
      </w:pPr>
      <w:r>
        <w:rPr>
          <w:b/>
          <w:bCs/>
        </w:rPr>
        <w:t>A</w:t>
      </w:r>
      <w:r w:rsidR="00DE3AAD" w:rsidRPr="00DE3AAD">
        <w:rPr>
          <w:b/>
          <w:bCs/>
        </w:rPr>
        <w:t>ssurer une veille continue</w:t>
      </w:r>
      <w:r w:rsidR="00DE3AAD" w:rsidRPr="00DE3AAD">
        <w:t xml:space="preserve"> et adapter la politique </w:t>
      </w:r>
      <w:r>
        <w:t>d’</w:t>
      </w:r>
      <w:r w:rsidR="00DE3AAD" w:rsidRPr="00DE3AAD">
        <w:t xml:space="preserve">accessibilité numérique aux contraintes réglementaires et normatives, notamment en </w:t>
      </w:r>
      <w:r>
        <w:t>termes</w:t>
      </w:r>
      <w:r w:rsidRPr="00DE3AAD">
        <w:t xml:space="preserve"> </w:t>
      </w:r>
      <w:r w:rsidR="00DE3AAD" w:rsidRPr="00DE3AAD">
        <w:t xml:space="preserve">de moyens à mettre en </w:t>
      </w:r>
      <w:r w:rsidR="00321F26" w:rsidRPr="00DE3AAD">
        <w:t>œuvre</w:t>
      </w:r>
      <w:r w:rsidR="00DE3AAD" w:rsidRPr="00DE3AAD">
        <w:t xml:space="preserve"> ;</w:t>
      </w:r>
    </w:p>
    <w:p w14:paraId="2925C4EA" w14:textId="087C7644" w:rsidR="00DE3AAD" w:rsidRPr="00DE3AAD" w:rsidRDefault="00C16A87">
      <w:pPr>
        <w:pStyle w:val="Paragraphedeliste"/>
        <w:numPr>
          <w:ilvl w:val="0"/>
          <w:numId w:val="11"/>
        </w:numPr>
      </w:pPr>
      <w:r>
        <w:rPr>
          <w:b/>
          <w:bCs/>
        </w:rPr>
        <w:t>A</w:t>
      </w:r>
      <w:r w:rsidR="00DE3AAD" w:rsidRPr="00DE3AAD">
        <w:rPr>
          <w:b/>
          <w:bCs/>
        </w:rPr>
        <w:t xml:space="preserve">ssurer un </w:t>
      </w:r>
      <w:proofErr w:type="spellStart"/>
      <w:r w:rsidR="00DE3AAD" w:rsidRPr="00DE3AAD">
        <w:rPr>
          <w:b/>
          <w:bCs/>
          <w:i/>
          <w:iCs/>
        </w:rPr>
        <w:t>reporting</w:t>
      </w:r>
      <w:proofErr w:type="spellEnd"/>
      <w:r w:rsidR="00DE3AAD" w:rsidRPr="00DE3AAD">
        <w:rPr>
          <w:b/>
          <w:bCs/>
        </w:rPr>
        <w:t xml:space="preserve"> adapté</w:t>
      </w:r>
      <w:r w:rsidR="00DE3AAD" w:rsidRPr="00DE3AAD">
        <w:t xml:space="preserve"> aux différentes parties prenantes.</w:t>
      </w:r>
    </w:p>
    <w:p w14:paraId="29001A47" w14:textId="153DBF5D" w:rsidR="00DE3AAD" w:rsidRPr="00DE3AAD" w:rsidRDefault="00DE3AAD" w:rsidP="00DE3AAD">
      <w:pPr>
        <w:rPr>
          <w:lang w:eastAsia="fr-FR"/>
        </w:rPr>
      </w:pPr>
      <w:r w:rsidRPr="00DE3AAD">
        <w:rPr>
          <w:lang w:eastAsia="fr-FR"/>
        </w:rPr>
        <w:lastRenderedPageBreak/>
        <w:t>Plusieurs exemples de fiche</w:t>
      </w:r>
      <w:r w:rsidR="00861CFD">
        <w:rPr>
          <w:lang w:eastAsia="fr-FR"/>
        </w:rPr>
        <w:t>s</w:t>
      </w:r>
      <w:r w:rsidRPr="00DE3AAD">
        <w:rPr>
          <w:lang w:eastAsia="fr-FR"/>
        </w:rPr>
        <w:t xml:space="preserve"> de poste d</w:t>
      </w:r>
      <w:r w:rsidR="00861CFD">
        <w:rPr>
          <w:lang w:eastAsia="fr-FR"/>
        </w:rPr>
        <w:t>e</w:t>
      </w:r>
      <w:r w:rsidRPr="00DE3AAD">
        <w:rPr>
          <w:lang w:eastAsia="fr-FR"/>
        </w:rPr>
        <w:t xml:space="preserve"> référent accessibilité numérique </w:t>
      </w:r>
      <w:r w:rsidR="00861CFD">
        <w:rPr>
          <w:lang w:eastAsia="fr-FR"/>
        </w:rPr>
        <w:t>(</w:t>
      </w:r>
      <w:r w:rsidRPr="00DE3AAD">
        <w:rPr>
          <w:lang w:eastAsia="fr-FR"/>
        </w:rPr>
        <w:t>mais aussi d’experts, de consultants ou de testeurs</w:t>
      </w:r>
      <w:r w:rsidR="00861CFD">
        <w:rPr>
          <w:lang w:eastAsia="fr-FR"/>
        </w:rPr>
        <w:t>)</w:t>
      </w:r>
      <w:r w:rsidRPr="00DE3AAD">
        <w:rPr>
          <w:lang w:eastAsia="fr-FR"/>
        </w:rPr>
        <w:t xml:space="preserve"> sont proposés dans l’étude OPIIEC « Produire des contenus et services respectant les normes d’accessibilité numérique »</w:t>
      </w:r>
      <w:r>
        <w:rPr>
          <w:rStyle w:val="Appelnotedebasdep"/>
          <w:lang w:eastAsia="fr-FR"/>
        </w:rPr>
        <w:footnoteReference w:id="15"/>
      </w:r>
      <w:r w:rsidRPr="00DE3AAD">
        <w:rPr>
          <w:lang w:eastAsia="fr-FR"/>
        </w:rPr>
        <w:t>. </w:t>
      </w:r>
    </w:p>
    <w:p w14:paraId="793F453A" w14:textId="646A4AC8" w:rsidR="003630AF" w:rsidRDefault="00861CFD" w:rsidP="00DE3AAD">
      <w:pPr>
        <w:rPr>
          <w:lang w:eastAsia="fr-FR"/>
        </w:rPr>
      </w:pPr>
      <w:r>
        <w:rPr>
          <w:b/>
          <w:bCs/>
          <w:lang w:eastAsia="fr-FR"/>
        </w:rPr>
        <w:t>La</w:t>
      </w:r>
      <w:r w:rsidR="00DE3AAD" w:rsidRPr="00DE3AAD">
        <w:rPr>
          <w:b/>
          <w:bCs/>
          <w:lang w:eastAsia="fr-FR"/>
        </w:rPr>
        <w:t xml:space="preserve"> détermination du rattachement du référent accessibilité numérique</w:t>
      </w:r>
      <w:r w:rsidR="00DE3AAD" w:rsidRPr="00DE3AAD">
        <w:rPr>
          <w:lang w:eastAsia="fr-FR"/>
        </w:rPr>
        <w:t xml:space="preserve"> constitue </w:t>
      </w:r>
      <w:r>
        <w:rPr>
          <w:lang w:eastAsia="fr-FR"/>
        </w:rPr>
        <w:t>la seconde</w:t>
      </w:r>
      <w:r w:rsidRPr="00DE3AAD">
        <w:rPr>
          <w:lang w:eastAsia="fr-FR"/>
        </w:rPr>
        <w:t xml:space="preserve"> </w:t>
      </w:r>
      <w:r w:rsidR="00DE3AAD" w:rsidRPr="00DE3AAD">
        <w:rPr>
          <w:lang w:eastAsia="fr-FR"/>
        </w:rPr>
        <w:t xml:space="preserve">étape importante de la structuration de la feuille de route. Pour </w:t>
      </w:r>
      <w:r w:rsidR="001D5419">
        <w:rPr>
          <w:lang w:eastAsia="fr-FR"/>
        </w:rPr>
        <w:t>la plupart des</w:t>
      </w:r>
      <w:r w:rsidR="00DE3AAD" w:rsidRPr="00DE3AAD">
        <w:rPr>
          <w:lang w:eastAsia="fr-FR"/>
        </w:rPr>
        <w:t xml:space="preserve"> organisations</w:t>
      </w:r>
      <w:r w:rsidR="007256CE">
        <w:rPr>
          <w:lang w:eastAsia="fr-FR"/>
        </w:rPr>
        <w:t xml:space="preserve"> du groupe de travail</w:t>
      </w:r>
      <w:r w:rsidR="00DE3AAD" w:rsidRPr="00DE3AAD">
        <w:rPr>
          <w:lang w:eastAsia="fr-FR"/>
        </w:rPr>
        <w:t xml:space="preserve">, l'accessibilité numérique </w:t>
      </w:r>
      <w:r>
        <w:rPr>
          <w:lang w:eastAsia="fr-FR"/>
        </w:rPr>
        <w:t>fait partie de</w:t>
      </w:r>
      <w:r w:rsidRPr="00DE3AAD">
        <w:rPr>
          <w:lang w:eastAsia="fr-FR"/>
        </w:rPr>
        <w:t xml:space="preserve"> </w:t>
      </w:r>
      <w:r w:rsidR="00DE3AAD" w:rsidRPr="00DE3AAD">
        <w:rPr>
          <w:lang w:eastAsia="fr-FR"/>
        </w:rPr>
        <w:t>la politique d’inclusion portée par les stratégies RSE du département des ressources humaines. La démarche complète d’accessibilité est alors intégrée, au même titre que l’éco-conception environnementale, dans une «</w:t>
      </w:r>
      <w:r>
        <w:rPr>
          <w:lang w:eastAsia="fr-FR"/>
        </w:rPr>
        <w:t> </w:t>
      </w:r>
      <w:r w:rsidR="00DE3AAD" w:rsidRPr="00DE3AAD">
        <w:rPr>
          <w:lang w:eastAsia="fr-FR"/>
        </w:rPr>
        <w:t>conception du numérique responsable</w:t>
      </w:r>
      <w:r>
        <w:rPr>
          <w:lang w:eastAsia="fr-FR"/>
        </w:rPr>
        <w:t> </w:t>
      </w:r>
      <w:r w:rsidR="00DE3AAD" w:rsidRPr="00DE3AAD">
        <w:rPr>
          <w:lang w:eastAsia="fr-FR"/>
        </w:rPr>
        <w:t xml:space="preserve">» appliquée à tous les produits et services de l’organisation. </w:t>
      </w:r>
    </w:p>
    <w:p w14:paraId="03FCE466" w14:textId="0F0EB6E4" w:rsidR="00DE3AAD" w:rsidRPr="00DE3AAD" w:rsidRDefault="00DE3AAD" w:rsidP="00DE3AAD">
      <w:pPr>
        <w:rPr>
          <w:lang w:eastAsia="fr-FR"/>
        </w:rPr>
      </w:pPr>
      <w:r w:rsidRPr="00DE3AAD">
        <w:rPr>
          <w:lang w:eastAsia="fr-FR"/>
        </w:rPr>
        <w:t>Quel que soit le modèle choisi et le département de rattachement effectif du référent (DSI, RH, RSE, Communication, Conformité-Juridique</w:t>
      </w:r>
      <w:r w:rsidR="001D5419">
        <w:rPr>
          <w:lang w:eastAsia="fr-FR"/>
        </w:rPr>
        <w:t>, ou autre</w:t>
      </w:r>
      <w:r w:rsidRPr="00DE3AAD">
        <w:rPr>
          <w:lang w:eastAsia="fr-FR"/>
        </w:rPr>
        <w:t>), le sujet de l’accessibilité doit pouvoir conserver son caractère transversal et mobiliser les différents départements de l’organisation. </w:t>
      </w:r>
    </w:p>
    <w:p w14:paraId="68DAE54D" w14:textId="2A64B327" w:rsidR="00B82EFD" w:rsidRDefault="00DE3AAD" w:rsidP="00DE3AAD">
      <w:pPr>
        <w:rPr>
          <w:lang w:eastAsia="fr-FR"/>
        </w:rPr>
      </w:pPr>
      <w:r w:rsidRPr="00DE3AAD">
        <w:rPr>
          <w:lang w:eastAsia="fr-FR"/>
        </w:rPr>
        <w:t>Le groupe de travail préconise cependant un positionnement élevé du référent (au niveau COMEX ou directement rattaché</w:t>
      </w:r>
      <w:r w:rsidR="007256CE">
        <w:rPr>
          <w:lang w:eastAsia="fr-FR"/>
        </w:rPr>
        <w:t xml:space="preserve"> à la RSE</w:t>
      </w:r>
      <w:r w:rsidRPr="00DE3AAD">
        <w:rPr>
          <w:lang w:eastAsia="fr-FR"/>
        </w:rPr>
        <w:t xml:space="preserve">), seul niveau permettant de garantir un pouvoir d'arbitrage, d’influence et d’exécution de ses missions, mais aussi d'accès aux ressources et, </w:t>
      </w:r>
      <w:r w:rsidRPr="00DE3AAD">
        <w:rPr>
          <w:i/>
          <w:iCs/>
          <w:lang w:eastAsia="fr-FR"/>
        </w:rPr>
        <w:t>in fine</w:t>
      </w:r>
      <w:r w:rsidRPr="00DE3AAD">
        <w:rPr>
          <w:lang w:eastAsia="fr-FR"/>
        </w:rPr>
        <w:t>, d'impulsion nécessaire pour une démarche transversale.</w:t>
      </w:r>
      <w:r w:rsidR="00E732C2">
        <w:rPr>
          <w:lang w:eastAsia="fr-FR"/>
        </w:rPr>
        <w:t xml:space="preserve"> </w:t>
      </w:r>
      <w:r w:rsidR="00B82EFD">
        <w:rPr>
          <w:lang w:eastAsia="fr-FR"/>
        </w:rPr>
        <w:t xml:space="preserve">Dans certaines grandes organisations, l’accessibilité numérique est déjà, parmi d’autres métriques, un critère d’attribution de bonus pour les membres du </w:t>
      </w:r>
      <w:proofErr w:type="spellStart"/>
      <w:r w:rsidR="00B82EFD">
        <w:rPr>
          <w:lang w:eastAsia="fr-FR"/>
        </w:rPr>
        <w:t>COMEX</w:t>
      </w:r>
      <w:r w:rsidR="00162462">
        <w:rPr>
          <w:lang w:eastAsia="fr-FR"/>
        </w:rPr>
        <w:t>s</w:t>
      </w:r>
      <w:proofErr w:type="spellEnd"/>
      <w:r w:rsidR="00B82EFD">
        <w:rPr>
          <w:lang w:eastAsia="fr-FR"/>
        </w:rPr>
        <w:t>.</w:t>
      </w:r>
    </w:p>
    <w:p w14:paraId="01A6B395" w14:textId="5D57FEE4" w:rsidR="00347A74" w:rsidRDefault="00DE3AAD">
      <w:pPr>
        <w:rPr>
          <w:lang w:eastAsia="fr-FR"/>
        </w:rPr>
      </w:pPr>
      <w:r w:rsidRPr="00DE3AAD">
        <w:rPr>
          <w:lang w:eastAsia="fr-FR"/>
        </w:rPr>
        <w:t>Il est à noter que le règlement du RGAA impose l’obligation d’avoir un référent accessibilité numérique, mais ne le restreint pas à une personne. Cela peut être aussi un comité</w:t>
      </w:r>
      <w:r w:rsidR="00861CFD">
        <w:rPr>
          <w:lang w:eastAsia="fr-FR"/>
        </w:rPr>
        <w:t xml:space="preserve"> ou</w:t>
      </w:r>
      <w:r w:rsidRPr="00DE3AAD">
        <w:rPr>
          <w:lang w:eastAsia="fr-FR"/>
        </w:rPr>
        <w:t xml:space="preserve"> un réseau de référents.</w:t>
      </w:r>
      <w:r w:rsidR="00977670">
        <w:rPr>
          <w:lang w:eastAsia="fr-FR"/>
        </w:rPr>
        <w:t xml:space="preserve"> </w:t>
      </w:r>
      <w:bookmarkStart w:id="33" w:name="_Toc230257724"/>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977670" w:rsidRPr="00C43137" w14:paraId="6CACA2D2" w14:textId="77777777" w:rsidTr="00072B81">
        <w:trPr>
          <w:jc w:val="center"/>
        </w:trPr>
        <w:tc>
          <w:tcPr>
            <w:tcW w:w="9157" w:type="dxa"/>
            <w:tcBorders>
              <w:left w:val="single" w:sz="18" w:space="0" w:color="155E48"/>
            </w:tcBorders>
            <w:shd w:val="clear" w:color="auto" w:fill="F2F2F2" w:themeFill="background1" w:themeFillShade="F2"/>
          </w:tcPr>
          <w:p w14:paraId="3B618651" w14:textId="24418C0E" w:rsidR="00977670" w:rsidRDefault="00977670" w:rsidP="00E00CED">
            <w:pPr>
              <w:pStyle w:val="TitreEncart"/>
            </w:pPr>
            <w:r>
              <w:lastRenderedPageBreak/>
              <w:t>REX ENEDIS</w:t>
            </w:r>
            <w:bookmarkEnd w:id="33"/>
          </w:p>
          <w:p w14:paraId="276A990F" w14:textId="63591936" w:rsidR="00977670" w:rsidRPr="007B2E61" w:rsidRDefault="00977670" w:rsidP="0033608D">
            <w:pPr>
              <w:pStyle w:val="TitreencartREX"/>
            </w:pPr>
            <w:r>
              <w:t>Rôle et missions de la référente Accessibilité numérique d’</w:t>
            </w:r>
            <w:r w:rsidRPr="00C14F66">
              <w:t>Enedis</w:t>
            </w:r>
          </w:p>
          <w:p w14:paraId="1799E2B4" w14:textId="28B463FD" w:rsidR="00FE2789" w:rsidRPr="00FE2789" w:rsidRDefault="00FE2789" w:rsidP="00347A74">
            <w:pPr>
              <w:pStyle w:val="Paragraphedeliste"/>
              <w:numPr>
                <w:ilvl w:val="0"/>
                <w:numId w:val="72"/>
              </w:numPr>
            </w:pPr>
            <w:r w:rsidRPr="00C26F62">
              <w:rPr>
                <w:b/>
                <w:bCs/>
              </w:rPr>
              <w:t>Piloter les audits d’accessibilité numérique des sites web d’Enedis</w:t>
            </w:r>
            <w:r w:rsidRPr="00FE2789">
              <w:t xml:space="preserve"> (priorisation aux sites essentiels aux usagers et aux sites les plus consultés)</w:t>
            </w:r>
            <w:r>
              <w:t> :</w:t>
            </w:r>
          </w:p>
          <w:p w14:paraId="059AD867" w14:textId="20A4DDCD" w:rsidR="00FE2789" w:rsidRPr="00FE2789" w:rsidRDefault="00DC3602" w:rsidP="00347A74">
            <w:r>
              <w:t>L</w:t>
            </w:r>
            <w:r w:rsidR="00FE2789" w:rsidRPr="00FE2789">
              <w:t xml:space="preserve">es audits d’accessibilité sont réalisés par des entreprises spécialistes du sujet dans le cadre d’un marché multi attributaire. </w:t>
            </w:r>
          </w:p>
          <w:p w14:paraId="206CA60F" w14:textId="57B89ED5" w:rsidR="00FE2789" w:rsidRPr="00FE2789" w:rsidRDefault="00C26F62" w:rsidP="00347A74">
            <w:r>
              <w:t>Ils</w:t>
            </w:r>
            <w:r w:rsidR="00FE2789" w:rsidRPr="00FE2789">
              <w:t xml:space="preserve"> sont </w:t>
            </w:r>
            <w:r>
              <w:t>effectués sur</w:t>
            </w:r>
            <w:r w:rsidR="00FE2789" w:rsidRPr="00FE2789">
              <w:t xml:space="preserve"> les sites web et applications mobiles prioritaires : les services numériques externes ouverts au public et les services numériques internes indispensables pour les collaborateurs et prestataires d’Enedis</w:t>
            </w:r>
          </w:p>
          <w:p w14:paraId="032B6199" w14:textId="71C09202" w:rsidR="00FE2789" w:rsidRDefault="00FE2789" w:rsidP="00347A74">
            <w:r w:rsidRPr="00FE2789">
              <w:t xml:space="preserve">Dans le cadre de </w:t>
            </w:r>
            <w:r w:rsidR="00321F26">
              <w:t>s</w:t>
            </w:r>
            <w:r w:rsidRPr="00FE2789">
              <w:t>a labélisation</w:t>
            </w:r>
            <w:r w:rsidR="00321F26">
              <w:t xml:space="preserve"> « Numérique Responsable »</w:t>
            </w:r>
            <w:r w:rsidRPr="00FE2789">
              <w:t xml:space="preserve">, Enedis s’engage à ce que les sites audités obtiennent un taux de conformité de 70% minimum. </w:t>
            </w:r>
          </w:p>
          <w:p w14:paraId="406ED4E7" w14:textId="50181D8E" w:rsidR="00FE2789" w:rsidRPr="004B1B58" w:rsidRDefault="00FE2789" w:rsidP="00347A74">
            <w:pPr>
              <w:pStyle w:val="Paragraphedeliste"/>
              <w:numPr>
                <w:ilvl w:val="0"/>
                <w:numId w:val="72"/>
              </w:numPr>
              <w:rPr>
                <w:b/>
                <w:bCs/>
              </w:rPr>
            </w:pPr>
            <w:r w:rsidRPr="004B1B58">
              <w:rPr>
                <w:b/>
                <w:bCs/>
              </w:rPr>
              <w:t>Rédiger et faire publier le schéma pluriannuel d’Enedis :</w:t>
            </w:r>
          </w:p>
          <w:p w14:paraId="1CCB70F4" w14:textId="67AE17C4" w:rsidR="00FE2789" w:rsidRDefault="00FE2789" w:rsidP="00347A74">
            <w:r>
              <w:t>En 2024, Enedis a publié son premier schéma pluriannuel</w:t>
            </w:r>
            <w:r>
              <w:rPr>
                <w:rStyle w:val="Appelnotedebasdep"/>
              </w:rPr>
              <w:footnoteReference w:id="16"/>
            </w:r>
            <w:r>
              <w:t xml:space="preserve"> (disponible sur le site institutionnel enedis.fr). Tous les ans</w:t>
            </w:r>
            <w:r w:rsidR="00C26F62">
              <w:t>,</w:t>
            </w:r>
            <w:r>
              <w:t xml:space="preserve"> Enedis publie son plan d’action pour l’année en cours </w:t>
            </w:r>
            <w:r w:rsidR="00C26F62">
              <w:t>ainsi que</w:t>
            </w:r>
            <w:r>
              <w:t xml:space="preserve"> le bilan du plan d’action de l’année précédente.</w:t>
            </w:r>
          </w:p>
          <w:p w14:paraId="43B8FA69" w14:textId="4D2D9248" w:rsidR="00FE2789" w:rsidRDefault="00FE2789" w:rsidP="00347A74">
            <w:r>
              <w:t>La référente a la charge de suivre et de publier les bilans et les plans d’action. Elle devra également rédiger, en coordination avec la Direction Impact et Communication et Mission Diversité</w:t>
            </w:r>
            <w:r w:rsidR="00C26F62">
              <w:t>,</w:t>
            </w:r>
            <w:r>
              <w:t xml:space="preserve"> en charge de l’offre </w:t>
            </w:r>
            <w:r w:rsidR="004B1B58">
              <w:t>« </w:t>
            </w:r>
            <w:r>
              <w:t>matériel</w:t>
            </w:r>
            <w:r w:rsidR="004B1B58">
              <w:t> »</w:t>
            </w:r>
            <w:r>
              <w:t xml:space="preserve"> pour les salariés RQTH de l’entreprise, le schéma pluriannuel pour 2027-2029.</w:t>
            </w:r>
          </w:p>
          <w:p w14:paraId="75C31D3E" w14:textId="5DC62BDB" w:rsidR="00FE2789" w:rsidRPr="00DC3602" w:rsidRDefault="00FE2789" w:rsidP="00347A74">
            <w:pPr>
              <w:pStyle w:val="Paragraphedeliste"/>
              <w:numPr>
                <w:ilvl w:val="0"/>
                <w:numId w:val="72"/>
              </w:numPr>
              <w:rPr>
                <w:b/>
                <w:bCs/>
              </w:rPr>
            </w:pPr>
            <w:r w:rsidRPr="00DC3602">
              <w:rPr>
                <w:b/>
                <w:bCs/>
              </w:rPr>
              <w:t>S’assurer du bon avancement des engagements 7 et 12 du label Numérique Responsable :</w:t>
            </w:r>
          </w:p>
          <w:p w14:paraId="6412582F" w14:textId="7A1C1CC0" w:rsidR="00FE2789" w:rsidRDefault="00FE2789" w:rsidP="00347A74">
            <w:r>
              <w:t>La référente s’assure que les engagements 7 et 12 (voir § Engagements accessibilité numérique dans le cadre de la labélisation Numérique Responsable</w:t>
            </w:r>
            <w:r w:rsidR="00321F26">
              <w:t xml:space="preserve"> à la page </w:t>
            </w:r>
            <w:r w:rsidR="00875CEE">
              <w:t>20</w:t>
            </w:r>
            <w:r>
              <w:t>) avancent selon le planning et les objectifs établis par le Programme Numérique Responsable.</w:t>
            </w:r>
          </w:p>
          <w:p w14:paraId="2ECDF0EC" w14:textId="7867E39D" w:rsidR="00FE2789" w:rsidRPr="004B1B58" w:rsidRDefault="00FE2789" w:rsidP="00347A74">
            <w:pPr>
              <w:pStyle w:val="Paragraphedeliste"/>
              <w:numPr>
                <w:ilvl w:val="0"/>
                <w:numId w:val="72"/>
              </w:numPr>
              <w:rPr>
                <w:b/>
                <w:bCs/>
              </w:rPr>
            </w:pPr>
            <w:r w:rsidRPr="004B1B58">
              <w:rPr>
                <w:b/>
                <w:bCs/>
              </w:rPr>
              <w:t xml:space="preserve">Sensibiliser les </w:t>
            </w:r>
            <w:r w:rsidR="00DD2D5E" w:rsidRPr="004B1B58">
              <w:rPr>
                <w:b/>
                <w:bCs/>
              </w:rPr>
              <w:t xml:space="preserve">« </w:t>
            </w:r>
            <w:r w:rsidRPr="004B1B58">
              <w:rPr>
                <w:b/>
                <w:bCs/>
              </w:rPr>
              <w:t>faiseurs</w:t>
            </w:r>
            <w:r w:rsidR="00DD2D5E" w:rsidRPr="004B1B58">
              <w:rPr>
                <w:b/>
                <w:bCs/>
              </w:rPr>
              <w:t xml:space="preserve"> »</w:t>
            </w:r>
            <w:r w:rsidRPr="004B1B58">
              <w:rPr>
                <w:b/>
                <w:bCs/>
              </w:rPr>
              <w:t xml:space="preserve"> du SI à l’accessibilité numérique :</w:t>
            </w:r>
          </w:p>
          <w:p w14:paraId="2DA04C27" w14:textId="0A30FF50" w:rsidR="00FE2789" w:rsidRDefault="00FE2789" w:rsidP="00347A74">
            <w:r>
              <w:t xml:space="preserve">La référente organise tous les mois une session de 2h sur le sujet de l’accessibilité numérique, ouverte à tous les salariés et prestataires de la DSI d’Enedis. Cette sensibilisation a </w:t>
            </w:r>
            <w:r w:rsidR="00A338D9">
              <w:t>un triple objectif</w:t>
            </w:r>
            <w:r w:rsidR="00DD2D5E">
              <w:t> :</w:t>
            </w:r>
            <w:r w:rsidR="00A338D9">
              <w:t xml:space="preserve"> </w:t>
            </w:r>
            <w:r w:rsidR="00DD2D5E">
              <w:t>f</w:t>
            </w:r>
            <w:r w:rsidR="00A338D9">
              <w:t>aire c</w:t>
            </w:r>
            <w:r w:rsidR="00A338D9" w:rsidRPr="00A338D9">
              <w:t xml:space="preserve">omprendre le </w:t>
            </w:r>
            <w:r w:rsidR="00DD2D5E">
              <w:t xml:space="preserve">« </w:t>
            </w:r>
            <w:r w:rsidR="00A338D9" w:rsidRPr="00A338D9">
              <w:t>pourquoi</w:t>
            </w:r>
            <w:r w:rsidR="00DD2D5E">
              <w:t xml:space="preserve"> »</w:t>
            </w:r>
            <w:r w:rsidR="00A338D9" w:rsidRPr="00A338D9">
              <w:t xml:space="preserve"> et les enjeux de l'accessibilité numérique</w:t>
            </w:r>
            <w:r w:rsidR="00A338D9">
              <w:t xml:space="preserve">, rappeler « qui » </w:t>
            </w:r>
            <w:r>
              <w:t>doit faire de l’accessibilité numérique</w:t>
            </w:r>
            <w:r w:rsidR="00A338D9">
              <w:t>,</w:t>
            </w:r>
            <w:r w:rsidR="00DD2D5E">
              <w:t xml:space="preserve"> et</w:t>
            </w:r>
            <w:r w:rsidR="00A338D9">
              <w:t xml:space="preserve"> </w:t>
            </w:r>
            <w:r w:rsidR="00807EA3">
              <w:t xml:space="preserve">présenter </w:t>
            </w:r>
            <w:r>
              <w:t>les outils mis à disposition pour que les projets et les services numériques soient le plus accessibles possibles.</w:t>
            </w:r>
          </w:p>
          <w:p w14:paraId="5E390FDE" w14:textId="77777777" w:rsidR="008D0F0D" w:rsidRDefault="00FE2789" w:rsidP="008D0F0D">
            <w:r>
              <w:t xml:space="preserve">En complément de ces sessions de sensibilisation le programme </w:t>
            </w:r>
            <w:r w:rsidR="00272ECA">
              <w:t>N</w:t>
            </w:r>
            <w:r>
              <w:t xml:space="preserve">umérique </w:t>
            </w:r>
            <w:r w:rsidR="00272ECA">
              <w:t>R</w:t>
            </w:r>
            <w:r>
              <w:t>esponsable organise des webinaires mensuels de 30 minutes sur différents sujets en lien avec le Numérique Responsable.</w:t>
            </w:r>
            <w:r w:rsidR="00347A74">
              <w:t xml:space="preserve"> </w:t>
            </w:r>
          </w:p>
          <w:p w14:paraId="02DEF847" w14:textId="77777777" w:rsidR="008D0F0D" w:rsidRDefault="008D0F0D" w:rsidP="008D0F0D"/>
          <w:p w14:paraId="123F0250" w14:textId="246CF425" w:rsidR="00FE2789" w:rsidRDefault="00FE2789" w:rsidP="008D0F0D">
            <w:r>
              <w:lastRenderedPageBreak/>
              <w:t xml:space="preserve">Exemples </w:t>
            </w:r>
            <w:r w:rsidR="00B93F72">
              <w:t xml:space="preserve">de webinaires </w:t>
            </w:r>
            <w:r>
              <w:t>:</w:t>
            </w:r>
          </w:p>
          <w:p w14:paraId="16486F56" w14:textId="1DEA2E6F" w:rsidR="00FE2789" w:rsidRDefault="00DC3602" w:rsidP="00347A74">
            <w:pPr>
              <w:pStyle w:val="Paragraphedeliste"/>
              <w:keepNext/>
              <w:keepLines/>
              <w:numPr>
                <w:ilvl w:val="0"/>
                <w:numId w:val="64"/>
              </w:numPr>
              <w:ind w:left="714" w:hanging="357"/>
              <w:contextualSpacing w:val="0"/>
            </w:pPr>
            <w:r>
              <w:t xml:space="preserve">« </w:t>
            </w:r>
            <w:r w:rsidR="00FE2789">
              <w:t>L'offre RQTH et l'accessibilité numérique</w:t>
            </w:r>
            <w:r>
              <w:t xml:space="preserve"> »</w:t>
            </w:r>
            <w:r w:rsidR="00FE2789">
              <w:t> ;</w:t>
            </w:r>
          </w:p>
          <w:p w14:paraId="73E3F986" w14:textId="476C8D92" w:rsidR="00FE2789" w:rsidRDefault="00DC3602" w:rsidP="00347A74">
            <w:pPr>
              <w:pStyle w:val="Paragraphedeliste"/>
              <w:keepNext/>
              <w:keepLines/>
              <w:numPr>
                <w:ilvl w:val="0"/>
                <w:numId w:val="64"/>
              </w:numPr>
              <w:ind w:left="714" w:hanging="357"/>
              <w:contextualSpacing w:val="0"/>
            </w:pPr>
            <w:r>
              <w:t xml:space="preserve">« </w:t>
            </w:r>
            <w:r w:rsidR="00FE2789">
              <w:t>Infobésité et collaboration numérique : retour d’expérience de la Direction Régionale Centre Val de Loire </w:t>
            </w:r>
            <w:r>
              <w:t xml:space="preserve">» </w:t>
            </w:r>
            <w:r w:rsidR="00FE2789">
              <w:t>;</w:t>
            </w:r>
          </w:p>
          <w:p w14:paraId="0BE88E3B" w14:textId="1D0D97AC" w:rsidR="00FE2789" w:rsidRDefault="00DC3602" w:rsidP="00347A74">
            <w:pPr>
              <w:pStyle w:val="Paragraphedeliste"/>
              <w:keepNext/>
              <w:keepLines/>
              <w:numPr>
                <w:ilvl w:val="0"/>
                <w:numId w:val="64"/>
              </w:numPr>
              <w:ind w:left="714" w:hanging="357"/>
              <w:contextualSpacing w:val="0"/>
            </w:pPr>
            <w:r>
              <w:t xml:space="preserve">« </w:t>
            </w:r>
            <w:r w:rsidR="00FE2789">
              <w:t>Concevoir des solutions numériques utiles, durables et accessibles : décryptage et témoignages d'équipes projets SI</w:t>
            </w:r>
            <w:r>
              <w:t xml:space="preserve"> ».</w:t>
            </w:r>
          </w:p>
          <w:p w14:paraId="73A52D58" w14:textId="565D380A" w:rsidR="00FE2789" w:rsidRPr="004B1B58" w:rsidRDefault="00FE2789" w:rsidP="00347A74">
            <w:pPr>
              <w:pStyle w:val="Paragraphedeliste"/>
              <w:keepNext/>
              <w:keepLines/>
              <w:numPr>
                <w:ilvl w:val="0"/>
                <w:numId w:val="72"/>
              </w:numPr>
              <w:rPr>
                <w:b/>
                <w:bCs/>
              </w:rPr>
            </w:pPr>
            <w:r w:rsidRPr="004B1B58">
              <w:rPr>
                <w:b/>
                <w:bCs/>
              </w:rPr>
              <w:t xml:space="preserve">Faire réaliser les audits d’accessibilité </w:t>
            </w:r>
            <w:r w:rsidR="00B93F72" w:rsidRPr="004B1B58">
              <w:rPr>
                <w:b/>
                <w:bCs/>
              </w:rPr>
              <w:t>f</w:t>
            </w:r>
            <w:r w:rsidRPr="004B1B58">
              <w:rPr>
                <w:b/>
                <w:bCs/>
              </w:rPr>
              <w:t xml:space="preserve">lash </w:t>
            </w:r>
            <w:r w:rsidR="00B93F72">
              <w:rPr>
                <w:rStyle w:val="Appelnotedebasdep"/>
                <w:b/>
                <w:bCs/>
              </w:rPr>
              <w:footnoteReference w:id="17"/>
            </w:r>
            <w:r w:rsidRPr="004B1B58">
              <w:rPr>
                <w:b/>
                <w:bCs/>
              </w:rPr>
              <w:t>de la DINUM aux projets SI dans le cadre de la conception responsable :</w:t>
            </w:r>
          </w:p>
          <w:p w14:paraId="22C986DA" w14:textId="4F487A26" w:rsidR="00FE2789" w:rsidRDefault="00FE2789" w:rsidP="00347A74">
            <w:pPr>
              <w:keepNext/>
              <w:keepLines/>
            </w:pPr>
            <w:r>
              <w:t xml:space="preserve">Le programme </w:t>
            </w:r>
            <w:r w:rsidR="00272ECA">
              <w:t>N</w:t>
            </w:r>
            <w:r>
              <w:t xml:space="preserve">umérique </w:t>
            </w:r>
            <w:r w:rsidR="00272ECA">
              <w:t>R</w:t>
            </w:r>
            <w:r>
              <w:t xml:space="preserve">esponsable accompagne les projets pour faire de la conception responsable. Chez Enedis, la conception responsable est définie par la prise en compte des règles d’éco-conception et des règles d’accessibilité numérique. </w:t>
            </w:r>
          </w:p>
          <w:p w14:paraId="49A3E9CF" w14:textId="0BEB7332" w:rsidR="00FE2789" w:rsidRDefault="00FE2789" w:rsidP="00347A74">
            <w:r>
              <w:t>Dans ce cadre, la référente accompagne les projets dans la réalisation de diagnostic</w:t>
            </w:r>
            <w:r w:rsidR="004B1B58">
              <w:t>s</w:t>
            </w:r>
            <w:r>
              <w:t xml:space="preserve"> flash, à minima dans le cadre de leur recette technique, avant la réalisation d’un audit d’accessibilité le cas échéant.</w:t>
            </w:r>
          </w:p>
          <w:p w14:paraId="304D932D" w14:textId="6FF5D7B0" w:rsidR="00FE2789" w:rsidRPr="00FE2789" w:rsidRDefault="00FE2789" w:rsidP="00347A74">
            <w:pPr>
              <w:rPr>
                <w:b/>
                <w:bCs/>
              </w:rPr>
            </w:pPr>
            <w:r w:rsidRPr="00FE2789">
              <w:rPr>
                <w:b/>
                <w:bCs/>
              </w:rPr>
              <w:t>Ambition pour l’avenir</w:t>
            </w:r>
            <w:r>
              <w:rPr>
                <w:b/>
                <w:bCs/>
              </w:rPr>
              <w:t> :</w:t>
            </w:r>
          </w:p>
          <w:p w14:paraId="2B13EB2F" w14:textId="537D7B5A" w:rsidR="00FE2789" w:rsidRDefault="00FE2789" w:rsidP="00347A74">
            <w:r>
              <w:t xml:space="preserve">Actuellement, le sujet de l’’accessibilité numérique est piloté par le programme </w:t>
            </w:r>
            <w:r w:rsidR="00272ECA">
              <w:t>N</w:t>
            </w:r>
            <w:r>
              <w:t xml:space="preserve">umérique </w:t>
            </w:r>
            <w:r w:rsidR="00272ECA">
              <w:t>R</w:t>
            </w:r>
            <w:r>
              <w:t>esponsable</w:t>
            </w:r>
            <w:r w:rsidR="00B93F72">
              <w:t>,</w:t>
            </w:r>
            <w:r>
              <w:t xml:space="preserve"> et notamment par la référente accessibilité numérique</w:t>
            </w:r>
            <w:r w:rsidR="00B93F72">
              <w:t>,</w:t>
            </w:r>
            <w:r>
              <w:t xml:space="preserve"> pour tout Enedis.</w:t>
            </w:r>
          </w:p>
          <w:p w14:paraId="363228A4" w14:textId="512964A3" w:rsidR="00FE2789" w:rsidRDefault="00FE2789" w:rsidP="00347A74">
            <w:r>
              <w:t>Une fois le passage à l’échelle du numérique responsable dans un mode industriel et le programme numérique terminé</w:t>
            </w:r>
            <w:r w:rsidR="00B93F72">
              <w:t>s</w:t>
            </w:r>
            <w:r>
              <w:t>, la DSI ambitionne de créer une équipe dédiée à l’accessibilité comprenant le (ou la) référent(e) et des spécialistes techniques capables de réaliser les audits de conformité et d’accompagner les projets dans leur réalisation.</w:t>
            </w:r>
          </w:p>
          <w:p w14:paraId="560F17BA" w14:textId="3D4DE8C1" w:rsidR="00FE2789" w:rsidRDefault="00FE2789" w:rsidP="00347A74">
            <w:r>
              <w:t>Il sera également nécessaire de continuer à sensibiliser et former l’ensemble des équipes projets SI et métier, ainsi que de veiller à suivre et diffuser les informations de veille technologique et règlementaire.</w:t>
            </w:r>
          </w:p>
          <w:p w14:paraId="325D5623" w14:textId="77777777" w:rsidR="00646CD1" w:rsidRPr="00FE2789" w:rsidRDefault="00646CD1" w:rsidP="00347A74"/>
          <w:p w14:paraId="07193255" w14:textId="74282AA7" w:rsidR="00977670" w:rsidRPr="00C43137" w:rsidRDefault="00977670" w:rsidP="00347A74">
            <w:pPr>
              <w:jc w:val="right"/>
            </w:pPr>
            <w:r>
              <w:rPr>
                <w:b/>
                <w:bCs/>
              </w:rPr>
              <w:t>Claire Quintanar</w:t>
            </w:r>
            <w:r>
              <w:t xml:space="preserve">, </w:t>
            </w:r>
            <w:r w:rsidRPr="00977670">
              <w:t>Pilote du Programme Numérique Responsable</w:t>
            </w:r>
            <w:r>
              <w:t xml:space="preserve"> d’</w:t>
            </w:r>
            <w:r w:rsidRPr="00F755EB">
              <w:rPr>
                <w:b/>
                <w:bCs/>
              </w:rPr>
              <w:t>ENEDIS</w:t>
            </w:r>
          </w:p>
        </w:tc>
      </w:tr>
    </w:tbl>
    <w:p w14:paraId="3CA864FA" w14:textId="6ECD0C81" w:rsidR="00817CAD" w:rsidRDefault="00817CAD" w:rsidP="00DE3AAD">
      <w:pPr>
        <w:rPr>
          <w:lang w:eastAsia="fr-FR"/>
        </w:rPr>
      </w:pPr>
    </w:p>
    <w:p w14:paraId="4B65ADB2" w14:textId="77777777" w:rsidR="00817CAD" w:rsidRDefault="00817CAD">
      <w:pPr>
        <w:spacing w:after="160" w:line="259" w:lineRule="auto"/>
        <w:jc w:val="left"/>
        <w:rPr>
          <w:lang w:eastAsia="fr-FR"/>
        </w:rPr>
      </w:pPr>
      <w:r>
        <w:rPr>
          <w:lang w:eastAsia="fr-FR"/>
        </w:rPr>
        <w:br w:type="page"/>
      </w:r>
    </w:p>
    <w:p w14:paraId="5E1BAEBE" w14:textId="0B458C0A" w:rsidR="00914B3B" w:rsidRPr="00CC6D59" w:rsidRDefault="00DE3AAD" w:rsidP="00DE3AAD">
      <w:pPr>
        <w:pStyle w:val="Titre2"/>
        <w:rPr>
          <w:lang w:val="fr-FR"/>
        </w:rPr>
      </w:pPr>
      <w:bookmarkStart w:id="34" w:name="_Toc230077010"/>
      <w:bookmarkEnd w:id="32"/>
      <w:r w:rsidRPr="00CC6D59">
        <w:rPr>
          <w:lang w:val="fr-FR"/>
        </w:rPr>
        <w:lastRenderedPageBreak/>
        <w:t>Structuration de la démarche et mise en place d’une gouvernance dédiée</w:t>
      </w:r>
      <w:bookmarkEnd w:id="34"/>
    </w:p>
    <w:p w14:paraId="53D3D107" w14:textId="1371C698" w:rsidR="00DE3AAD" w:rsidRPr="00DE3AAD" w:rsidRDefault="00483DC4" w:rsidP="00DE3AAD">
      <w:pPr>
        <w:rPr>
          <w:lang w:eastAsia="fr-FR"/>
        </w:rPr>
      </w:pPr>
      <w:r w:rsidRPr="00483DC4">
        <w:rPr>
          <w:lang w:eastAsia="fr-FR"/>
        </w:rPr>
        <w:t>À mesure que le numérique irrigue les processus métiers et le quotidien des utilisateurs, la mise en place d'une gouvernance de l'accessibilité s'impose. La densité de l’offre numérique au sein des organisations justifie désormais un pilotage structuré pour répondre aux besoins de chaque usager.</w:t>
      </w:r>
      <w:r>
        <w:rPr>
          <w:lang w:eastAsia="fr-FR"/>
        </w:rPr>
        <w:t xml:space="preserve"> </w:t>
      </w:r>
      <w:r w:rsidR="003630AF">
        <w:rPr>
          <w:lang w:eastAsia="fr-FR"/>
        </w:rPr>
        <w:t>Cette</w:t>
      </w:r>
      <w:r w:rsidR="00DE3AAD" w:rsidRPr="00DE3AAD">
        <w:rPr>
          <w:lang w:eastAsia="fr-FR"/>
        </w:rPr>
        <w:t xml:space="preserve"> gouvernance </w:t>
      </w:r>
      <w:r w:rsidR="00292C8A">
        <w:rPr>
          <w:lang w:eastAsia="fr-FR"/>
        </w:rPr>
        <w:t xml:space="preserve">dédiée </w:t>
      </w:r>
      <w:r w:rsidR="003630AF">
        <w:rPr>
          <w:lang w:eastAsia="fr-FR"/>
        </w:rPr>
        <w:t>vise à</w:t>
      </w:r>
      <w:r w:rsidR="00DE3AAD" w:rsidRPr="00DE3AAD">
        <w:rPr>
          <w:lang w:eastAsia="fr-FR"/>
        </w:rPr>
        <w:t xml:space="preserve"> structurer </w:t>
      </w:r>
      <w:r w:rsidR="003630AF">
        <w:rPr>
          <w:lang w:eastAsia="fr-FR"/>
        </w:rPr>
        <w:t>l’</w:t>
      </w:r>
      <w:r w:rsidR="003630AF" w:rsidRPr="00DE3AAD">
        <w:rPr>
          <w:lang w:eastAsia="fr-FR"/>
        </w:rPr>
        <w:t>orchestr</w:t>
      </w:r>
      <w:r w:rsidR="003630AF">
        <w:rPr>
          <w:lang w:eastAsia="fr-FR"/>
        </w:rPr>
        <w:t>ation</w:t>
      </w:r>
      <w:r w:rsidR="00DE3AAD" w:rsidRPr="00DE3AAD">
        <w:rPr>
          <w:lang w:eastAsia="fr-FR"/>
        </w:rPr>
        <w:t xml:space="preserve">, </w:t>
      </w:r>
      <w:r w:rsidR="003630AF">
        <w:rPr>
          <w:lang w:eastAsia="fr-FR"/>
        </w:rPr>
        <w:t xml:space="preserve">le </w:t>
      </w:r>
      <w:r w:rsidR="00DE3AAD" w:rsidRPr="00DE3AAD">
        <w:rPr>
          <w:lang w:eastAsia="fr-FR"/>
        </w:rPr>
        <w:t>pilot</w:t>
      </w:r>
      <w:r w:rsidR="003630AF">
        <w:rPr>
          <w:lang w:eastAsia="fr-FR"/>
        </w:rPr>
        <w:t>age</w:t>
      </w:r>
      <w:r w:rsidR="00DE3AAD" w:rsidRPr="00DE3AAD">
        <w:rPr>
          <w:lang w:eastAsia="fr-FR"/>
        </w:rPr>
        <w:t xml:space="preserve"> et </w:t>
      </w:r>
      <w:r w:rsidR="00D97A9B">
        <w:rPr>
          <w:lang w:eastAsia="fr-FR"/>
        </w:rPr>
        <w:t>l’</w:t>
      </w:r>
      <w:r w:rsidR="00D97A9B" w:rsidRPr="00DE3AAD">
        <w:rPr>
          <w:lang w:eastAsia="fr-FR"/>
        </w:rPr>
        <w:t>outill</w:t>
      </w:r>
      <w:r w:rsidR="00D97A9B">
        <w:rPr>
          <w:lang w:eastAsia="fr-FR"/>
        </w:rPr>
        <w:t>age nécessaires au</w:t>
      </w:r>
      <w:r w:rsidR="00DE3AAD" w:rsidRPr="00DE3AAD">
        <w:rPr>
          <w:lang w:eastAsia="fr-FR"/>
        </w:rPr>
        <w:t xml:space="preserve"> passage à l’échelle de l’accessibilité. Elle doit </w:t>
      </w:r>
      <w:r w:rsidR="00292C8A">
        <w:rPr>
          <w:lang w:eastAsia="fr-FR"/>
        </w:rPr>
        <w:t>offrir</w:t>
      </w:r>
      <w:r w:rsidR="00292C8A" w:rsidRPr="00DE3AAD">
        <w:rPr>
          <w:lang w:eastAsia="fr-FR"/>
        </w:rPr>
        <w:t xml:space="preserve"> </w:t>
      </w:r>
      <w:r w:rsidR="00DE3AAD" w:rsidRPr="00DE3AAD">
        <w:rPr>
          <w:lang w:eastAsia="fr-FR"/>
        </w:rPr>
        <w:t xml:space="preserve">un </w:t>
      </w:r>
      <w:r w:rsidR="00292C8A">
        <w:rPr>
          <w:lang w:eastAsia="fr-FR"/>
        </w:rPr>
        <w:t>cadre</w:t>
      </w:r>
      <w:r w:rsidR="00292C8A" w:rsidRPr="00DE3AAD">
        <w:rPr>
          <w:lang w:eastAsia="fr-FR"/>
        </w:rPr>
        <w:t xml:space="preserve"> </w:t>
      </w:r>
      <w:r w:rsidR="00DE3AAD" w:rsidRPr="00DE3AAD">
        <w:rPr>
          <w:lang w:eastAsia="fr-FR"/>
        </w:rPr>
        <w:t xml:space="preserve">clair, partagé et dynamique </w:t>
      </w:r>
      <w:r w:rsidR="00292C8A">
        <w:rPr>
          <w:lang w:eastAsia="fr-FR"/>
        </w:rPr>
        <w:t>répondant</w:t>
      </w:r>
      <w:r w:rsidR="00DE3AAD" w:rsidRPr="00DE3AAD">
        <w:rPr>
          <w:lang w:eastAsia="fr-FR"/>
        </w:rPr>
        <w:t xml:space="preserve"> au besoin de transversalité. </w:t>
      </w:r>
      <w:r w:rsidR="007256CE">
        <w:rPr>
          <w:lang w:eastAsia="fr-FR"/>
        </w:rPr>
        <w:t xml:space="preserve">Elle ne doit pas être qu’un sujet </w:t>
      </w:r>
      <w:r w:rsidR="00272ECA">
        <w:rPr>
          <w:lang w:eastAsia="fr-FR"/>
        </w:rPr>
        <w:t>de direction numérique</w:t>
      </w:r>
      <w:r w:rsidR="007256CE">
        <w:rPr>
          <w:lang w:eastAsia="fr-FR"/>
        </w:rPr>
        <w:t>.</w:t>
      </w:r>
    </w:p>
    <w:p w14:paraId="1DB9FC0A" w14:textId="7A18BA14" w:rsidR="00CF35D6" w:rsidRDefault="00DE3AAD" w:rsidP="00DE3AAD">
      <w:pPr>
        <w:rPr>
          <w:lang w:eastAsia="fr-FR"/>
        </w:rPr>
      </w:pPr>
      <w:r w:rsidRPr="00DE3AAD">
        <w:rPr>
          <w:lang w:eastAsia="fr-FR"/>
        </w:rPr>
        <w:t>Le cadre technique dessiné comporte</w:t>
      </w:r>
      <w:r w:rsidR="00B93F72">
        <w:rPr>
          <w:lang w:eastAsia="fr-FR"/>
        </w:rPr>
        <w:t>,</w:t>
      </w:r>
      <w:r w:rsidRPr="00DE3AAD">
        <w:rPr>
          <w:lang w:eastAsia="fr-FR"/>
        </w:rPr>
        <w:t xml:space="preserve"> par certains aspects</w:t>
      </w:r>
      <w:r w:rsidR="00B93F72">
        <w:rPr>
          <w:lang w:eastAsia="fr-FR"/>
        </w:rPr>
        <w:t>,</w:t>
      </w:r>
      <w:r w:rsidRPr="00DE3AAD">
        <w:rPr>
          <w:lang w:eastAsia="fr-FR"/>
        </w:rPr>
        <w:t xml:space="preserve"> un caractère contraignant qui a pour but </w:t>
      </w:r>
      <w:r w:rsidR="00292C8A">
        <w:rPr>
          <w:lang w:eastAsia="fr-FR"/>
        </w:rPr>
        <w:t>d’assurer le respect des</w:t>
      </w:r>
      <w:r w:rsidRPr="00DE3AAD">
        <w:rPr>
          <w:lang w:eastAsia="fr-FR"/>
        </w:rPr>
        <w:t xml:space="preserve"> droits des </w:t>
      </w:r>
      <w:r w:rsidR="00CF35D6">
        <w:rPr>
          <w:lang w:eastAsia="fr-FR"/>
        </w:rPr>
        <w:t>usagers</w:t>
      </w:r>
      <w:r w:rsidR="00CF35D6" w:rsidRPr="00DE3AAD">
        <w:rPr>
          <w:lang w:eastAsia="fr-FR"/>
        </w:rPr>
        <w:t xml:space="preserve"> </w:t>
      </w:r>
      <w:r w:rsidRPr="00DE3AAD">
        <w:rPr>
          <w:lang w:eastAsia="fr-FR"/>
        </w:rPr>
        <w:t xml:space="preserve">et </w:t>
      </w:r>
      <w:r w:rsidR="00CF35D6">
        <w:rPr>
          <w:lang w:eastAsia="fr-FR"/>
        </w:rPr>
        <w:t>d</w:t>
      </w:r>
      <w:r w:rsidRPr="00DE3AAD">
        <w:rPr>
          <w:lang w:eastAsia="fr-FR"/>
        </w:rPr>
        <w:t xml:space="preserve">es obligations légales. </w:t>
      </w:r>
      <w:r w:rsidR="00CF35D6">
        <w:rPr>
          <w:lang w:eastAsia="fr-FR"/>
        </w:rPr>
        <w:t xml:space="preserve">À ce titre, la gouvernance dédiée englobe : </w:t>
      </w:r>
    </w:p>
    <w:p w14:paraId="7094274F" w14:textId="5F3EAE6A" w:rsidR="00CF35D6" w:rsidRDefault="00CF35D6">
      <w:pPr>
        <w:pStyle w:val="Paragraphedeliste"/>
        <w:numPr>
          <w:ilvl w:val="0"/>
          <w:numId w:val="57"/>
        </w:numPr>
        <w:rPr>
          <w:lang w:eastAsia="fr-FR"/>
        </w:rPr>
      </w:pPr>
      <w:r>
        <w:rPr>
          <w:lang w:eastAsia="fr-FR"/>
        </w:rPr>
        <w:t>Le respect du cadre législatif</w:t>
      </w:r>
      <w:r w:rsidR="00272ECA">
        <w:rPr>
          <w:lang w:eastAsia="fr-FR"/>
        </w:rPr>
        <w:t xml:space="preserve"> : </w:t>
      </w:r>
      <w:r w:rsidR="001459B6">
        <w:rPr>
          <w:lang w:eastAsia="fr-FR"/>
        </w:rPr>
        <w:t xml:space="preserve">application de la </w:t>
      </w:r>
      <w:r w:rsidR="001459B6" w:rsidRPr="001459B6">
        <w:rPr>
          <w:lang w:eastAsia="fr-FR"/>
        </w:rPr>
        <w:t xml:space="preserve">directive (UE) 2019/882, </w:t>
      </w:r>
      <w:r w:rsidR="001459B6">
        <w:rPr>
          <w:lang w:eastAsia="fr-FR"/>
        </w:rPr>
        <w:t xml:space="preserve">dite </w:t>
      </w:r>
      <w:r w:rsidR="001459B6" w:rsidRPr="001459B6">
        <w:rPr>
          <w:lang w:eastAsia="fr-FR"/>
        </w:rPr>
        <w:t xml:space="preserve">« </w:t>
      </w:r>
      <w:proofErr w:type="spellStart"/>
      <w:r w:rsidR="001459B6" w:rsidRPr="00B5346E">
        <w:rPr>
          <w:i/>
          <w:iCs/>
          <w:lang w:eastAsia="fr-FR"/>
        </w:rPr>
        <w:t>European</w:t>
      </w:r>
      <w:proofErr w:type="spellEnd"/>
      <w:r w:rsidR="001459B6" w:rsidRPr="00B5346E">
        <w:rPr>
          <w:i/>
          <w:iCs/>
          <w:lang w:eastAsia="fr-FR"/>
        </w:rPr>
        <w:t xml:space="preserve"> </w:t>
      </w:r>
      <w:proofErr w:type="spellStart"/>
      <w:r w:rsidR="001459B6" w:rsidRPr="00B5346E">
        <w:rPr>
          <w:i/>
          <w:iCs/>
          <w:lang w:eastAsia="fr-FR"/>
        </w:rPr>
        <w:t>Accessibility</w:t>
      </w:r>
      <w:proofErr w:type="spellEnd"/>
      <w:r w:rsidR="001459B6" w:rsidRPr="00B5346E">
        <w:rPr>
          <w:i/>
          <w:iCs/>
          <w:lang w:eastAsia="fr-FR"/>
        </w:rPr>
        <w:t xml:space="preserve"> Act</w:t>
      </w:r>
      <w:r w:rsidR="001459B6" w:rsidRPr="001459B6">
        <w:rPr>
          <w:lang w:eastAsia="fr-FR"/>
        </w:rPr>
        <w:t xml:space="preserve"> » (EAA)</w:t>
      </w:r>
      <w:r w:rsidR="001459B6">
        <w:rPr>
          <w:lang w:eastAsia="fr-FR"/>
        </w:rPr>
        <w:t>, transposée en droit national en 2023 et mise en application depuis juin 2025</w:t>
      </w:r>
      <w:r w:rsidR="00B5346E">
        <w:rPr>
          <w:lang w:eastAsia="fr-FR"/>
        </w:rPr>
        <w:t xml:space="preserve"> </w:t>
      </w:r>
      <w:r>
        <w:rPr>
          <w:lang w:eastAsia="fr-FR"/>
        </w:rPr>
        <w:t>;</w:t>
      </w:r>
    </w:p>
    <w:p w14:paraId="7F36D943" w14:textId="5C505634" w:rsidR="00CF35D6" w:rsidRDefault="00CF35D6">
      <w:pPr>
        <w:pStyle w:val="Paragraphedeliste"/>
        <w:numPr>
          <w:ilvl w:val="0"/>
          <w:numId w:val="57"/>
        </w:numPr>
        <w:rPr>
          <w:lang w:eastAsia="fr-FR"/>
        </w:rPr>
      </w:pPr>
      <w:r>
        <w:rPr>
          <w:lang w:eastAsia="fr-FR"/>
        </w:rPr>
        <w:t>La conformité technique : alignement sur les normes de référence (RGAA ou W</w:t>
      </w:r>
      <w:r w:rsidR="00E732C2">
        <w:rPr>
          <w:lang w:eastAsia="fr-FR"/>
        </w:rPr>
        <w:t>CAG</w:t>
      </w:r>
      <w:r>
        <w:rPr>
          <w:lang w:eastAsia="fr-FR"/>
        </w:rPr>
        <w:t>) ;</w:t>
      </w:r>
    </w:p>
    <w:p w14:paraId="2489B186" w14:textId="0D464750" w:rsidR="00CF35D6" w:rsidRDefault="00CF35D6">
      <w:pPr>
        <w:pStyle w:val="Paragraphedeliste"/>
        <w:numPr>
          <w:ilvl w:val="0"/>
          <w:numId w:val="57"/>
        </w:numPr>
        <w:rPr>
          <w:lang w:eastAsia="fr-FR"/>
        </w:rPr>
      </w:pPr>
      <w:r>
        <w:rPr>
          <w:lang w:eastAsia="fr-FR"/>
        </w:rPr>
        <w:t>Le pilotage réglementaire : élaboration du schéma pluriannuel de mise en accessibilité et déclarations d’accessibilité ;</w:t>
      </w:r>
    </w:p>
    <w:p w14:paraId="679BE2D4" w14:textId="0CE4EE83" w:rsidR="00CF35D6" w:rsidRDefault="00CF35D6">
      <w:pPr>
        <w:pStyle w:val="Paragraphedeliste"/>
        <w:numPr>
          <w:ilvl w:val="0"/>
          <w:numId w:val="57"/>
        </w:numPr>
        <w:rPr>
          <w:lang w:eastAsia="fr-FR"/>
        </w:rPr>
      </w:pPr>
      <w:r>
        <w:rPr>
          <w:lang w:eastAsia="fr-FR"/>
        </w:rPr>
        <w:t>La transparence numérique : gestion des mentions et pages obligatoires sur l'ensemble des sites et services.</w:t>
      </w:r>
    </w:p>
    <w:p w14:paraId="6EBDFE00" w14:textId="6CDC8E1A" w:rsidR="00483DC4" w:rsidRDefault="00483DC4" w:rsidP="00DE3AAD">
      <w:pPr>
        <w:rPr>
          <w:lang w:eastAsia="fr-FR"/>
        </w:rPr>
      </w:pPr>
      <w:r w:rsidRPr="00483DC4">
        <w:rPr>
          <w:lang w:eastAsia="fr-FR"/>
        </w:rPr>
        <w:t xml:space="preserve">Cependant, la vocation première de cette gouvernance est de nourrir durablement une dynamique collective de diffusion de l’accessibilité. Plutôt que de privilégier une mise en conformité purement réactive à un </w:t>
      </w:r>
      <w:r w:rsidR="00B93F72">
        <w:rPr>
          <w:lang w:eastAsia="fr-FR"/>
        </w:rPr>
        <w:t xml:space="preserve">« </w:t>
      </w:r>
      <w:r w:rsidRPr="00483DC4">
        <w:rPr>
          <w:lang w:eastAsia="fr-FR"/>
        </w:rPr>
        <w:t>instant T</w:t>
      </w:r>
      <w:r w:rsidR="00B93F72">
        <w:rPr>
          <w:lang w:eastAsia="fr-FR"/>
        </w:rPr>
        <w:t xml:space="preserve"> »</w:t>
      </w:r>
      <w:r w:rsidRPr="00483DC4">
        <w:rPr>
          <w:lang w:eastAsia="fr-FR"/>
        </w:rPr>
        <w:t xml:space="preserve">, l’objectif est de cultiver un état d'esprit proactif. L’enjeu majeur consiste à bâtir </w:t>
      </w:r>
      <w:r>
        <w:rPr>
          <w:lang w:eastAsia="fr-FR"/>
        </w:rPr>
        <w:t xml:space="preserve">progressivement </w:t>
      </w:r>
      <w:r w:rsidRPr="00483DC4">
        <w:rPr>
          <w:lang w:eastAsia="fr-FR"/>
        </w:rPr>
        <w:t>une culture d'entreprise solide et pérenne, transformant l'accessibilité en un réflexe partagé à l'échelle de toute l'organisation</w:t>
      </w:r>
      <w:r>
        <w:rPr>
          <w:lang w:eastAsia="fr-FR"/>
        </w:rPr>
        <w:t xml:space="preserve">. </w:t>
      </w:r>
    </w:p>
    <w:p w14:paraId="0113A245" w14:textId="07C6BFF0" w:rsidR="00DE3AAD" w:rsidRPr="00DE3AAD" w:rsidRDefault="00DE3AAD" w:rsidP="00DE3AAD">
      <w:pPr>
        <w:rPr>
          <w:lang w:eastAsia="fr-FR"/>
        </w:rPr>
      </w:pPr>
      <w:r w:rsidRPr="00DE3AAD">
        <w:rPr>
          <w:lang w:eastAsia="fr-FR"/>
        </w:rPr>
        <w:t xml:space="preserve">Pour cela, la mise en place d’une gouvernance dédiée à l’accessibilité doit pouvoir tenir compte tout à la fois d’un fort ancrage organisationnel (1), d’une connaissance fine du périmètre numérique (2), d’une préparation opérationnelle à court et moyen terme (3) et d’une comitologie convoquant les différentes parties prenantes à bon escient (4). </w:t>
      </w:r>
    </w:p>
    <w:p w14:paraId="4B20A253" w14:textId="3F75649D" w:rsidR="00DE3AAD" w:rsidRDefault="00DE3AAD" w:rsidP="00DE3AAD">
      <w:pPr>
        <w:pStyle w:val="Titre3"/>
      </w:pPr>
      <w:bookmarkStart w:id="35" w:name="_Toc230077011"/>
      <w:r w:rsidRPr="00DE3AAD">
        <w:t>Ancrage organisationnel</w:t>
      </w:r>
      <w:bookmarkEnd w:id="35"/>
    </w:p>
    <w:p w14:paraId="6126AE67" w14:textId="1AD4A615" w:rsidR="000B4261" w:rsidRDefault="00DE3AAD" w:rsidP="00DE3AAD">
      <w:pPr>
        <w:rPr>
          <w:lang w:eastAsia="fr-FR"/>
        </w:rPr>
      </w:pPr>
      <w:r w:rsidRPr="00DE3AAD">
        <w:rPr>
          <w:b/>
          <w:bCs/>
          <w:lang w:eastAsia="fr-FR"/>
        </w:rPr>
        <w:t>L’objectif est d’assurer à l’accessibilité numérique un rattachement organisationnel pertinent</w:t>
      </w:r>
      <w:r w:rsidR="00296B57" w:rsidRPr="00CC6D59">
        <w:rPr>
          <w:b/>
          <w:bCs/>
          <w:lang w:eastAsia="fr-FR"/>
        </w:rPr>
        <w:t xml:space="preserve"> et </w:t>
      </w:r>
      <w:r w:rsidRPr="00CC6D59">
        <w:rPr>
          <w:b/>
          <w:bCs/>
          <w:lang w:eastAsia="fr-FR"/>
        </w:rPr>
        <w:t>soutenu par un sponsoring de haut niveau</w:t>
      </w:r>
      <w:r w:rsidRPr="00DE3AAD">
        <w:rPr>
          <w:lang w:eastAsia="fr-FR"/>
        </w:rPr>
        <w:t xml:space="preserve">, afin de légitimer la démarche et </w:t>
      </w:r>
      <w:r w:rsidR="00296B57">
        <w:rPr>
          <w:lang w:eastAsia="fr-FR"/>
        </w:rPr>
        <w:t xml:space="preserve">de </w:t>
      </w:r>
      <w:r w:rsidRPr="00DE3AAD">
        <w:rPr>
          <w:lang w:eastAsia="fr-FR"/>
        </w:rPr>
        <w:t>mobiliser un nombre suffisant d’interlocuteurs transverses</w:t>
      </w:r>
      <w:r w:rsidR="00296B57">
        <w:rPr>
          <w:lang w:eastAsia="fr-FR"/>
        </w:rPr>
        <w:t>,</w:t>
      </w:r>
      <w:r w:rsidRPr="00DE3AAD">
        <w:rPr>
          <w:lang w:eastAsia="fr-FR"/>
        </w:rPr>
        <w:t xml:space="preserve"> au bon niveau hiérarchique. </w:t>
      </w:r>
    </w:p>
    <w:p w14:paraId="78FB4FB0" w14:textId="47FE2C52" w:rsidR="00DE3AAD" w:rsidRPr="00DE3AAD" w:rsidRDefault="00DE3AAD" w:rsidP="00DE3AAD">
      <w:pPr>
        <w:rPr>
          <w:lang w:eastAsia="fr-FR"/>
        </w:rPr>
      </w:pPr>
      <w:r w:rsidRPr="00DE3AAD">
        <w:rPr>
          <w:lang w:eastAsia="fr-FR"/>
        </w:rPr>
        <w:t xml:space="preserve">Plusieurs moyens permettent </w:t>
      </w:r>
      <w:r w:rsidR="007A19A7" w:rsidRPr="00DE3AAD">
        <w:rPr>
          <w:lang w:eastAsia="fr-FR"/>
        </w:rPr>
        <w:t>d’</w:t>
      </w:r>
      <w:r w:rsidR="007A19A7">
        <w:rPr>
          <w:lang w:eastAsia="fr-FR"/>
        </w:rPr>
        <w:t>inscrire durablement</w:t>
      </w:r>
      <w:r w:rsidR="00B93F72">
        <w:rPr>
          <w:lang w:eastAsia="fr-FR"/>
        </w:rPr>
        <w:t>,</w:t>
      </w:r>
      <w:r w:rsidR="007A19A7" w:rsidRPr="00DE3AAD">
        <w:rPr>
          <w:lang w:eastAsia="fr-FR"/>
        </w:rPr>
        <w:t xml:space="preserve"> </w:t>
      </w:r>
      <w:r w:rsidRPr="00DE3AAD">
        <w:rPr>
          <w:lang w:eastAsia="fr-FR"/>
        </w:rPr>
        <w:t xml:space="preserve">dans les représentations et dans les </w:t>
      </w:r>
      <w:r w:rsidR="007A19A7">
        <w:rPr>
          <w:lang w:eastAsia="fr-FR"/>
        </w:rPr>
        <w:t>pratiques</w:t>
      </w:r>
      <w:r w:rsidR="00B93F72">
        <w:rPr>
          <w:lang w:eastAsia="fr-FR"/>
        </w:rPr>
        <w:t>,</w:t>
      </w:r>
      <w:r w:rsidR="007A19A7" w:rsidRPr="00DE3AAD">
        <w:rPr>
          <w:lang w:eastAsia="fr-FR"/>
        </w:rPr>
        <w:t xml:space="preserve"> </w:t>
      </w:r>
      <w:r w:rsidRPr="00DE3AAD">
        <w:rPr>
          <w:lang w:eastAsia="fr-FR"/>
        </w:rPr>
        <w:t xml:space="preserve">le sens de l’accessibilité numérique. À ce titre, la démonstration de sites accessibles ou l’immersion d’interlocuteurs stratégiques </w:t>
      </w:r>
      <w:r w:rsidR="007A19A7">
        <w:rPr>
          <w:lang w:eastAsia="fr-FR"/>
        </w:rPr>
        <w:t>en</w:t>
      </w:r>
      <w:r w:rsidRPr="00DE3AAD">
        <w:rPr>
          <w:lang w:eastAsia="fr-FR"/>
        </w:rPr>
        <w:t xml:space="preserve"> conditions réelles de handicap peuvent jouer un rôle déterminant </w:t>
      </w:r>
      <w:r w:rsidR="007A19A7">
        <w:rPr>
          <w:lang w:eastAsia="fr-FR"/>
        </w:rPr>
        <w:t>pour faciliter</w:t>
      </w:r>
      <w:r w:rsidR="008734FD">
        <w:rPr>
          <w:lang w:eastAsia="fr-FR"/>
        </w:rPr>
        <w:t xml:space="preserve"> </w:t>
      </w:r>
      <w:r w:rsidRPr="00DE3AAD">
        <w:rPr>
          <w:lang w:eastAsia="fr-FR"/>
        </w:rPr>
        <w:t>la compréhension, l’adoption et l’engagement en faveur de la démarche d’accessibilité numérique.</w:t>
      </w:r>
    </w:p>
    <w:p w14:paraId="5C2D086C" w14:textId="12092FE6" w:rsidR="00DE3AAD" w:rsidRPr="00DE3AAD" w:rsidRDefault="000B4261" w:rsidP="00DE3AAD">
      <w:pPr>
        <w:rPr>
          <w:lang w:eastAsia="fr-FR"/>
        </w:rPr>
      </w:pPr>
      <w:r>
        <w:rPr>
          <w:b/>
          <w:bCs/>
          <w:lang w:eastAsia="fr-FR"/>
        </w:rPr>
        <w:lastRenderedPageBreak/>
        <w:t>L</w:t>
      </w:r>
      <w:r w:rsidR="00DE3AAD" w:rsidRPr="00DE3AAD">
        <w:rPr>
          <w:b/>
          <w:bCs/>
          <w:lang w:eastAsia="fr-FR"/>
        </w:rPr>
        <w:t xml:space="preserve">’articulation entre la gouvernance </w:t>
      </w:r>
      <w:r>
        <w:rPr>
          <w:b/>
          <w:bCs/>
          <w:lang w:eastAsia="fr-FR"/>
        </w:rPr>
        <w:t>de</w:t>
      </w:r>
      <w:r w:rsidR="00DE3AAD" w:rsidRPr="00DE3AAD">
        <w:rPr>
          <w:b/>
          <w:bCs/>
          <w:lang w:eastAsia="fr-FR"/>
        </w:rPr>
        <w:t xml:space="preserve"> l’accessibilité numérique et les autres formes de gouvernance</w:t>
      </w:r>
      <w:r w:rsidR="00DE3AAD" w:rsidRPr="00DE3AAD">
        <w:rPr>
          <w:lang w:eastAsia="fr-FR"/>
        </w:rPr>
        <w:t xml:space="preserve"> </w:t>
      </w:r>
      <w:r>
        <w:rPr>
          <w:b/>
          <w:bCs/>
          <w:lang w:eastAsia="fr-FR"/>
        </w:rPr>
        <w:t xml:space="preserve">doit être </w:t>
      </w:r>
      <w:r w:rsidRPr="00DE3AAD">
        <w:rPr>
          <w:b/>
          <w:bCs/>
          <w:lang w:eastAsia="fr-FR"/>
        </w:rPr>
        <w:t xml:space="preserve">cohérente </w:t>
      </w:r>
      <w:r w:rsidR="00DE3AAD" w:rsidRPr="00DE3AAD">
        <w:rPr>
          <w:lang w:eastAsia="fr-FR"/>
        </w:rPr>
        <w:t>(au niveau des départements ou du groupe)</w:t>
      </w:r>
      <w:r>
        <w:rPr>
          <w:lang w:eastAsia="fr-FR"/>
        </w:rPr>
        <w:t xml:space="preserve"> et</w:t>
      </w:r>
      <w:r w:rsidR="00DE3AAD" w:rsidRPr="00DE3AAD">
        <w:rPr>
          <w:lang w:eastAsia="fr-FR"/>
        </w:rPr>
        <w:t xml:space="preserve"> constituer un point d’attention majeur pour </w:t>
      </w:r>
      <w:r>
        <w:rPr>
          <w:lang w:eastAsia="fr-FR"/>
        </w:rPr>
        <w:t>garantir</w:t>
      </w:r>
      <w:r w:rsidR="00DE3AAD" w:rsidRPr="00DE3AAD">
        <w:rPr>
          <w:lang w:eastAsia="fr-FR"/>
        </w:rPr>
        <w:t xml:space="preserve"> l’efficacité de l’action et désamorcer tout conflit organisationnel ou interpersonnel.</w:t>
      </w:r>
    </w:p>
    <w:p w14:paraId="00C35D3E" w14:textId="5404554C" w:rsidR="00DE3AAD" w:rsidRPr="00DE3AAD" w:rsidRDefault="00DE3AAD" w:rsidP="00DE3AAD">
      <w:pPr>
        <w:rPr>
          <w:lang w:eastAsia="fr-FR"/>
        </w:rPr>
      </w:pPr>
      <w:r w:rsidRPr="00DE3AAD">
        <w:rPr>
          <w:b/>
          <w:bCs/>
          <w:lang w:eastAsia="fr-FR"/>
        </w:rPr>
        <w:t xml:space="preserve">Il convient, enfin, de veiller à l’intégration de l’accessibilité numérique </w:t>
      </w:r>
      <w:r w:rsidR="000B4261">
        <w:rPr>
          <w:b/>
          <w:bCs/>
          <w:lang w:eastAsia="fr-FR"/>
        </w:rPr>
        <w:t>dans</w:t>
      </w:r>
      <w:r w:rsidR="000B4261" w:rsidRPr="00DE3AAD">
        <w:rPr>
          <w:b/>
          <w:bCs/>
          <w:lang w:eastAsia="fr-FR"/>
        </w:rPr>
        <w:t xml:space="preserve"> </w:t>
      </w:r>
      <w:r w:rsidRPr="00DE3AAD">
        <w:rPr>
          <w:b/>
          <w:bCs/>
          <w:lang w:eastAsia="fr-FR"/>
        </w:rPr>
        <w:t>la stratégie RSE du groupe</w:t>
      </w:r>
      <w:r w:rsidRPr="00DE3AAD">
        <w:rPr>
          <w:lang w:eastAsia="fr-FR"/>
        </w:rPr>
        <w:t xml:space="preserve"> ainsi que dans les accords handicap</w:t>
      </w:r>
      <w:r w:rsidR="007256CE">
        <w:rPr>
          <w:lang w:eastAsia="fr-FR"/>
        </w:rPr>
        <w:t xml:space="preserve"> (direction RH)</w:t>
      </w:r>
      <w:r w:rsidRPr="00DE3AAD">
        <w:rPr>
          <w:lang w:eastAsia="fr-FR"/>
        </w:rPr>
        <w:t>, pour en faire un levier transversal et structurant.</w:t>
      </w:r>
    </w:p>
    <w:p w14:paraId="1757F631" w14:textId="4229B335" w:rsidR="00DE3AAD" w:rsidRPr="00DE3AAD" w:rsidRDefault="00DE3AAD" w:rsidP="00DE3AAD">
      <w:pPr>
        <w:pStyle w:val="Titre3"/>
        <w:rPr>
          <w:lang w:val="fr-FR"/>
        </w:rPr>
      </w:pPr>
      <w:bookmarkStart w:id="36" w:name="_Toc230077012"/>
      <w:r w:rsidRPr="00DE3AAD">
        <w:rPr>
          <w:lang w:val="fr-FR"/>
        </w:rPr>
        <w:t>Connaissance du périmètre numérique et politique</w:t>
      </w:r>
      <w:bookmarkEnd w:id="36"/>
      <w:r w:rsidRPr="00DE3AAD">
        <w:rPr>
          <w:lang w:val="fr-FR"/>
        </w:rPr>
        <w:t xml:space="preserve"> </w:t>
      </w:r>
    </w:p>
    <w:p w14:paraId="6AA2DE1D" w14:textId="04791197" w:rsidR="00DE3AAD" w:rsidRDefault="00DE3AAD" w:rsidP="00DE3AAD">
      <w:pPr>
        <w:rPr>
          <w:lang w:eastAsia="fr-FR"/>
        </w:rPr>
      </w:pPr>
      <w:r w:rsidRPr="00DE3AAD">
        <w:rPr>
          <w:lang w:eastAsia="fr-FR"/>
        </w:rPr>
        <w:t xml:space="preserve">La politique d’accessibilité numérique portée par le référent repose sur </w:t>
      </w:r>
      <w:r w:rsidRPr="00DE3AAD">
        <w:rPr>
          <w:b/>
          <w:bCs/>
          <w:lang w:eastAsia="fr-FR"/>
        </w:rPr>
        <w:t>une analyse préalable du périmètre numérique concerné, des publics visés par la démarche, ainsi que des interlocuteurs stratégiques à impliquer en interne</w:t>
      </w:r>
      <w:r w:rsidRPr="00DE3AAD">
        <w:rPr>
          <w:lang w:eastAsia="fr-FR"/>
        </w:rPr>
        <w:t xml:space="preserve"> (DSI, Achats, RH, Juridique, etc.).</w:t>
      </w:r>
      <w:r w:rsidR="00E732C2">
        <w:rPr>
          <w:lang w:eastAsia="fr-FR"/>
        </w:rPr>
        <w:t xml:space="preserve"> </w:t>
      </w:r>
      <w:r w:rsidR="00B93F72">
        <w:rPr>
          <w:lang w:eastAsia="fr-FR"/>
        </w:rPr>
        <w:t>Pour les organisations adhérentes du Cigref, c</w:t>
      </w:r>
      <w:r w:rsidR="00E732C2">
        <w:rPr>
          <w:lang w:eastAsia="fr-FR"/>
        </w:rPr>
        <w:t xml:space="preserve">ette démarche s’inscrit dans la pleine continuité de la rédaction du </w:t>
      </w:r>
      <w:r w:rsidR="001459B6">
        <w:rPr>
          <w:lang w:eastAsia="fr-FR"/>
        </w:rPr>
        <w:t>s</w:t>
      </w:r>
      <w:r w:rsidR="00E732C2">
        <w:rPr>
          <w:lang w:eastAsia="fr-FR"/>
        </w:rPr>
        <w:t xml:space="preserve">chéma </w:t>
      </w:r>
      <w:r w:rsidR="001459B6">
        <w:rPr>
          <w:lang w:eastAsia="fr-FR"/>
        </w:rPr>
        <w:t>p</w:t>
      </w:r>
      <w:r w:rsidR="00E732C2">
        <w:rPr>
          <w:lang w:eastAsia="fr-FR"/>
        </w:rPr>
        <w:t>luriannuel d’</w:t>
      </w:r>
      <w:r w:rsidR="001459B6">
        <w:rPr>
          <w:lang w:eastAsia="fr-FR"/>
        </w:rPr>
        <w:t>a</w:t>
      </w:r>
      <w:r w:rsidR="00E732C2">
        <w:rPr>
          <w:lang w:eastAsia="fr-FR"/>
        </w:rPr>
        <w:t xml:space="preserve">ccessibilité </w:t>
      </w:r>
      <w:r w:rsidR="001459B6">
        <w:rPr>
          <w:lang w:eastAsia="fr-FR"/>
        </w:rPr>
        <w:t>n</w:t>
      </w:r>
      <w:r w:rsidR="00E732C2">
        <w:rPr>
          <w:lang w:eastAsia="fr-FR"/>
        </w:rPr>
        <w:t>umérique.</w:t>
      </w:r>
    </w:p>
    <w:p w14:paraId="667FD30B" w14:textId="34B456E5" w:rsidR="00DE3AAD" w:rsidRPr="00DE3AAD" w:rsidRDefault="00DE3AAD" w:rsidP="00DE3AAD">
      <w:pPr>
        <w:rPr>
          <w:lang w:eastAsia="fr-FR"/>
        </w:rPr>
      </w:pPr>
      <w:r w:rsidRPr="00DE3AAD">
        <w:rPr>
          <w:lang w:eastAsia="fr-FR"/>
        </w:rPr>
        <w:t xml:space="preserve">Cette cartographie </w:t>
      </w:r>
      <w:r w:rsidR="00783F87">
        <w:rPr>
          <w:lang w:eastAsia="fr-FR"/>
        </w:rPr>
        <w:t xml:space="preserve">permet </w:t>
      </w:r>
      <w:r w:rsidR="00F805F6">
        <w:rPr>
          <w:lang w:eastAsia="fr-FR"/>
        </w:rPr>
        <w:t xml:space="preserve">au référent </w:t>
      </w:r>
      <w:r w:rsidR="00783F87">
        <w:rPr>
          <w:lang w:eastAsia="fr-FR"/>
        </w:rPr>
        <w:t>d’identifier le</w:t>
      </w:r>
      <w:r w:rsidRPr="00DE3AAD">
        <w:rPr>
          <w:lang w:eastAsia="fr-FR"/>
        </w:rPr>
        <w:t xml:space="preserve"> niveau d’accessibilité existant </w:t>
      </w:r>
      <w:r w:rsidR="00CC6D59">
        <w:rPr>
          <w:lang w:eastAsia="fr-FR"/>
        </w:rPr>
        <w:t xml:space="preserve">et </w:t>
      </w:r>
      <w:r w:rsidRPr="00DE3AAD">
        <w:rPr>
          <w:lang w:eastAsia="fr-FR"/>
        </w:rPr>
        <w:t>les besoins d’amélioration</w:t>
      </w:r>
      <w:r w:rsidR="00CC6D59">
        <w:rPr>
          <w:lang w:eastAsia="fr-FR"/>
        </w:rPr>
        <w:t>, avant</w:t>
      </w:r>
      <w:r w:rsidR="00783F87">
        <w:rPr>
          <w:lang w:eastAsia="fr-FR"/>
        </w:rPr>
        <w:t xml:space="preserve"> de</w:t>
      </w:r>
      <w:r w:rsidRPr="00DE3AAD">
        <w:rPr>
          <w:lang w:eastAsia="fr-FR"/>
        </w:rPr>
        <w:t xml:space="preserve"> prioris</w:t>
      </w:r>
      <w:r w:rsidR="00783F87">
        <w:rPr>
          <w:lang w:eastAsia="fr-FR"/>
        </w:rPr>
        <w:t>er</w:t>
      </w:r>
      <w:r w:rsidRPr="00DE3AAD">
        <w:rPr>
          <w:lang w:eastAsia="fr-FR"/>
        </w:rPr>
        <w:t xml:space="preserve"> </w:t>
      </w:r>
      <w:r w:rsidR="00783F87">
        <w:rPr>
          <w:lang w:eastAsia="fr-FR"/>
        </w:rPr>
        <w:t>l</w:t>
      </w:r>
      <w:r w:rsidRPr="00DE3AAD">
        <w:rPr>
          <w:lang w:eastAsia="fr-FR"/>
        </w:rPr>
        <w:t>es projets en fonction de critères tels que le nombre d’utilisateurs concernés</w:t>
      </w:r>
      <w:r w:rsidR="00483DC4">
        <w:rPr>
          <w:lang w:eastAsia="fr-FR"/>
        </w:rPr>
        <w:t>,</w:t>
      </w:r>
      <w:r w:rsidRPr="00DE3AAD">
        <w:rPr>
          <w:lang w:eastAsia="fr-FR"/>
        </w:rPr>
        <w:t xml:space="preserve"> la criticité des activités traitées </w:t>
      </w:r>
      <w:r w:rsidR="00483DC4">
        <w:rPr>
          <w:lang w:eastAsia="fr-FR"/>
        </w:rPr>
        <w:t>ou</w:t>
      </w:r>
      <w:r w:rsidRPr="00DE3AAD">
        <w:rPr>
          <w:lang w:eastAsia="fr-FR"/>
        </w:rPr>
        <w:t xml:space="preserve"> </w:t>
      </w:r>
      <w:r w:rsidR="00B93F72">
        <w:rPr>
          <w:lang w:eastAsia="fr-FR"/>
        </w:rPr>
        <w:t xml:space="preserve">le </w:t>
      </w:r>
      <w:r w:rsidR="00483DC4">
        <w:rPr>
          <w:lang w:eastAsia="fr-FR"/>
        </w:rPr>
        <w:t xml:space="preserve">caractère bloquant ou non </w:t>
      </w:r>
      <w:r w:rsidRPr="00DE3AAD">
        <w:rPr>
          <w:lang w:eastAsia="fr-FR"/>
        </w:rPr>
        <w:t xml:space="preserve">des correctifs à apporter. </w:t>
      </w:r>
    </w:p>
    <w:p w14:paraId="50D04781" w14:textId="544792EB" w:rsidR="00DE3AAD" w:rsidRPr="00DE3AAD" w:rsidRDefault="00DE3AAD" w:rsidP="00DE3AAD">
      <w:pPr>
        <w:rPr>
          <w:lang w:eastAsia="fr-FR"/>
        </w:rPr>
      </w:pPr>
      <w:r w:rsidRPr="00DE3AAD">
        <w:rPr>
          <w:lang w:eastAsia="fr-FR"/>
        </w:rPr>
        <w:t xml:space="preserve">Pour harmoniser le plus possible le travail à réaliser dans les différentes entités d’une même organisation, il est souhaitable de mettre en place des grilles de maturité et des listes de vérification </w:t>
      </w:r>
      <w:r w:rsidR="00F805F6">
        <w:rPr>
          <w:lang w:eastAsia="fr-FR"/>
        </w:rPr>
        <w:t>tenant compte des</w:t>
      </w:r>
      <w:r w:rsidRPr="00DE3AAD">
        <w:rPr>
          <w:lang w:eastAsia="fr-FR"/>
        </w:rPr>
        <w:t xml:space="preserve"> contraintes réglementaires locales</w:t>
      </w:r>
      <w:r w:rsidR="005765D8">
        <w:rPr>
          <w:lang w:eastAsia="fr-FR"/>
        </w:rPr>
        <w:t>.</w:t>
      </w:r>
    </w:p>
    <w:p w14:paraId="19DB0173" w14:textId="38C5A92B" w:rsidR="00DE3AAD" w:rsidRPr="00DE3AAD" w:rsidRDefault="00DE3AAD" w:rsidP="00DE3AAD">
      <w:pPr>
        <w:rPr>
          <w:lang w:eastAsia="fr-FR"/>
        </w:rPr>
      </w:pPr>
      <w:r w:rsidRPr="00DE3AAD">
        <w:rPr>
          <w:lang w:eastAsia="fr-FR"/>
        </w:rPr>
        <w:t xml:space="preserve">L’objectif est </w:t>
      </w:r>
      <w:r w:rsidR="00CC6D59">
        <w:rPr>
          <w:lang w:eastAsia="fr-FR"/>
        </w:rPr>
        <w:t xml:space="preserve">donc de définir une </w:t>
      </w:r>
      <w:r w:rsidRPr="00DE3AAD">
        <w:rPr>
          <w:lang w:eastAsia="fr-FR"/>
        </w:rPr>
        <w:t>politique réaliste, ciblée et cohérente à mener par le référent accessibilité.</w:t>
      </w:r>
    </w:p>
    <w:p w14:paraId="725911DD" w14:textId="69CA019E" w:rsidR="00DE3AAD" w:rsidRPr="00483DC4" w:rsidRDefault="00DE3AAD" w:rsidP="00DE3AAD">
      <w:pPr>
        <w:pStyle w:val="Titre3"/>
        <w:rPr>
          <w:lang w:val="fr-FR"/>
        </w:rPr>
      </w:pPr>
      <w:bookmarkStart w:id="37" w:name="_Toc230077013"/>
      <w:r w:rsidRPr="00483DC4">
        <w:rPr>
          <w:lang w:val="fr-FR"/>
        </w:rPr>
        <w:t>Préparation opérationnelle à court et moyen terme</w:t>
      </w:r>
      <w:bookmarkEnd w:id="37"/>
    </w:p>
    <w:p w14:paraId="5881F934" w14:textId="5E8E2162" w:rsidR="00DE3AAD" w:rsidRPr="00DE3AAD" w:rsidRDefault="00DE3AAD" w:rsidP="00DE3AAD">
      <w:pPr>
        <w:rPr>
          <w:lang w:eastAsia="fr-FR"/>
        </w:rPr>
      </w:pPr>
      <w:r w:rsidRPr="00DE3AAD">
        <w:rPr>
          <w:lang w:eastAsia="fr-FR"/>
        </w:rPr>
        <w:t xml:space="preserve">Les principes de la politique d’accessibilité numérique doivent </w:t>
      </w:r>
      <w:r w:rsidR="00070BB2">
        <w:rPr>
          <w:lang w:eastAsia="fr-FR"/>
        </w:rPr>
        <w:t>être</w:t>
      </w:r>
      <w:r w:rsidRPr="00DE3AAD">
        <w:rPr>
          <w:lang w:eastAsia="fr-FR"/>
        </w:rPr>
        <w:t xml:space="preserve"> déclin</w:t>
      </w:r>
      <w:r w:rsidR="00070BB2">
        <w:rPr>
          <w:lang w:eastAsia="fr-FR"/>
        </w:rPr>
        <w:t>és</w:t>
      </w:r>
      <w:r w:rsidRPr="00DE3AAD">
        <w:rPr>
          <w:lang w:eastAsia="fr-FR"/>
        </w:rPr>
        <w:t xml:space="preserve"> en objectifs concrets, portant d’un côté sur la mise en conformité des services et produits numériques et de l’autre sur les formations des usagers visés par la démarche. </w:t>
      </w:r>
    </w:p>
    <w:p w14:paraId="68F25EE9" w14:textId="4B263561" w:rsidR="00DE3AAD" w:rsidRDefault="000B25B9" w:rsidP="00DE3AAD">
      <w:pPr>
        <w:rPr>
          <w:lang w:eastAsia="fr-FR"/>
        </w:rPr>
      </w:pPr>
      <w:r>
        <w:rPr>
          <w:lang w:eastAsia="fr-FR"/>
        </w:rPr>
        <w:t>En outre, la combinaison de différents niveaux</w:t>
      </w:r>
      <w:r w:rsidR="00DE3AAD" w:rsidRPr="00DE3AAD">
        <w:rPr>
          <w:lang w:eastAsia="fr-FR"/>
        </w:rPr>
        <w:t xml:space="preserve"> de granularité des objectifs </w:t>
      </w:r>
      <w:r>
        <w:rPr>
          <w:lang w:eastAsia="fr-FR"/>
        </w:rPr>
        <w:t xml:space="preserve">est nécessaire pour </w:t>
      </w:r>
      <w:r w:rsidR="00DE3AAD" w:rsidRPr="00DE3AAD">
        <w:rPr>
          <w:lang w:eastAsia="fr-FR"/>
        </w:rPr>
        <w:t>une stratégie d’accessibilité la plus réaliste et progressive possible :</w:t>
      </w:r>
      <w:r w:rsidR="00DE3AAD">
        <w:rPr>
          <w:lang w:eastAsia="fr-FR"/>
        </w:rPr>
        <w:t xml:space="preserve"> </w:t>
      </w:r>
    </w:p>
    <w:p w14:paraId="6E561800" w14:textId="77777777" w:rsidR="00DE3AAD" w:rsidRDefault="00DE3AAD">
      <w:pPr>
        <w:pStyle w:val="Paragraphedeliste"/>
        <w:numPr>
          <w:ilvl w:val="0"/>
          <w:numId w:val="18"/>
        </w:numPr>
        <w:rPr>
          <w:lang w:eastAsia="fr-FR"/>
        </w:rPr>
      </w:pPr>
      <w:r>
        <w:rPr>
          <w:lang w:eastAsia="fr-FR"/>
        </w:rPr>
        <w:t xml:space="preserve">D’une part, la définition des objectifs doit pouvoir se décliner sur l’ensemble du cycle de vie de l'accessibilité, tant au niveau global de l’organisation qu’au niveau local (par filiale, par département ou par entité). </w:t>
      </w:r>
    </w:p>
    <w:p w14:paraId="1A6B78B6" w14:textId="77E39FEC" w:rsidR="00DE3AAD" w:rsidRPr="00DE3AAD" w:rsidRDefault="00DE3AAD">
      <w:pPr>
        <w:pStyle w:val="Paragraphedeliste"/>
        <w:numPr>
          <w:ilvl w:val="0"/>
          <w:numId w:val="18"/>
        </w:numPr>
        <w:rPr>
          <w:lang w:eastAsia="fr-FR"/>
        </w:rPr>
      </w:pPr>
      <w:r>
        <w:rPr>
          <w:lang w:eastAsia="fr-FR"/>
        </w:rPr>
        <w:t>D’autre part, la définition des objectifs doit pouvoir s'échelonner dans le temps, avec un horizon commun de 3 ans pour les schémas pluriannuels.</w:t>
      </w:r>
    </w:p>
    <w:p w14:paraId="00377477" w14:textId="543067AC" w:rsidR="00DE3AAD" w:rsidRDefault="00DE3AAD" w:rsidP="00DE3AAD">
      <w:pPr>
        <w:pStyle w:val="Titre3"/>
      </w:pPr>
      <w:bookmarkStart w:id="38" w:name="_Toc230077014"/>
      <w:r w:rsidRPr="00DE3AAD">
        <w:t>Comitologie et communication adaptée</w:t>
      </w:r>
      <w:bookmarkEnd w:id="38"/>
      <w:r>
        <w:t xml:space="preserve"> </w:t>
      </w:r>
    </w:p>
    <w:p w14:paraId="7EC0D5D0" w14:textId="1EC7A24E" w:rsidR="00DE3AAD" w:rsidRDefault="00855DDC" w:rsidP="00DE3AAD">
      <w:pPr>
        <w:rPr>
          <w:lang w:eastAsia="fr-FR"/>
        </w:rPr>
      </w:pPr>
      <w:r>
        <w:rPr>
          <w:lang w:eastAsia="fr-FR"/>
        </w:rPr>
        <w:t>L</w:t>
      </w:r>
      <w:r w:rsidR="00DE3AAD">
        <w:rPr>
          <w:lang w:eastAsia="fr-FR"/>
        </w:rPr>
        <w:t xml:space="preserve">a construction d’une stratégie accessibilité </w:t>
      </w:r>
      <w:r>
        <w:rPr>
          <w:lang w:eastAsia="fr-FR"/>
        </w:rPr>
        <w:t>nécessite</w:t>
      </w:r>
      <w:r w:rsidR="003A0458">
        <w:rPr>
          <w:lang w:eastAsia="fr-FR"/>
        </w:rPr>
        <w:t xml:space="preserve"> </w:t>
      </w:r>
      <w:r>
        <w:rPr>
          <w:lang w:eastAsia="fr-FR"/>
        </w:rPr>
        <w:t>enfin d’avoir</w:t>
      </w:r>
      <w:r w:rsidR="00DE3AAD">
        <w:rPr>
          <w:lang w:eastAsia="fr-FR"/>
        </w:rPr>
        <w:t xml:space="preserve"> les moyens d’animer la démarche, de lui apporter des correctifs, de la mettre à jour et de la maintenir dans le temps. </w:t>
      </w:r>
    </w:p>
    <w:p w14:paraId="46D78E0A" w14:textId="178D7D22" w:rsidR="00DE3AAD" w:rsidRDefault="00DE3AAD" w:rsidP="00DE3AAD">
      <w:pPr>
        <w:rPr>
          <w:lang w:eastAsia="fr-FR"/>
        </w:rPr>
      </w:pPr>
      <w:r>
        <w:rPr>
          <w:lang w:eastAsia="fr-FR"/>
        </w:rPr>
        <w:lastRenderedPageBreak/>
        <w:t xml:space="preserve">À ce titre, la création de comités et instances dédiés permet, d’une part, d’organiser la prise de décision à différents niveaux (stratégique, organisationnel, opérationnel) et </w:t>
      </w:r>
      <w:r w:rsidR="00855DDC">
        <w:rPr>
          <w:lang w:eastAsia="fr-FR"/>
        </w:rPr>
        <w:t xml:space="preserve">d’autre part, </w:t>
      </w:r>
      <w:r>
        <w:rPr>
          <w:lang w:eastAsia="fr-FR"/>
        </w:rPr>
        <w:t>d’assurer le pilotage et le suivi de la démarche d’accessibilité</w:t>
      </w:r>
      <w:r w:rsidR="007256CE">
        <w:rPr>
          <w:lang w:eastAsia="fr-FR"/>
        </w:rPr>
        <w:t xml:space="preserve"> (priorisation, arbitrages…)</w:t>
      </w:r>
      <w:r>
        <w:rPr>
          <w:lang w:eastAsia="fr-FR"/>
        </w:rPr>
        <w:t>.</w:t>
      </w:r>
    </w:p>
    <w:p w14:paraId="6C683C30" w14:textId="4E44AD4D" w:rsidR="00D96AC2" w:rsidRPr="005765D8" w:rsidRDefault="00F67D50" w:rsidP="00DE3AAD">
      <w:pPr>
        <w:rPr>
          <w:lang w:eastAsia="fr-FR"/>
        </w:rPr>
      </w:pPr>
      <w:r w:rsidRPr="005765D8">
        <w:rPr>
          <w:lang w:eastAsia="fr-FR"/>
        </w:rPr>
        <w:t>Enfin, p</w:t>
      </w:r>
      <w:r w:rsidR="00D96AC2" w:rsidRPr="005765D8">
        <w:rPr>
          <w:lang w:eastAsia="fr-FR"/>
        </w:rPr>
        <w:t xml:space="preserve">our </w:t>
      </w:r>
      <w:r w:rsidR="00B461BE" w:rsidRPr="00174707">
        <w:rPr>
          <w:lang w:eastAsia="fr-FR"/>
        </w:rPr>
        <w:t>engage</w:t>
      </w:r>
      <w:r w:rsidR="00D96AC2" w:rsidRPr="005765D8">
        <w:rPr>
          <w:lang w:eastAsia="fr-FR"/>
        </w:rPr>
        <w:t>r durablement les parties prenantes</w:t>
      </w:r>
      <w:r w:rsidRPr="005765D8">
        <w:rPr>
          <w:lang w:eastAsia="fr-FR"/>
        </w:rPr>
        <w:t xml:space="preserve"> clés</w:t>
      </w:r>
      <w:r w:rsidR="00D96AC2" w:rsidRPr="005765D8">
        <w:rPr>
          <w:lang w:eastAsia="fr-FR"/>
        </w:rPr>
        <w:t>, le pôle de référents accessibilité</w:t>
      </w:r>
      <w:r w:rsidRPr="005765D8">
        <w:rPr>
          <w:lang w:eastAsia="fr-FR"/>
        </w:rPr>
        <w:t xml:space="preserve"> peut</w:t>
      </w:r>
      <w:r w:rsidR="00D96AC2" w:rsidRPr="005765D8">
        <w:rPr>
          <w:lang w:eastAsia="fr-FR"/>
        </w:rPr>
        <w:t xml:space="preserve"> s'appuyer sur des relais stratégiques : </w:t>
      </w:r>
      <w:r w:rsidR="005765D8">
        <w:rPr>
          <w:lang w:eastAsia="fr-FR"/>
        </w:rPr>
        <w:t>le département communication pour la mise en visibilité et le partage d’informations (communauté numérique, magazine interne ou spéciali</w:t>
      </w:r>
      <w:r w:rsidR="00B93F72">
        <w:rPr>
          <w:lang w:eastAsia="fr-FR"/>
        </w:rPr>
        <w:t>s</w:t>
      </w:r>
      <w:r w:rsidR="005765D8">
        <w:rPr>
          <w:lang w:eastAsia="fr-FR"/>
        </w:rPr>
        <w:t>é, lettres d’information …) </w:t>
      </w:r>
      <w:r w:rsidR="00B93F72">
        <w:rPr>
          <w:lang w:eastAsia="fr-FR"/>
        </w:rPr>
        <w:t>et</w:t>
      </w:r>
      <w:r w:rsidR="005765D8">
        <w:rPr>
          <w:lang w:eastAsia="fr-FR"/>
        </w:rPr>
        <w:t xml:space="preserve"> un réseau d’ambassadeurs de l’accessibilité sur le terrain, dans chaque entité ou projet IT. </w:t>
      </w:r>
      <w:r w:rsidR="00D96AC2" w:rsidRPr="005765D8">
        <w:rPr>
          <w:lang w:eastAsia="fr-FR"/>
        </w:rPr>
        <w:t>Ce maillage permet non seulement de mobiliser</w:t>
      </w:r>
      <w:r w:rsidR="001558B5" w:rsidRPr="005765D8">
        <w:rPr>
          <w:lang w:eastAsia="fr-FR"/>
        </w:rPr>
        <w:t xml:space="preserve"> </w:t>
      </w:r>
      <w:r w:rsidR="00B461BE" w:rsidRPr="00483DC4">
        <w:rPr>
          <w:lang w:eastAsia="fr-FR"/>
        </w:rPr>
        <w:t xml:space="preserve">les </w:t>
      </w:r>
      <w:r w:rsidR="001558B5" w:rsidRPr="005765D8">
        <w:rPr>
          <w:lang w:eastAsia="fr-FR"/>
        </w:rPr>
        <w:t>collaborateurs</w:t>
      </w:r>
      <w:r w:rsidR="00B461BE" w:rsidRPr="00483DC4">
        <w:rPr>
          <w:lang w:eastAsia="fr-FR"/>
        </w:rPr>
        <w:t xml:space="preserve"> en interne</w:t>
      </w:r>
      <w:r w:rsidR="001558B5" w:rsidRPr="005765D8">
        <w:rPr>
          <w:lang w:eastAsia="fr-FR"/>
        </w:rPr>
        <w:t xml:space="preserve"> et </w:t>
      </w:r>
      <w:r w:rsidR="00B461BE" w:rsidRPr="008227C9">
        <w:rPr>
          <w:lang w:eastAsia="fr-FR"/>
        </w:rPr>
        <w:t xml:space="preserve">les </w:t>
      </w:r>
      <w:r w:rsidR="001558B5" w:rsidRPr="005765D8">
        <w:rPr>
          <w:lang w:eastAsia="fr-FR"/>
        </w:rPr>
        <w:t>usager</w:t>
      </w:r>
      <w:r w:rsidR="00B461BE" w:rsidRPr="008227C9">
        <w:rPr>
          <w:lang w:eastAsia="fr-FR"/>
        </w:rPr>
        <w:t xml:space="preserve">s </w:t>
      </w:r>
      <w:r w:rsidR="00D96AC2" w:rsidRPr="005765D8">
        <w:rPr>
          <w:lang w:eastAsia="fr-FR"/>
        </w:rPr>
        <w:t>externe</w:t>
      </w:r>
      <w:r w:rsidR="00B461BE" w:rsidRPr="008227C9">
        <w:rPr>
          <w:lang w:eastAsia="fr-FR"/>
        </w:rPr>
        <w:t>s</w:t>
      </w:r>
      <w:r w:rsidR="00D96AC2" w:rsidRPr="005765D8">
        <w:rPr>
          <w:lang w:eastAsia="fr-FR"/>
        </w:rPr>
        <w:t>, mais aussi de transformer les retours d'expérience</w:t>
      </w:r>
      <w:r w:rsidR="00B461BE" w:rsidRPr="008227C9">
        <w:rPr>
          <w:lang w:eastAsia="fr-FR"/>
        </w:rPr>
        <w:t xml:space="preserve"> des utilisateurs</w:t>
      </w:r>
      <w:r w:rsidR="00D96AC2" w:rsidRPr="005765D8">
        <w:rPr>
          <w:lang w:eastAsia="fr-FR"/>
        </w:rPr>
        <w:t xml:space="preserve"> en leviers d'amélioration des services</w:t>
      </w:r>
      <w:r w:rsidR="00B461BE" w:rsidRPr="008227C9">
        <w:rPr>
          <w:lang w:eastAsia="fr-FR"/>
        </w:rPr>
        <w:t>.</w:t>
      </w:r>
    </w:p>
    <w:p w14:paraId="7F3A36BC" w14:textId="77777777" w:rsidR="0092554C" w:rsidRDefault="0092554C" w:rsidP="00DE3AAD">
      <w:pPr>
        <w:rPr>
          <w:lang w:eastAsia="fr-FR"/>
        </w:rPr>
      </w:pPr>
    </w:p>
    <w:tbl>
      <w:tblPr>
        <w:tblW w:w="5001"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9"/>
      </w:tblGrid>
      <w:tr w:rsidR="008D54D8" w:rsidRPr="00C43137" w14:paraId="383D8888" w14:textId="77777777" w:rsidTr="00072B81">
        <w:trPr>
          <w:jc w:val="center"/>
        </w:trPr>
        <w:tc>
          <w:tcPr>
            <w:tcW w:w="9049" w:type="dxa"/>
            <w:tcBorders>
              <w:left w:val="single" w:sz="18" w:space="0" w:color="155E48"/>
            </w:tcBorders>
            <w:shd w:val="clear" w:color="auto" w:fill="F2F2F2" w:themeFill="background1" w:themeFillShade="F2"/>
          </w:tcPr>
          <w:p w14:paraId="523A65D4" w14:textId="77777777" w:rsidR="008D54D8" w:rsidRDefault="008D54D8" w:rsidP="00BE4EAB">
            <w:pPr>
              <w:pStyle w:val="TitreEncart"/>
            </w:pPr>
            <w:bookmarkStart w:id="39" w:name="_Toc230257725"/>
            <w:bookmarkStart w:id="40" w:name="_Hlk230190931"/>
            <w:r w:rsidRPr="0092554C">
              <w:lastRenderedPageBreak/>
              <w:t xml:space="preserve">REX </w:t>
            </w:r>
            <w:r>
              <w:t>EQUANS</w:t>
            </w:r>
            <w:bookmarkEnd w:id="39"/>
            <w:r>
              <w:t> </w:t>
            </w:r>
          </w:p>
          <w:p w14:paraId="2561666A" w14:textId="77777777" w:rsidR="008D54D8" w:rsidRPr="007B2E61" w:rsidRDefault="008D54D8" w:rsidP="00F25788">
            <w:pPr>
              <w:pStyle w:val="TitreencartREX"/>
            </w:pPr>
            <w:r>
              <w:t>Dé</w:t>
            </w:r>
            <w:r w:rsidRPr="00A90E53">
              <w:t xml:space="preserve">marche </w:t>
            </w:r>
            <w:r>
              <w:t>d’</w:t>
            </w:r>
            <w:r w:rsidRPr="00A90E53">
              <w:t xml:space="preserve">accessibilité </w:t>
            </w:r>
            <w:r>
              <w:t xml:space="preserve">numérique chez </w:t>
            </w:r>
            <w:proofErr w:type="spellStart"/>
            <w:r>
              <w:t>Equans</w:t>
            </w:r>
            <w:proofErr w:type="spellEnd"/>
            <w:r>
              <w:t xml:space="preserve"> </w:t>
            </w:r>
          </w:p>
          <w:p w14:paraId="24A2A64F" w14:textId="3397006B" w:rsidR="008D54D8" w:rsidRDefault="00DC3602" w:rsidP="00BE4EAB">
            <w:r>
              <w:t xml:space="preserve">« </w:t>
            </w:r>
            <w:r w:rsidR="008D54D8">
              <w:t xml:space="preserve">Le Groupe </w:t>
            </w:r>
            <w:proofErr w:type="spellStart"/>
            <w:r w:rsidR="008D54D8">
              <w:t>Equans</w:t>
            </w:r>
            <w:proofErr w:type="spellEnd"/>
            <w:r w:rsidR="008D54D8">
              <w:t xml:space="preserve"> propose ses services dans plus de 20 pays. Notre première action a été de comprendre comment approcher l’accessibilité numérique selon les régulations régionales comme l’EAA (</w:t>
            </w:r>
            <w:proofErr w:type="spellStart"/>
            <w:r w:rsidR="008D54D8" w:rsidRPr="00BE2C17">
              <w:rPr>
                <w:i/>
                <w:iCs/>
              </w:rPr>
              <w:t>European</w:t>
            </w:r>
            <w:proofErr w:type="spellEnd"/>
            <w:r w:rsidR="008D54D8" w:rsidRPr="00BE2C17">
              <w:rPr>
                <w:i/>
                <w:iCs/>
              </w:rPr>
              <w:t xml:space="preserve"> </w:t>
            </w:r>
            <w:proofErr w:type="spellStart"/>
            <w:r w:rsidR="008D54D8" w:rsidRPr="00BE2C17">
              <w:rPr>
                <w:i/>
                <w:iCs/>
              </w:rPr>
              <w:t>Accessibility</w:t>
            </w:r>
            <w:proofErr w:type="spellEnd"/>
            <w:r w:rsidR="008D54D8" w:rsidRPr="00BE2C17">
              <w:rPr>
                <w:i/>
                <w:iCs/>
              </w:rPr>
              <w:t xml:space="preserve"> Act</w:t>
            </w:r>
            <w:r w:rsidR="008D54D8">
              <w:t xml:space="preserve">) ou locales comme la section 108 aux </w:t>
            </w:r>
            <w:r w:rsidR="00F755EB">
              <w:t>É</w:t>
            </w:r>
            <w:r w:rsidR="008D54D8">
              <w:t xml:space="preserve">tats-Unis par exemple. Nous avons voulu comprendre comment travailler ce sujet également vis-à-vis de la standardisation de certains de nos systèmes d’information, et de l’existence d’un référentiel commun (lequel choisir entre WCAG ou RGAA ?). Cela nous a conduit à mener une analyse de plusieurs mois. </w:t>
            </w:r>
          </w:p>
          <w:p w14:paraId="0ED2E837" w14:textId="3BD23E78" w:rsidR="008D54D8" w:rsidRDefault="008D54D8" w:rsidP="00DC3602">
            <w:pPr>
              <w:pStyle w:val="Paragraphedeliste"/>
              <w:numPr>
                <w:ilvl w:val="0"/>
                <w:numId w:val="72"/>
              </w:numPr>
              <w:ind w:left="357"/>
              <w:contextualSpacing w:val="0"/>
            </w:pPr>
            <w:r w:rsidRPr="008D54D8">
              <w:rPr>
                <w:b/>
                <w:bCs/>
              </w:rPr>
              <w:t>Pour structurer notre démarche</w:t>
            </w:r>
            <w:r>
              <w:t xml:space="preserve">, nous avons également bénéficié d’un </w:t>
            </w:r>
            <w:r w:rsidRPr="008D54D8">
              <w:rPr>
                <w:i/>
                <w:iCs/>
              </w:rPr>
              <w:t>sponsoring</w:t>
            </w:r>
            <w:r>
              <w:t xml:space="preserve"> à deux niveaux, l’un au niveau du Groupe Bouygues, avec Olivier Hoberdon (BYSA CIO), qui a créé un groupe de travail dédié à l’accessibilité numérique en regroupant l’ensemble des 6 entités ; l’autre au niveau du CIO Group d’</w:t>
            </w:r>
            <w:proofErr w:type="spellStart"/>
            <w:r>
              <w:t>Equans</w:t>
            </w:r>
            <w:proofErr w:type="spellEnd"/>
            <w:r>
              <w:t xml:space="preserve">, </w:t>
            </w:r>
            <w:r w:rsidR="00F755EB">
              <w:t xml:space="preserve">avec </w:t>
            </w:r>
            <w:r>
              <w:t xml:space="preserve">Emmanuel Gachet, qui m’a nommé au sein de ses équipes « </w:t>
            </w:r>
            <w:proofErr w:type="spellStart"/>
            <w:r w:rsidRPr="00F755EB">
              <w:rPr>
                <w:i/>
                <w:iCs/>
              </w:rPr>
              <w:t>Sustain</w:t>
            </w:r>
            <w:proofErr w:type="spellEnd"/>
            <w:r w:rsidRPr="00F755EB">
              <w:rPr>
                <w:i/>
                <w:iCs/>
              </w:rPr>
              <w:t xml:space="preserve"> IT</w:t>
            </w:r>
            <w:r>
              <w:t xml:space="preserve"> », pour travailler sur l’empreinte carbone et l’accessibilité numérique en même temps.                 </w:t>
            </w:r>
          </w:p>
          <w:p w14:paraId="4C232C58" w14:textId="77777777" w:rsidR="008D54D8" w:rsidRDefault="008D54D8" w:rsidP="00DC3602">
            <w:pPr>
              <w:pStyle w:val="Paragraphedeliste"/>
              <w:numPr>
                <w:ilvl w:val="0"/>
                <w:numId w:val="83"/>
              </w:numPr>
              <w:spacing w:after="160" w:line="259" w:lineRule="auto"/>
              <w:ind w:left="357"/>
              <w:contextualSpacing w:val="0"/>
            </w:pPr>
            <w:r w:rsidRPr="00BE2C17">
              <w:rPr>
                <w:b/>
                <w:bCs/>
              </w:rPr>
              <w:t>Pour traiter la transversalité de ce sujet</w:t>
            </w:r>
            <w:r>
              <w:t xml:space="preserve"> au croisement des problématiques d’inclusion et d’autonomie, une cartographie des parties prenantes impliquées, de leurs rôles et de leurs responsabilités, a été élaborée. Elle implique :</w:t>
            </w:r>
          </w:p>
          <w:p w14:paraId="7C6905CE" w14:textId="77777777" w:rsidR="008D54D8" w:rsidRDefault="008D54D8">
            <w:pPr>
              <w:pStyle w:val="Paragraphedeliste"/>
              <w:numPr>
                <w:ilvl w:val="0"/>
                <w:numId w:val="81"/>
              </w:numPr>
              <w:spacing w:after="160" w:line="259" w:lineRule="auto"/>
            </w:pPr>
            <w:proofErr w:type="gramStart"/>
            <w:r>
              <w:t>la</w:t>
            </w:r>
            <w:proofErr w:type="gramEnd"/>
            <w:r>
              <w:t xml:space="preserve"> communication externe pour les sites </w:t>
            </w:r>
            <w:proofErr w:type="spellStart"/>
            <w:r>
              <w:t>internets</w:t>
            </w:r>
            <w:proofErr w:type="spellEnd"/>
            <w:r>
              <w:t>,</w:t>
            </w:r>
          </w:p>
          <w:p w14:paraId="6410A7DF" w14:textId="77777777" w:rsidR="008D54D8" w:rsidRDefault="008D54D8">
            <w:pPr>
              <w:pStyle w:val="Paragraphedeliste"/>
              <w:numPr>
                <w:ilvl w:val="0"/>
                <w:numId w:val="81"/>
              </w:numPr>
              <w:spacing w:after="160" w:line="259" w:lineRule="auto"/>
            </w:pPr>
            <w:proofErr w:type="gramStart"/>
            <w:r>
              <w:t>la</w:t>
            </w:r>
            <w:proofErr w:type="gramEnd"/>
            <w:r>
              <w:t xml:space="preserve"> communication interne pour les sites intranets,</w:t>
            </w:r>
          </w:p>
          <w:p w14:paraId="6E04EF8C" w14:textId="77777777" w:rsidR="008D54D8" w:rsidRDefault="008D54D8">
            <w:pPr>
              <w:pStyle w:val="Paragraphedeliste"/>
              <w:numPr>
                <w:ilvl w:val="0"/>
                <w:numId w:val="81"/>
              </w:numPr>
              <w:spacing w:after="160" w:line="259" w:lineRule="auto"/>
            </w:pPr>
            <w:proofErr w:type="gramStart"/>
            <w:r>
              <w:t>la</w:t>
            </w:r>
            <w:proofErr w:type="gramEnd"/>
            <w:r>
              <w:t xml:space="preserve"> communication en charge de la Marque, pour la charte graphique,</w:t>
            </w:r>
          </w:p>
          <w:p w14:paraId="4E66D062" w14:textId="77777777" w:rsidR="008D54D8" w:rsidRDefault="008D54D8">
            <w:pPr>
              <w:pStyle w:val="Paragraphedeliste"/>
              <w:numPr>
                <w:ilvl w:val="0"/>
                <w:numId w:val="81"/>
              </w:numPr>
              <w:spacing w:after="160" w:line="259" w:lineRule="auto"/>
            </w:pPr>
            <w:proofErr w:type="gramStart"/>
            <w:r>
              <w:t>les</w:t>
            </w:r>
            <w:proofErr w:type="gramEnd"/>
            <w:r>
              <w:t xml:space="preserve"> équipes achats pour la mise à jour des appels d’offres et des contrats,</w:t>
            </w:r>
          </w:p>
          <w:p w14:paraId="595529A0" w14:textId="77777777" w:rsidR="008D54D8" w:rsidRDefault="008D54D8">
            <w:pPr>
              <w:pStyle w:val="Paragraphedeliste"/>
              <w:numPr>
                <w:ilvl w:val="0"/>
                <w:numId w:val="81"/>
              </w:numPr>
              <w:spacing w:after="160" w:line="259" w:lineRule="auto"/>
            </w:pPr>
            <w:proofErr w:type="gramStart"/>
            <w:r>
              <w:t>les</w:t>
            </w:r>
            <w:proofErr w:type="gramEnd"/>
            <w:r>
              <w:t xml:space="preserve"> équipes de gestion des fournisseurs afin de les relancer et de les influencer sur ce sujet à chaque revue trimestrielle ou semestrielle,</w:t>
            </w:r>
          </w:p>
          <w:p w14:paraId="332AB9CA" w14:textId="3E4244DF" w:rsidR="008D54D8" w:rsidRDefault="008D54D8">
            <w:pPr>
              <w:pStyle w:val="Paragraphedeliste"/>
              <w:numPr>
                <w:ilvl w:val="0"/>
                <w:numId w:val="81"/>
              </w:numPr>
              <w:spacing w:after="160" w:line="259" w:lineRule="auto"/>
            </w:pPr>
            <w:proofErr w:type="gramStart"/>
            <w:r>
              <w:t>les</w:t>
            </w:r>
            <w:proofErr w:type="gramEnd"/>
            <w:r>
              <w:t xml:space="preserve"> équipes Ressources Humaines pour leurs outils SIRH, afin de faire connaître les actions du groupe sur le sujet de l’accessibilité numérique et de les intégrer dans notre processus de recrutement,</w:t>
            </w:r>
          </w:p>
          <w:p w14:paraId="09264BFC" w14:textId="77777777" w:rsidR="008D54D8" w:rsidRDefault="008D54D8">
            <w:pPr>
              <w:pStyle w:val="Paragraphedeliste"/>
              <w:numPr>
                <w:ilvl w:val="0"/>
                <w:numId w:val="81"/>
              </w:numPr>
              <w:spacing w:after="160" w:line="259" w:lineRule="auto"/>
            </w:pPr>
            <w:proofErr w:type="gramStart"/>
            <w:r>
              <w:t>les</w:t>
            </w:r>
            <w:proofErr w:type="gramEnd"/>
            <w:r>
              <w:t xml:space="preserve"> différents postes au sein de l’IT, développeur, chef de projet, </w:t>
            </w:r>
            <w:proofErr w:type="spellStart"/>
            <w:r w:rsidRPr="00BE2C17">
              <w:rPr>
                <w:i/>
                <w:iCs/>
              </w:rPr>
              <w:t>product</w:t>
            </w:r>
            <w:proofErr w:type="spellEnd"/>
            <w:r w:rsidRPr="00BE2C17">
              <w:rPr>
                <w:i/>
                <w:iCs/>
              </w:rPr>
              <w:t xml:space="preserve"> </w:t>
            </w:r>
            <w:proofErr w:type="spellStart"/>
            <w:r w:rsidRPr="00BE2C17">
              <w:rPr>
                <w:i/>
                <w:iCs/>
              </w:rPr>
              <w:t>owner</w:t>
            </w:r>
            <w:proofErr w:type="spellEnd"/>
            <w:r>
              <w:t>,</w:t>
            </w:r>
          </w:p>
          <w:p w14:paraId="1D3DAE9B" w14:textId="77777777" w:rsidR="008D54D8" w:rsidRDefault="008D54D8">
            <w:pPr>
              <w:pStyle w:val="Paragraphedeliste"/>
              <w:numPr>
                <w:ilvl w:val="0"/>
                <w:numId w:val="81"/>
              </w:numPr>
              <w:spacing w:after="160" w:line="259" w:lineRule="auto"/>
            </w:pPr>
            <w:proofErr w:type="gramStart"/>
            <w:r>
              <w:t>l’équipe</w:t>
            </w:r>
            <w:proofErr w:type="gramEnd"/>
            <w:r>
              <w:t xml:space="preserve"> RSE,</w:t>
            </w:r>
          </w:p>
          <w:p w14:paraId="626042A7" w14:textId="77777777" w:rsidR="008D54D8" w:rsidRDefault="008D54D8">
            <w:pPr>
              <w:pStyle w:val="Paragraphedeliste"/>
              <w:numPr>
                <w:ilvl w:val="0"/>
                <w:numId w:val="81"/>
              </w:numPr>
              <w:spacing w:after="160" w:line="259" w:lineRule="auto"/>
            </w:pPr>
            <w:proofErr w:type="gramStart"/>
            <w:r>
              <w:t>la</w:t>
            </w:r>
            <w:proofErr w:type="gramEnd"/>
            <w:r>
              <w:t xml:space="preserve"> personne référente Handicap au sein de l’entreprise,</w:t>
            </w:r>
          </w:p>
          <w:p w14:paraId="21E9F269" w14:textId="77777777" w:rsidR="008D54D8" w:rsidRDefault="008D54D8">
            <w:pPr>
              <w:pStyle w:val="Paragraphedeliste"/>
              <w:numPr>
                <w:ilvl w:val="0"/>
                <w:numId w:val="81"/>
              </w:numPr>
              <w:spacing w:after="160" w:line="259" w:lineRule="auto"/>
            </w:pPr>
            <w:proofErr w:type="gramStart"/>
            <w:r>
              <w:t>le</w:t>
            </w:r>
            <w:proofErr w:type="gramEnd"/>
            <w:r>
              <w:t xml:space="preserve"> légal, pour nous soutenir dans notre compréhension des textes, et de leurs applications,</w:t>
            </w:r>
          </w:p>
          <w:p w14:paraId="270575A5" w14:textId="77777777" w:rsidR="008D54D8" w:rsidRDefault="008D54D8">
            <w:pPr>
              <w:pStyle w:val="Paragraphedeliste"/>
              <w:numPr>
                <w:ilvl w:val="0"/>
                <w:numId w:val="81"/>
              </w:numPr>
              <w:spacing w:after="160" w:line="259" w:lineRule="auto"/>
            </w:pPr>
            <w:proofErr w:type="gramStart"/>
            <w:r>
              <w:t>les</w:t>
            </w:r>
            <w:proofErr w:type="gramEnd"/>
            <w:r>
              <w:t xml:space="preserve"> équipes IT en charge des applications Groupe,</w:t>
            </w:r>
          </w:p>
          <w:p w14:paraId="177F0A12" w14:textId="77777777" w:rsidR="008D54D8" w:rsidRDefault="008D54D8">
            <w:pPr>
              <w:pStyle w:val="Paragraphedeliste"/>
              <w:numPr>
                <w:ilvl w:val="0"/>
                <w:numId w:val="81"/>
              </w:numPr>
              <w:spacing w:after="160" w:line="259" w:lineRule="auto"/>
            </w:pPr>
            <w:proofErr w:type="gramStart"/>
            <w:r>
              <w:t>et</w:t>
            </w:r>
            <w:proofErr w:type="gramEnd"/>
            <w:r>
              <w:t xml:space="preserve"> les représentants de deux pays, la France et le Royaume-Uni, pour rester connectés à la réalité du terrain.</w:t>
            </w:r>
          </w:p>
          <w:p w14:paraId="7FB200D1" w14:textId="77777777" w:rsidR="008D54D8" w:rsidRDefault="008D54D8" w:rsidP="00BE4EAB">
            <w:pPr>
              <w:pStyle w:val="Paragraphedeliste"/>
            </w:pPr>
          </w:p>
          <w:p w14:paraId="6AD65F8A" w14:textId="77777777" w:rsidR="008D54D8" w:rsidRDefault="008D54D8">
            <w:pPr>
              <w:pStyle w:val="Paragraphedeliste"/>
              <w:numPr>
                <w:ilvl w:val="0"/>
                <w:numId w:val="82"/>
              </w:numPr>
              <w:spacing w:after="160" w:line="259" w:lineRule="auto"/>
            </w:pPr>
            <w:r w:rsidRPr="00BE2C17">
              <w:rPr>
                <w:b/>
                <w:bCs/>
              </w:rPr>
              <w:lastRenderedPageBreak/>
              <w:t>Tous ensemble, nous avons créé un comité de pilotage pour l’accessibilité numérique</w:t>
            </w:r>
            <w:r>
              <w:t xml:space="preserve"> au niveau </w:t>
            </w:r>
            <w:proofErr w:type="spellStart"/>
            <w:r w:rsidRPr="00BE2C17">
              <w:rPr>
                <w:i/>
                <w:iCs/>
              </w:rPr>
              <w:t>corporate</w:t>
            </w:r>
            <w:proofErr w:type="spellEnd"/>
            <w:r>
              <w:t xml:space="preserve">, avec l’intention de dupliquer cette gouvernance au niveau des </w:t>
            </w:r>
            <w:proofErr w:type="spellStart"/>
            <w:r>
              <w:t>MBUs</w:t>
            </w:r>
            <w:proofErr w:type="spellEnd"/>
            <w:r>
              <w:t xml:space="preserve"> à l’avenir.</w:t>
            </w:r>
          </w:p>
          <w:p w14:paraId="3D1C16A9" w14:textId="77777777" w:rsidR="008D54D8" w:rsidRDefault="008D54D8" w:rsidP="00BE4EAB">
            <w:r>
              <w:t>Notre cheminement nous a permis de :</w:t>
            </w:r>
          </w:p>
          <w:p w14:paraId="799E3007" w14:textId="77777777" w:rsidR="008D54D8" w:rsidRDefault="008D54D8">
            <w:pPr>
              <w:pStyle w:val="Paragraphedeliste"/>
              <w:numPr>
                <w:ilvl w:val="0"/>
                <w:numId w:val="79"/>
              </w:numPr>
              <w:spacing w:after="160" w:line="259" w:lineRule="auto"/>
            </w:pPr>
            <w:r>
              <w:t>Confirmer notre audience,</w:t>
            </w:r>
          </w:p>
          <w:p w14:paraId="44A56631" w14:textId="77777777" w:rsidR="008D54D8" w:rsidRDefault="008D54D8">
            <w:pPr>
              <w:pStyle w:val="Paragraphedeliste"/>
              <w:numPr>
                <w:ilvl w:val="0"/>
                <w:numId w:val="79"/>
              </w:numPr>
              <w:spacing w:after="160" w:line="259" w:lineRule="auto"/>
            </w:pPr>
            <w:r>
              <w:t>Comprendre la demande légale au niveau français, européen et international,</w:t>
            </w:r>
          </w:p>
          <w:p w14:paraId="184E4423" w14:textId="77777777" w:rsidR="008D54D8" w:rsidRDefault="008D54D8">
            <w:pPr>
              <w:pStyle w:val="Paragraphedeliste"/>
              <w:numPr>
                <w:ilvl w:val="0"/>
                <w:numId w:val="79"/>
              </w:numPr>
              <w:spacing w:after="160" w:line="259" w:lineRule="auto"/>
            </w:pPr>
            <w:r>
              <w:t xml:space="preserve">Séparer notre approche en deux et traiter distinctement les systèmes d’information      existants des nouveaux systèmes d’information en cherchant :      </w:t>
            </w:r>
          </w:p>
          <w:p w14:paraId="0D98C07E" w14:textId="77777777" w:rsidR="008D54D8" w:rsidRDefault="008D54D8">
            <w:pPr>
              <w:pStyle w:val="Paragraphedeliste"/>
              <w:numPr>
                <w:ilvl w:val="0"/>
                <w:numId w:val="80"/>
              </w:numPr>
              <w:spacing w:after="160" w:line="259" w:lineRule="auto"/>
            </w:pPr>
            <w:r>
              <w:t xml:space="preserve">Pour l’existant, à comprendre de manière </w:t>
            </w:r>
            <w:r w:rsidRPr="00BE2C17">
              <w:rPr>
                <w:i/>
                <w:iCs/>
              </w:rPr>
              <w:t xml:space="preserve">high </w:t>
            </w:r>
            <w:proofErr w:type="spellStart"/>
            <w:r w:rsidRPr="00BE2C17">
              <w:rPr>
                <w:i/>
                <w:iCs/>
              </w:rPr>
              <w:t>level</w:t>
            </w:r>
            <w:proofErr w:type="spellEnd"/>
            <w:r>
              <w:t xml:space="preserve"> notre environnement informatique et les personnes qui décident et agissent au quotidien pour le faire tourner et l’améliorer,</w:t>
            </w:r>
          </w:p>
          <w:p w14:paraId="381D6A14" w14:textId="77777777" w:rsidR="008D54D8" w:rsidRDefault="008D54D8">
            <w:pPr>
              <w:pStyle w:val="Paragraphedeliste"/>
              <w:numPr>
                <w:ilvl w:val="0"/>
                <w:numId w:val="80"/>
              </w:numPr>
              <w:spacing w:after="160" w:line="259" w:lineRule="auto"/>
            </w:pPr>
            <w:r>
              <w:t>Pour les nouveaux, à nous intéresser aux éléments inhérents à l’achat d’un nouveau système (gouvernance technique et processus d’achat).</w:t>
            </w:r>
          </w:p>
          <w:p w14:paraId="5B7B65F8" w14:textId="7FE5F739" w:rsidR="008D54D8" w:rsidRDefault="008D54D8" w:rsidP="00BE4EAB">
            <w:r>
              <w:t xml:space="preserve">Il est important de mentionner que notre participation aux </w:t>
            </w:r>
            <w:r w:rsidR="00F755EB">
              <w:t>g</w:t>
            </w:r>
            <w:r>
              <w:t>roupe</w:t>
            </w:r>
            <w:r w:rsidR="00F755EB">
              <w:t>s</w:t>
            </w:r>
            <w:r>
              <w:t xml:space="preserve"> de Travail du Cigref a été essentielle dans notre prise en charge de l’accessibilité numérique, car l’échange avec d’autres sociétés et les diverses présentations par des experts du sujet nous ont nourris dans notre évolution. </w:t>
            </w:r>
          </w:p>
          <w:p w14:paraId="2803B9BB" w14:textId="1CDCA333" w:rsidR="008D54D8" w:rsidRDefault="008D54D8" w:rsidP="00BE4EAB">
            <w:r>
              <w:t>Le chemin est long, et notre ambition est de sensibiliser chaque jour un peu plus sur l’accessibilité numérique que ce soit pour un développeur, un chef de projet, un employé qui crée un document, un éditeur qui nous vend son application et bien d’autres. Cela contribuera      à rendre notre environnement informatique, chaque jour, plus accessible</w:t>
            </w:r>
            <w:r w:rsidR="00DC3602">
              <w:t xml:space="preserve"> »</w:t>
            </w:r>
            <w:r>
              <w:t xml:space="preserve">. </w:t>
            </w:r>
          </w:p>
          <w:p w14:paraId="6DAFD315" w14:textId="77777777" w:rsidR="00646CD1" w:rsidRDefault="00646CD1" w:rsidP="00BE4EAB"/>
          <w:p w14:paraId="31F8FE38" w14:textId="77777777" w:rsidR="008D54D8" w:rsidRPr="00D62C23" w:rsidRDefault="008D54D8" w:rsidP="00BE4EAB">
            <w:pPr>
              <w:jc w:val="right"/>
              <w:rPr>
                <w:b/>
                <w:bCs/>
              </w:rPr>
            </w:pPr>
            <w:r>
              <w:rPr>
                <w:b/>
                <w:bCs/>
              </w:rPr>
              <w:t>Barbara DEVAUX</w:t>
            </w:r>
            <w:r w:rsidRPr="00BE2C17">
              <w:t xml:space="preserve">, IT </w:t>
            </w:r>
            <w:proofErr w:type="spellStart"/>
            <w:r>
              <w:t>I</w:t>
            </w:r>
            <w:r w:rsidRPr="00BE2C17">
              <w:t>ntegration</w:t>
            </w:r>
            <w:proofErr w:type="spellEnd"/>
            <w:r w:rsidRPr="00BE2C17">
              <w:t xml:space="preserve"> </w:t>
            </w:r>
            <w:r>
              <w:t>P</w:t>
            </w:r>
            <w:r w:rsidRPr="00BE2C17">
              <w:t xml:space="preserve">rogram </w:t>
            </w:r>
            <w:r>
              <w:t>D</w:t>
            </w:r>
            <w:r w:rsidRPr="00BE2C17">
              <w:t>irector</w:t>
            </w:r>
            <w:r w:rsidRPr="00A90E53">
              <w:t xml:space="preserve">, </w:t>
            </w:r>
            <w:r w:rsidRPr="00BE2C17">
              <w:rPr>
                <w:b/>
                <w:bCs/>
              </w:rPr>
              <w:t>EQUANS</w:t>
            </w:r>
          </w:p>
        </w:tc>
      </w:tr>
      <w:tr w:rsidR="0092554C" w:rsidRPr="00C43137" w14:paraId="3ACFA010" w14:textId="77777777" w:rsidTr="00072B81">
        <w:trPr>
          <w:jc w:val="center"/>
        </w:trPr>
        <w:tc>
          <w:tcPr>
            <w:tcW w:w="9047" w:type="dxa"/>
            <w:tcBorders>
              <w:left w:val="single" w:sz="18" w:space="0" w:color="155E48"/>
            </w:tcBorders>
            <w:shd w:val="clear" w:color="auto" w:fill="F2F2F2" w:themeFill="background1" w:themeFillShade="F2"/>
          </w:tcPr>
          <w:p w14:paraId="5031D5FE" w14:textId="77777777" w:rsidR="0092554C" w:rsidRDefault="0092554C" w:rsidP="00064C74">
            <w:pPr>
              <w:pStyle w:val="TitreEncart"/>
            </w:pPr>
            <w:bookmarkStart w:id="41" w:name="_Toc230257726"/>
            <w:bookmarkEnd w:id="40"/>
            <w:r w:rsidRPr="0092554C">
              <w:lastRenderedPageBreak/>
              <w:t>REX Direction du Numérique des ministres de la Transition écologique et de l’Aménagement des territoires</w:t>
            </w:r>
            <w:bookmarkEnd w:id="41"/>
            <w:r>
              <w:t> </w:t>
            </w:r>
          </w:p>
          <w:p w14:paraId="5284E235" w14:textId="061E3708" w:rsidR="0092554C" w:rsidRPr="007B2E61" w:rsidRDefault="0092554C" w:rsidP="0033608D">
            <w:pPr>
              <w:pStyle w:val="TitreencartREX"/>
            </w:pPr>
            <w:r w:rsidRPr="0092554C">
              <w:t>Analyse de l’existant et définition des publics visés par la démarche d’accessibilité</w:t>
            </w:r>
          </w:p>
          <w:p w14:paraId="4F116FFF" w14:textId="22EFCCB7" w:rsidR="00F671A3" w:rsidRDefault="00DC3602" w:rsidP="00F671A3">
            <w:r>
              <w:t xml:space="preserve">« </w:t>
            </w:r>
            <w:r w:rsidR="00F671A3">
              <w:t xml:space="preserve">La construction de la stratégie </w:t>
            </w:r>
            <w:r w:rsidR="001459B6">
              <w:t>« </w:t>
            </w:r>
            <w:r w:rsidR="00F671A3">
              <w:t>Handi et Numérique</w:t>
            </w:r>
            <w:r w:rsidR="001459B6">
              <w:t> »</w:t>
            </w:r>
            <w:r w:rsidR="00F671A3">
              <w:t xml:space="preserve"> a commencé par l’écoute des personnes en situation de handicap et </w:t>
            </w:r>
            <w:r w:rsidR="00B93F72">
              <w:t xml:space="preserve">par </w:t>
            </w:r>
            <w:r w:rsidR="00F671A3">
              <w:t xml:space="preserve">la fédération des initiatives déjà mises en place au moment de la rédaction de la feuille de route. Cette première phase a abouti </w:t>
            </w:r>
            <w:r w:rsidR="00B93F72">
              <w:t xml:space="preserve">en 2022 </w:t>
            </w:r>
            <w:r w:rsidR="00F671A3">
              <w:t>à la réalisation d’un document stratégique</w:t>
            </w:r>
            <w:r w:rsidR="00B93F72">
              <w:t>,</w:t>
            </w:r>
            <w:r w:rsidR="00F671A3">
              <w:t xml:space="preserve"> construit avec l’ensemble des parties prenantes clés pour la démarche (directions métiers, opérateurs, services déconcentrés), et appuyé d’un rapport d’étonnement.</w:t>
            </w:r>
          </w:p>
          <w:p w14:paraId="6B025E91" w14:textId="4693C936" w:rsidR="00F671A3" w:rsidRDefault="00F671A3" w:rsidP="00F671A3">
            <w:r>
              <w:t xml:space="preserve">Le nouveau programme </w:t>
            </w:r>
            <w:r w:rsidR="001459B6">
              <w:t>« </w:t>
            </w:r>
            <w:r>
              <w:t>Handi &amp; Numérique</w:t>
            </w:r>
            <w:r w:rsidR="001459B6">
              <w:t> »</w:t>
            </w:r>
            <w:r>
              <w:t xml:space="preserve"> visait l’opérationnalisation par la refonte de la feuille de route et a permis d’avancer de manière collective. </w:t>
            </w:r>
            <w:r w:rsidR="00B93F72">
              <w:t>Aujourd’hui, c</w:t>
            </w:r>
            <w:r>
              <w:t xml:space="preserve">e programme est porté à haut niveau, par le Secrétariat Général et le Directeur numérique (haut sponsoring et opérationnel à la fois), avec une échéance à 2027 pour réaliser 9 actions sur trois volets : </w:t>
            </w:r>
          </w:p>
          <w:p w14:paraId="54F2C96D" w14:textId="1A02F6B3" w:rsidR="00F671A3" w:rsidRDefault="00F671A3" w:rsidP="00F671A3">
            <w:r>
              <w:t>1 - Accompagner les maîtrises d’ouvrage pour des produits numériques accessibles à tous</w:t>
            </w:r>
            <w:r w:rsidR="001459B6">
              <w:t> ;</w:t>
            </w:r>
          </w:p>
          <w:p w14:paraId="0126320B" w14:textId="19930DF7" w:rsidR="00F671A3" w:rsidRDefault="00F671A3" w:rsidP="00F671A3">
            <w:r>
              <w:t>2 - Construire les produits numériques et outils du ministère en pensant aux usagers et aux agents en situation de handicap</w:t>
            </w:r>
            <w:r w:rsidR="001459B6">
              <w:t> ;</w:t>
            </w:r>
          </w:p>
          <w:p w14:paraId="315A8280" w14:textId="7450E61E" w:rsidR="00F671A3" w:rsidRDefault="00F671A3" w:rsidP="00F671A3">
            <w:r>
              <w:t xml:space="preserve">3 - Faire bénéficier les agents de formations </w:t>
            </w:r>
            <w:r w:rsidR="0036541B">
              <w:t xml:space="preserve">à l’accessibilité numérique </w:t>
            </w:r>
            <w:r>
              <w:t xml:space="preserve">pour </w:t>
            </w:r>
            <w:r w:rsidR="0036541B">
              <w:t xml:space="preserve">qu’ils puissent </w:t>
            </w:r>
            <w:r>
              <w:t>agir</w:t>
            </w:r>
            <w:r w:rsidR="001459B6">
              <w:t>.</w:t>
            </w:r>
          </w:p>
          <w:p w14:paraId="191ACFFB" w14:textId="56121017" w:rsidR="00646CD1" w:rsidRDefault="00F671A3" w:rsidP="00F671A3">
            <w:r>
              <w:t xml:space="preserve">Le public visé par la démarche du MTE inclut également les agents en situation de handicap. Une attention particulière et différenciante s’est donc portée sur la création </w:t>
            </w:r>
            <w:r w:rsidR="004B69D3">
              <w:t xml:space="preserve">du laboratoire Helen Keller, </w:t>
            </w:r>
            <w:r>
              <w:t xml:space="preserve">un espace offrant notamment des équipements, accessoires et postes de travail dédiés aux personnes en situation de handicap. En effet, l’accessibilité numérique ne se limite pas au numérique, de la même manière que le handicap ne se limite pas uniquement à la RQTH (reconnaissance de la qualité de travailleur handicapé). Il </w:t>
            </w:r>
            <w:r w:rsidR="004B69D3">
              <w:t>faut</w:t>
            </w:r>
            <w:r>
              <w:t xml:space="preserve"> avoir une approche</w:t>
            </w:r>
            <w:r w:rsidR="001459B6">
              <w:t> </w:t>
            </w:r>
            <w:r>
              <w:t>multi-équipement</w:t>
            </w:r>
            <w:r w:rsidR="00B5346E">
              <w:t>s</w:t>
            </w:r>
            <w:r w:rsidR="001459B6">
              <w:t> </w:t>
            </w:r>
            <w:r>
              <w:t xml:space="preserve">qui </w:t>
            </w:r>
            <w:r w:rsidR="004B69D3">
              <w:t>prenne</w:t>
            </w:r>
            <w:r>
              <w:t xml:space="preserve"> en compte tout l’environnement de travail physique </w:t>
            </w:r>
            <w:r w:rsidRPr="0036541B">
              <w:rPr>
                <w:i/>
                <w:iCs/>
              </w:rPr>
              <w:t>et</w:t>
            </w:r>
            <w:r>
              <w:t xml:space="preserve"> numérique, et par exemple</w:t>
            </w:r>
            <w:r w:rsidR="004B69D3">
              <w:t>,</w:t>
            </w:r>
            <w:r>
              <w:t xml:space="preserve"> prévoir un accueil de chien </w:t>
            </w:r>
            <w:r w:rsidR="0036541B">
              <w:t>d’</w:t>
            </w:r>
            <w:r>
              <w:t>aveugle, des copies des discours et compte</w:t>
            </w:r>
            <w:r w:rsidR="0036541B">
              <w:t>s</w:t>
            </w:r>
            <w:r>
              <w:t xml:space="preserve"> rendus</w:t>
            </w:r>
            <w:r w:rsidR="0036541B">
              <w:t xml:space="preserve"> pour les malentendants</w:t>
            </w:r>
            <w:r>
              <w:t>, des bureaux adaptés</w:t>
            </w:r>
            <w:r w:rsidR="0036541B">
              <w:t>..</w:t>
            </w:r>
            <w:r>
              <w:t xml:space="preserve">. </w:t>
            </w:r>
            <w:r w:rsidR="00DC3602">
              <w:t>».</w:t>
            </w:r>
          </w:p>
          <w:p w14:paraId="2023B953" w14:textId="77777777" w:rsidR="00646CD1" w:rsidRDefault="00646CD1" w:rsidP="00F671A3"/>
          <w:p w14:paraId="43A9C6CD" w14:textId="2FB42BBD" w:rsidR="00F671A3" w:rsidRDefault="00F671A3" w:rsidP="00646CD1">
            <w:pPr>
              <w:spacing w:before="120"/>
              <w:jc w:val="right"/>
            </w:pPr>
            <w:r w:rsidRPr="002961A3">
              <w:rPr>
                <w:b/>
                <w:bCs/>
              </w:rPr>
              <w:t>Marie-Laure Bouthière</w:t>
            </w:r>
            <w:r>
              <w:t xml:space="preserve">, Chargée de la direction du programme </w:t>
            </w:r>
            <w:r w:rsidR="00FA3BA0">
              <w:t xml:space="preserve">« </w:t>
            </w:r>
            <w:r>
              <w:t>Handi &amp; Numérique</w:t>
            </w:r>
            <w:r w:rsidR="00FA3BA0">
              <w:t xml:space="preserve"> »</w:t>
            </w:r>
            <w:r>
              <w:t>,</w:t>
            </w:r>
          </w:p>
          <w:p w14:paraId="633C7E83" w14:textId="77777777" w:rsidR="00F671A3" w:rsidRDefault="00F671A3" w:rsidP="00646CD1">
            <w:pPr>
              <w:spacing w:before="120"/>
              <w:jc w:val="right"/>
            </w:pPr>
            <w:r w:rsidRPr="002961A3">
              <w:rPr>
                <w:b/>
                <w:bCs/>
              </w:rPr>
              <w:t>Jean-Philippe Simonnet</w:t>
            </w:r>
            <w:r>
              <w:t>, Chargé de mission hospitalité numérique,</w:t>
            </w:r>
          </w:p>
          <w:p w14:paraId="22CE51D7" w14:textId="77777777" w:rsidR="00F671A3" w:rsidRDefault="00F671A3" w:rsidP="00646CD1">
            <w:pPr>
              <w:spacing w:before="120"/>
              <w:jc w:val="right"/>
            </w:pPr>
            <w:r w:rsidRPr="002961A3">
              <w:rPr>
                <w:b/>
                <w:bCs/>
              </w:rPr>
              <w:t>Geoffrey Arthaud</w:t>
            </w:r>
            <w:r>
              <w:t>, Chef du groupe « Méthodes »,</w:t>
            </w:r>
          </w:p>
          <w:p w14:paraId="60266E4F" w14:textId="77777777" w:rsidR="00F671A3" w:rsidRDefault="00F671A3" w:rsidP="00646CD1">
            <w:pPr>
              <w:spacing w:before="120"/>
              <w:jc w:val="right"/>
            </w:pPr>
            <w:r w:rsidRPr="002961A3">
              <w:rPr>
                <w:b/>
                <w:bCs/>
              </w:rPr>
              <w:t>Laetitia Legrand</w:t>
            </w:r>
            <w:r>
              <w:t xml:space="preserve">, UX/UI designer, </w:t>
            </w:r>
          </w:p>
          <w:p w14:paraId="0B00DA9E" w14:textId="648903E2" w:rsidR="0092554C" w:rsidRPr="00F755EB" w:rsidRDefault="00F671A3" w:rsidP="00646CD1">
            <w:pPr>
              <w:spacing w:before="120"/>
              <w:jc w:val="right"/>
              <w:rPr>
                <w:b/>
                <w:bCs/>
              </w:rPr>
            </w:pPr>
            <w:r>
              <w:t xml:space="preserve"> </w:t>
            </w:r>
            <w:r w:rsidRPr="00F755EB">
              <w:rPr>
                <w:b/>
                <w:bCs/>
              </w:rPr>
              <w:t xml:space="preserve">Secrétariat général, Direction du numérique, ministères la Transition écologique, de l’Aménagement des territoires, des Transports, de la Ville et du logement </w:t>
            </w:r>
          </w:p>
        </w:tc>
      </w:tr>
    </w:tbl>
    <w:p w14:paraId="0662CBFC" w14:textId="77777777" w:rsidR="0092554C" w:rsidRDefault="0092554C" w:rsidP="00DE3AAD">
      <w:pPr>
        <w:rPr>
          <w:lang w:eastAsia="fr-FR"/>
        </w:rPr>
      </w:pPr>
    </w:p>
    <w:p w14:paraId="41DEA8D3" w14:textId="09E1B62A" w:rsidR="007B2E61" w:rsidRDefault="007B2E61" w:rsidP="004502A1">
      <w:pPr>
        <w:pStyle w:val="Image"/>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92554C" w:rsidRPr="00C43137" w14:paraId="222601BA" w14:textId="77777777" w:rsidTr="00AE4E37">
        <w:trPr>
          <w:jc w:val="center"/>
        </w:trPr>
        <w:tc>
          <w:tcPr>
            <w:tcW w:w="9047" w:type="dxa"/>
            <w:tcBorders>
              <w:left w:val="single" w:sz="18" w:space="0" w:color="155E48"/>
            </w:tcBorders>
            <w:shd w:val="clear" w:color="auto" w:fill="F2F2F2" w:themeFill="background1" w:themeFillShade="F2"/>
          </w:tcPr>
          <w:p w14:paraId="75B8009A" w14:textId="66B49E08" w:rsidR="0092554C" w:rsidRDefault="0092554C" w:rsidP="00064C74">
            <w:pPr>
              <w:pStyle w:val="TitreEncart"/>
            </w:pPr>
            <w:bookmarkStart w:id="42" w:name="_Toc230257727"/>
            <w:bookmarkStart w:id="43" w:name="_Hlk226468158"/>
            <w:r w:rsidRPr="0092554C">
              <w:t>REX Caisse des dépôts</w:t>
            </w:r>
            <w:bookmarkEnd w:id="42"/>
            <w:r>
              <w:t> </w:t>
            </w:r>
          </w:p>
          <w:p w14:paraId="2EFC08D6" w14:textId="3C57E613" w:rsidR="0092554C" w:rsidRPr="007B2E61" w:rsidRDefault="0092554C" w:rsidP="0033608D">
            <w:pPr>
              <w:pStyle w:val="TitreencartREX"/>
            </w:pPr>
            <w:r w:rsidRPr="0092554C">
              <w:t>Élaboration d’un schéma pluriannuel</w:t>
            </w:r>
            <w:r>
              <w:t xml:space="preserve"> </w:t>
            </w:r>
          </w:p>
          <w:p w14:paraId="2F91AB59" w14:textId="0B713E4B" w:rsidR="0092554C" w:rsidRDefault="00DC3602" w:rsidP="0092554C">
            <w:r>
              <w:t xml:space="preserve">« </w:t>
            </w:r>
            <w:r w:rsidR="0092554C">
              <w:t xml:space="preserve">Le schéma pluriannuel est une feuille de route stratégique </w:t>
            </w:r>
            <w:r w:rsidR="00FA3BA0">
              <w:t xml:space="preserve">établie </w:t>
            </w:r>
            <w:r w:rsidR="0092554C">
              <w:t>pour piloter l’accessibilité numérique qui prévoit :</w:t>
            </w:r>
          </w:p>
          <w:p w14:paraId="7968A006" w14:textId="79BD4C71" w:rsidR="0092554C" w:rsidRDefault="0092554C">
            <w:pPr>
              <w:pStyle w:val="Paragraphedeliste"/>
              <w:numPr>
                <w:ilvl w:val="0"/>
                <w:numId w:val="19"/>
              </w:numPr>
            </w:pPr>
            <w:r>
              <w:t>Une mise en œuvre soutenue et portée par la Direction (validée par le DSI de la CDC) ;</w:t>
            </w:r>
          </w:p>
          <w:p w14:paraId="3DD0112C" w14:textId="5A62FAF4" w:rsidR="0092554C" w:rsidRDefault="0092554C">
            <w:pPr>
              <w:pStyle w:val="Paragraphedeliste"/>
              <w:numPr>
                <w:ilvl w:val="0"/>
                <w:numId w:val="19"/>
              </w:numPr>
            </w:pPr>
            <w:r>
              <w:t>Une planification précise et datée (avec points de suivi hebdomadaires et bilans trimestriels) ;</w:t>
            </w:r>
          </w:p>
          <w:p w14:paraId="722F9CB9" w14:textId="0AF09494" w:rsidR="0092554C" w:rsidRDefault="0092554C">
            <w:pPr>
              <w:pStyle w:val="Paragraphedeliste"/>
              <w:numPr>
                <w:ilvl w:val="0"/>
                <w:numId w:val="19"/>
              </w:numPr>
            </w:pPr>
            <w:r>
              <w:t>Des actions budgétées ;</w:t>
            </w:r>
          </w:p>
          <w:p w14:paraId="279C59F2" w14:textId="2D488BDD" w:rsidR="0092554C" w:rsidRDefault="0092554C">
            <w:pPr>
              <w:pStyle w:val="Paragraphedeliste"/>
              <w:numPr>
                <w:ilvl w:val="0"/>
                <w:numId w:val="19"/>
              </w:numPr>
            </w:pPr>
            <w:r>
              <w:t>Un suivi et une mise à jour en fonction des évolutions ;</w:t>
            </w:r>
          </w:p>
          <w:p w14:paraId="343372C1" w14:textId="086F3236" w:rsidR="0092554C" w:rsidRDefault="0092554C">
            <w:pPr>
              <w:pStyle w:val="Paragraphedeliste"/>
              <w:numPr>
                <w:ilvl w:val="0"/>
                <w:numId w:val="19"/>
              </w:numPr>
            </w:pPr>
            <w:r>
              <w:t>Des responsabilités clairement définies et partagées ;</w:t>
            </w:r>
          </w:p>
          <w:p w14:paraId="20BBDB26" w14:textId="45542F6F" w:rsidR="0092554C" w:rsidRDefault="0092554C">
            <w:pPr>
              <w:pStyle w:val="Paragraphedeliste"/>
              <w:numPr>
                <w:ilvl w:val="0"/>
                <w:numId w:val="19"/>
              </w:numPr>
            </w:pPr>
            <w:r>
              <w:t>Un document public disponible sur le site de l’entité (véritable reflet du travail mené en interne).</w:t>
            </w:r>
          </w:p>
          <w:p w14:paraId="2A90645B" w14:textId="7815BA10" w:rsidR="0092554C" w:rsidRDefault="0092554C" w:rsidP="0092554C">
            <w:r>
              <w:t xml:space="preserve">La publication de ce document de politique générale et d’élaboration d’objectifs est obligatoire et doit être publique. Cela peut mettre du temps (entre 4 - 6 mois), compte tenu de la validation des différents comités, </w:t>
            </w:r>
            <w:r w:rsidR="008B3F71">
              <w:t>mais cela</w:t>
            </w:r>
            <w:r>
              <w:t xml:space="preserve"> permet par ailleurs d’impliquer les décideurs à cette démarche.</w:t>
            </w:r>
          </w:p>
          <w:p w14:paraId="0066C1FE" w14:textId="25A4CD07" w:rsidR="0092554C" w:rsidRDefault="008B3F71" w:rsidP="0092554C">
            <w:r>
              <w:t>C</w:t>
            </w:r>
            <w:r w:rsidR="0092554C">
              <w:t>oncern</w:t>
            </w:r>
            <w:r>
              <w:t>ant</w:t>
            </w:r>
            <w:r w:rsidR="0092554C">
              <w:t xml:space="preserve"> les publics visés, la prise en compte des utilisateurs en situation de handicap se porte</w:t>
            </w:r>
            <w:r>
              <w:t>,</w:t>
            </w:r>
            <w:r w:rsidR="0092554C">
              <w:t xml:space="preserve"> </w:t>
            </w:r>
            <w:r>
              <w:t xml:space="preserve">de façon parallèle, en interne sur </w:t>
            </w:r>
            <w:r w:rsidR="0092554C">
              <w:t xml:space="preserve">les collaborateurs, comme à l’externe </w:t>
            </w:r>
            <w:r>
              <w:t>sur</w:t>
            </w:r>
            <w:r w:rsidR="0092554C">
              <w:t xml:space="preserve"> les clients ou les usagers.</w:t>
            </w:r>
          </w:p>
          <w:p w14:paraId="012CD2F7" w14:textId="1529FA2B" w:rsidR="0092554C" w:rsidRDefault="0092554C" w:rsidP="0092554C">
            <w:r>
              <w:t xml:space="preserve">Le rôle des référents accessibilité comporte une réelle spécificité à la CDC, car ils travaillent en direct avec les </w:t>
            </w:r>
            <w:r w:rsidRPr="008227C9">
              <w:rPr>
                <w:i/>
                <w:iCs/>
              </w:rPr>
              <w:t xml:space="preserve">business </w:t>
            </w:r>
            <w:proofErr w:type="spellStart"/>
            <w:r w:rsidRPr="008227C9">
              <w:rPr>
                <w:i/>
                <w:iCs/>
              </w:rPr>
              <w:t>analysts</w:t>
            </w:r>
            <w:proofErr w:type="spellEnd"/>
            <w:r>
              <w:t xml:space="preserve"> ou les </w:t>
            </w:r>
            <w:r w:rsidRPr="008227C9">
              <w:rPr>
                <w:i/>
                <w:iCs/>
              </w:rPr>
              <w:t>UX/UI designers</w:t>
            </w:r>
            <w:r>
              <w:t xml:space="preserve"> (pour la conception fonctionnelle) et</w:t>
            </w:r>
            <w:r w:rsidR="008B3F71">
              <w:t xml:space="preserve"> avec</w:t>
            </w:r>
            <w:r>
              <w:t xml:space="preserve"> les développeurs (pour les aspects techniques). Ils ont un double rôle d’accompagnement et de contrôle de la conformité.</w:t>
            </w:r>
          </w:p>
          <w:p w14:paraId="3CE6C06C" w14:textId="1130891D" w:rsidR="00646CD1" w:rsidRDefault="0092554C" w:rsidP="0092554C">
            <w:r>
              <w:t xml:space="preserve">En termes de comitologie, une instance (avec sponsors et dirigeants) a été créée pour partager les avancées en matière d’accessibilité et </w:t>
            </w:r>
            <w:r w:rsidR="008B3F71">
              <w:t xml:space="preserve">elle </w:t>
            </w:r>
            <w:r>
              <w:t>se réunit 2 fois par an. Monter une instance avec des sponsors est essentiel en termes de management de l’accessibilité</w:t>
            </w:r>
            <w:r w:rsidR="00F755EB">
              <w:t>.</w:t>
            </w:r>
            <w:r w:rsidR="00DC3602">
              <w:t xml:space="preserve"> »</w:t>
            </w:r>
          </w:p>
          <w:p w14:paraId="5FED544D" w14:textId="77777777" w:rsidR="00646CD1" w:rsidRDefault="00646CD1" w:rsidP="0092554C"/>
          <w:p w14:paraId="7AA584DC" w14:textId="779009F6" w:rsidR="0092554C" w:rsidRDefault="0092554C" w:rsidP="0092554C">
            <w:pPr>
              <w:jc w:val="right"/>
            </w:pPr>
            <w:r w:rsidRPr="0092554C">
              <w:rPr>
                <w:b/>
                <w:bCs/>
              </w:rPr>
              <w:t>Yann Goupil</w:t>
            </w:r>
            <w:r>
              <w:t>, Référent accessibilité numérique de l'</w:t>
            </w:r>
            <w:r w:rsidRPr="0036541B">
              <w:rPr>
                <w:b/>
                <w:bCs/>
              </w:rPr>
              <w:t xml:space="preserve">Établissement Public </w:t>
            </w:r>
            <w:r w:rsidRPr="0092554C">
              <w:rPr>
                <w:b/>
                <w:bCs/>
              </w:rPr>
              <w:t>Caisse des dépôts</w:t>
            </w:r>
          </w:p>
          <w:p w14:paraId="0F71F739" w14:textId="2E6C4E18" w:rsidR="0092554C" w:rsidRPr="00C43137" w:rsidRDefault="0092554C" w:rsidP="00646CD1">
            <w:pPr>
              <w:jc w:val="right"/>
            </w:pPr>
            <w:r w:rsidRPr="0092554C">
              <w:rPr>
                <w:b/>
                <w:bCs/>
              </w:rPr>
              <w:t>Délia Garbarini</w:t>
            </w:r>
            <w:r>
              <w:t>, Référente accessibilité numérique</w:t>
            </w:r>
            <w:r w:rsidR="0036541B">
              <w:t>,</w:t>
            </w:r>
            <w:r>
              <w:t xml:space="preserve"> </w:t>
            </w:r>
            <w:r w:rsidRPr="0092554C">
              <w:rPr>
                <w:b/>
                <w:bCs/>
              </w:rPr>
              <w:t>Informatique CDC</w:t>
            </w:r>
          </w:p>
        </w:tc>
      </w:tr>
      <w:bookmarkEnd w:id="43"/>
    </w:tbl>
    <w:p w14:paraId="6532A5FF" w14:textId="77777777" w:rsidR="0092554C" w:rsidRDefault="0092554C" w:rsidP="0092554C">
      <w:pPr>
        <w:rPr>
          <w:rFonts w:eastAsia="Times New Roman"/>
        </w:rPr>
      </w:pPr>
    </w:p>
    <w:p w14:paraId="02F4FE60" w14:textId="12EB3280" w:rsidR="0092554C" w:rsidRDefault="0092554C" w:rsidP="0092554C">
      <w:pPr>
        <w:pStyle w:val="Titre2"/>
      </w:pPr>
      <w:bookmarkStart w:id="44" w:name="_Toc230077015"/>
      <w:r w:rsidRPr="0092554C">
        <w:lastRenderedPageBreak/>
        <w:t>Relation</w:t>
      </w:r>
      <w:r w:rsidR="00FA3BA0">
        <w:t>s</w:t>
      </w:r>
      <w:r w:rsidRPr="0092554C">
        <w:t xml:space="preserve"> avec l’écosystème organisationnel</w:t>
      </w:r>
      <w:bookmarkEnd w:id="44"/>
    </w:p>
    <w:p w14:paraId="26647D64" w14:textId="1A27C674" w:rsidR="0092554C" w:rsidRPr="008227C9" w:rsidRDefault="0092554C" w:rsidP="0092554C">
      <w:pPr>
        <w:pStyle w:val="Titre3"/>
        <w:rPr>
          <w:lang w:val="fr-FR"/>
        </w:rPr>
      </w:pPr>
      <w:bookmarkStart w:id="45" w:name="_Toc230077016"/>
      <w:r w:rsidRPr="008227C9">
        <w:rPr>
          <w:lang w:val="fr-FR"/>
        </w:rPr>
        <w:t>Transversaliser les échanges entre les parties prenantes</w:t>
      </w:r>
      <w:bookmarkEnd w:id="45"/>
    </w:p>
    <w:p w14:paraId="0BEEC635" w14:textId="72636EB9" w:rsidR="0092554C" w:rsidRDefault="0092554C" w:rsidP="0092554C">
      <w:pPr>
        <w:rPr>
          <w:rFonts w:eastAsia="Times New Roman"/>
        </w:rPr>
      </w:pPr>
      <w:r w:rsidRPr="00A76094">
        <w:rPr>
          <w:rFonts w:eastAsia="Times New Roman"/>
        </w:rPr>
        <w:t>Pour que la construction de la gouvernance ne reste pas lettre morte</w:t>
      </w:r>
      <w:r w:rsidRPr="008B3F71">
        <w:rPr>
          <w:rFonts w:eastAsia="Times New Roman"/>
        </w:rPr>
        <w:t>,</w:t>
      </w:r>
      <w:r w:rsidRPr="0092554C">
        <w:rPr>
          <w:rFonts w:eastAsia="Times New Roman"/>
        </w:rPr>
        <w:t xml:space="preserve"> il semble essentiel de faire rapidement monter en compétence l’ensemble de la chaîne de conception et de suivi des projets, aussi bien en interne qu’en externe avec les prestataires, grâce à un cycle itératif de validation et de tests qui doit être</w:t>
      </w:r>
      <w:r w:rsidR="00FA3BA0">
        <w:rPr>
          <w:rFonts w:eastAsia="Times New Roman"/>
        </w:rPr>
        <w:t xml:space="preserve"> </w:t>
      </w:r>
      <w:r w:rsidR="00FA3BA0" w:rsidRPr="0092554C">
        <w:rPr>
          <w:rFonts w:eastAsia="Times New Roman"/>
        </w:rPr>
        <w:t>le plus possible</w:t>
      </w:r>
      <w:r w:rsidRPr="0092554C">
        <w:rPr>
          <w:rFonts w:eastAsia="Times New Roman"/>
        </w:rPr>
        <w:t xml:space="preserve"> industrialisé.</w:t>
      </w:r>
    </w:p>
    <w:p w14:paraId="2CE63D2B" w14:textId="35903D15" w:rsidR="0092554C" w:rsidRDefault="001E440D" w:rsidP="0092554C">
      <w:pPr>
        <w:rPr>
          <w:rFonts w:eastAsia="Times New Roman"/>
        </w:rPr>
      </w:pPr>
      <w:r w:rsidRPr="001E440D">
        <w:rPr>
          <w:rFonts w:eastAsia="Times New Roman"/>
          <w:b/>
          <w:bCs/>
        </w:rPr>
        <w:t>En</w:t>
      </w:r>
      <w:r w:rsidR="0092554C" w:rsidRPr="0092554C">
        <w:rPr>
          <w:rFonts w:eastAsia="Times New Roman"/>
          <w:b/>
          <w:bCs/>
        </w:rPr>
        <w:t xml:space="preserve"> interne, le pôle accessibilité numérique doit susciter des interactions avec une multitude d’acteurs</w:t>
      </w:r>
      <w:r w:rsidR="007256CE">
        <w:rPr>
          <w:rFonts w:eastAsia="Times New Roman"/>
          <w:b/>
          <w:bCs/>
        </w:rPr>
        <w:t xml:space="preserve"> et </w:t>
      </w:r>
      <w:r w:rsidR="00FA3BA0">
        <w:rPr>
          <w:rFonts w:eastAsia="Times New Roman"/>
          <w:b/>
          <w:bCs/>
        </w:rPr>
        <w:t xml:space="preserve">parvenir </w:t>
      </w:r>
      <w:r w:rsidR="007256CE">
        <w:rPr>
          <w:rFonts w:eastAsia="Times New Roman"/>
          <w:b/>
          <w:bCs/>
        </w:rPr>
        <w:t>à les pérenniser</w:t>
      </w:r>
      <w:r w:rsidR="0092554C" w:rsidRPr="0092554C">
        <w:rPr>
          <w:rFonts w:eastAsia="Times New Roman"/>
        </w:rPr>
        <w:t xml:space="preserve">. Sont concernés en priorité, le département de rattachement du référent accessibilité, la DSI, les équipes dédiées aux achats, </w:t>
      </w:r>
      <w:r w:rsidR="0057195C">
        <w:rPr>
          <w:rFonts w:eastAsia="Times New Roman"/>
        </w:rPr>
        <w:t>aux relations utilisateurs (</w:t>
      </w:r>
      <w:r w:rsidR="0092554C" w:rsidRPr="0092554C">
        <w:rPr>
          <w:rFonts w:eastAsia="Times New Roman"/>
        </w:rPr>
        <w:t>collaborateur</w:t>
      </w:r>
      <w:r w:rsidR="0057195C">
        <w:rPr>
          <w:rFonts w:eastAsia="Times New Roman"/>
        </w:rPr>
        <w:t>s</w:t>
      </w:r>
      <w:r w:rsidR="0092554C" w:rsidRPr="0092554C">
        <w:rPr>
          <w:rFonts w:eastAsia="Times New Roman"/>
        </w:rPr>
        <w:t xml:space="preserve"> et client</w:t>
      </w:r>
      <w:r w:rsidR="0057195C">
        <w:rPr>
          <w:rFonts w:eastAsia="Times New Roman"/>
        </w:rPr>
        <w:t>s)</w:t>
      </w:r>
      <w:r w:rsidR="0092554C" w:rsidRPr="0092554C">
        <w:rPr>
          <w:rFonts w:eastAsia="Times New Roman"/>
        </w:rPr>
        <w:t>, aux éventuels services de formation, les équipes projet, les prestataires, etc.</w:t>
      </w:r>
      <w:r w:rsidR="0057195C">
        <w:rPr>
          <w:rFonts w:eastAsia="Times New Roman"/>
        </w:rPr>
        <w:t xml:space="preserve">, </w:t>
      </w:r>
      <w:r w:rsidR="0092554C" w:rsidRPr="0092554C">
        <w:rPr>
          <w:rFonts w:eastAsia="Times New Roman"/>
        </w:rPr>
        <w:t xml:space="preserve">comme le </w:t>
      </w:r>
      <w:r w:rsidR="0057195C">
        <w:rPr>
          <w:rFonts w:eastAsia="Times New Roman"/>
        </w:rPr>
        <w:t>l’illustre</w:t>
      </w:r>
      <w:r w:rsidR="0057195C" w:rsidRPr="0092554C">
        <w:rPr>
          <w:rFonts w:eastAsia="Times New Roman"/>
        </w:rPr>
        <w:t xml:space="preserve"> </w:t>
      </w:r>
      <w:r w:rsidR="0092554C" w:rsidRPr="0092554C">
        <w:rPr>
          <w:rFonts w:eastAsia="Times New Roman"/>
        </w:rPr>
        <w:t xml:space="preserve">le schéma ci-dessous de la Caisse des Dépôts représentant toutes les relations qu’entretient le pôle accessibilité numérique de l'Établissement Public (EP) :  </w:t>
      </w:r>
    </w:p>
    <w:p w14:paraId="21B122D5" w14:textId="0034A3F7" w:rsidR="0092554C" w:rsidRDefault="0092554C" w:rsidP="0092554C">
      <w:pPr>
        <w:jc w:val="center"/>
      </w:pPr>
      <w:r>
        <w:rPr>
          <w:rFonts w:ascii="Calibri" w:hAnsi="Calibri" w:cs="Calibri"/>
          <w:noProof/>
          <w:color w:val="262626"/>
          <w:bdr w:val="none" w:sz="0" w:space="0" w:color="auto" w:frame="1"/>
        </w:rPr>
        <w:drawing>
          <wp:inline distT="0" distB="0" distL="0" distR="0" wp14:anchorId="55971EB8" wp14:editId="66E6BFAD">
            <wp:extent cx="5760021" cy="2609850"/>
            <wp:effectExtent l="0" t="0" r="0" b="0"/>
            <wp:docPr id="367908870" name="Image 1" descr="Schéma organisationnel de la Caisse des Dépôts, montrant les interactions du Pôle accessibilité numérique de l'Établissement Public (EP) avec ses partenaires internes (DSI, Mission Handicap, Équipes projets) et ses prestataires externes (Access42, Urbi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8870" name="Image 1" descr="Schéma organisationnel de la Caisse des Dépôts, montrant les interactions du Pôle accessibilité numérique de l'Établissement Public (EP) avec ses partenaires internes (DSI, Mission Handicap, Équipes projets) et ses prestataires externes (Access42, Urbil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1" cy="2611028"/>
                    </a:xfrm>
                    <a:prstGeom prst="rect">
                      <a:avLst/>
                    </a:prstGeom>
                    <a:noFill/>
                    <a:ln>
                      <a:noFill/>
                    </a:ln>
                  </pic:spPr>
                </pic:pic>
              </a:graphicData>
            </a:graphic>
          </wp:inline>
        </w:drawing>
      </w:r>
    </w:p>
    <w:p w14:paraId="2F268BE8" w14:textId="452C7C8A" w:rsidR="0092554C" w:rsidRDefault="0092554C" w:rsidP="0092554C">
      <w:pPr>
        <w:pStyle w:val="Lgende"/>
        <w:jc w:val="right"/>
      </w:pPr>
      <w:bookmarkStart w:id="46" w:name="_Toc230192046"/>
      <w:r w:rsidRPr="0092554C">
        <w:t xml:space="preserve">®Caisse des </w:t>
      </w:r>
      <w:proofErr w:type="spellStart"/>
      <w:r w:rsidRPr="0092554C">
        <w:t>dépôts_Intervention</w:t>
      </w:r>
      <w:proofErr w:type="spellEnd"/>
      <w:r w:rsidRPr="0092554C">
        <w:t xml:space="preserve"> au GT Cigref_2024</w:t>
      </w:r>
      <w:bookmarkEnd w:id="46"/>
    </w:p>
    <w:p w14:paraId="6C2E91BA" w14:textId="77777777" w:rsidR="0092554C" w:rsidRDefault="0092554C" w:rsidP="0092554C"/>
    <w:p w14:paraId="24AC8415" w14:textId="77777777" w:rsidR="0057195C" w:rsidRDefault="0092554C" w:rsidP="0092554C">
      <w:r w:rsidRPr="0092554C">
        <w:t xml:space="preserve">L’objectif de cette « mise au centre » est de </w:t>
      </w:r>
      <w:r w:rsidR="00C86DBB">
        <w:t xml:space="preserve">favoriser </w:t>
      </w:r>
      <w:r w:rsidRPr="0092554C">
        <w:t xml:space="preserve">une émulation transversale </w:t>
      </w:r>
      <w:r w:rsidR="000637F0">
        <w:t>et</w:t>
      </w:r>
      <w:r w:rsidRPr="0092554C">
        <w:t xml:space="preserve"> </w:t>
      </w:r>
      <w:r w:rsidR="001B5418">
        <w:t xml:space="preserve">de </w:t>
      </w:r>
      <w:r w:rsidRPr="0092554C">
        <w:t>placer l’accessibilité au bon niveau organisationnel</w:t>
      </w:r>
      <w:r w:rsidR="001B5418">
        <w:t>.</w:t>
      </w:r>
      <w:r w:rsidR="00B461BE">
        <w:t xml:space="preserve"> </w:t>
      </w:r>
    </w:p>
    <w:p w14:paraId="7729CA44" w14:textId="2A3DECA7" w:rsidR="0092554C" w:rsidRDefault="00B461BE" w:rsidP="0092554C">
      <w:r>
        <w:t>Différentes actions peuvent ainsi être menées :</w:t>
      </w:r>
    </w:p>
    <w:p w14:paraId="10262C48" w14:textId="41215660" w:rsidR="008227C9" w:rsidRDefault="0092554C">
      <w:pPr>
        <w:pStyle w:val="Paragraphedeliste"/>
        <w:numPr>
          <w:ilvl w:val="0"/>
          <w:numId w:val="20"/>
        </w:numPr>
      </w:pPr>
      <w:r w:rsidRPr="0092554C">
        <w:rPr>
          <w:b/>
          <w:bCs/>
        </w:rPr>
        <w:t>Sensibiliser les collaborateurs</w:t>
      </w:r>
      <w:r>
        <w:t xml:space="preserve"> à l’utilisation du numérique en situation de handicap</w:t>
      </w:r>
      <w:r w:rsidR="00B461BE">
        <w:t>,</w:t>
      </w:r>
      <w:r w:rsidR="00691E7E">
        <w:t xml:space="preserve"> en visant aussi bien les populations les collaborateurs du numérique que les responsables d’entités plus éloignés de ces sujets afin d’essaimer et d’acculturer progressivement l’ensemble de l’organisation à cette problématique. Prévoir </w:t>
      </w:r>
      <w:r>
        <w:t>une formation minimale (par exemple de deux heures) avant tout lancement de projet</w:t>
      </w:r>
      <w:r w:rsidR="00691E7E">
        <w:t>,</w:t>
      </w:r>
      <w:r>
        <w:t xml:space="preserve"> </w:t>
      </w:r>
      <w:r w:rsidR="00691E7E">
        <w:t xml:space="preserve">réaliser </w:t>
      </w:r>
      <w:r w:rsidR="000637F0">
        <w:t xml:space="preserve">et diffuser </w:t>
      </w:r>
      <w:r w:rsidR="00691E7E">
        <w:t xml:space="preserve">des témoignages de personnes en situation de handicap, dans leur quotidien numérique, avec des démonstrations de cas d’usages concrets, comme </w:t>
      </w:r>
      <w:r w:rsidR="000637F0">
        <w:t>cela a été</w:t>
      </w:r>
      <w:r w:rsidR="00691E7E">
        <w:t xml:space="preserve"> fait</w:t>
      </w:r>
      <w:r w:rsidR="001459B6">
        <w:t xml:space="preserve"> dans le cadre de notre groupe de travail,</w:t>
      </w:r>
      <w:r w:rsidR="00691E7E">
        <w:t xml:space="preserve"> avec Jamshid </w:t>
      </w:r>
      <w:r w:rsidR="00691E7E">
        <w:lastRenderedPageBreak/>
        <w:t>Kohandel, Chargé de mission accessibilité à la DINUM et malvoyant</w:t>
      </w:r>
      <w:r w:rsidR="001459B6">
        <w:t>, dont vous pouvez retrouver le</w:t>
      </w:r>
      <w:r w:rsidR="00661E67">
        <w:t xml:space="preserve"> témoignage </w:t>
      </w:r>
      <w:r w:rsidR="00337D43">
        <w:t xml:space="preserve">dans </w:t>
      </w:r>
      <w:hyperlink r:id="rId18" w:history="1">
        <w:r w:rsidR="00337D43" w:rsidRPr="00337D43">
          <w:rPr>
            <w:rStyle w:val="Lienhypertexte"/>
          </w:rPr>
          <w:t xml:space="preserve">notre </w:t>
        </w:r>
        <w:r w:rsidR="001459B6" w:rsidRPr="00337D43">
          <w:rPr>
            <w:rStyle w:val="Lienhypertexte"/>
          </w:rPr>
          <w:t xml:space="preserve">vidéo </w:t>
        </w:r>
        <w:r w:rsidR="00337D43" w:rsidRPr="00337D43">
          <w:rPr>
            <w:rStyle w:val="Lienhypertexte"/>
          </w:rPr>
          <w:t xml:space="preserve">« L'accessibilité numérique au quotidien : témoignage et démonstration de </w:t>
        </w:r>
        <w:proofErr w:type="spellStart"/>
        <w:r w:rsidR="00337D43" w:rsidRPr="00337D43">
          <w:rPr>
            <w:rStyle w:val="Lienhypertexte"/>
          </w:rPr>
          <w:t>Jamshid</w:t>
        </w:r>
        <w:proofErr w:type="spellEnd"/>
        <w:r w:rsidR="00337D43" w:rsidRPr="00337D43">
          <w:rPr>
            <w:rStyle w:val="Lienhypertexte"/>
          </w:rPr>
          <w:t xml:space="preserve"> Kohandel »</w:t>
        </w:r>
      </w:hyperlink>
      <w:r w:rsidR="00337D43">
        <w:t>.</w:t>
      </w:r>
    </w:p>
    <w:p w14:paraId="3FC145EA" w14:textId="08389132" w:rsidR="00DE5262" w:rsidRDefault="00337D43" w:rsidP="00337D43">
      <w:pPr>
        <w:pStyle w:val="Paragraphedeliste"/>
        <w:keepNext/>
        <w:jc w:val="center"/>
      </w:pPr>
      <w:r>
        <w:rPr>
          <w:noProof/>
        </w:rPr>
        <w:drawing>
          <wp:inline distT="0" distB="0" distL="0" distR="0" wp14:anchorId="72786DE6" wp14:editId="0330AAA9">
            <wp:extent cx="1394460" cy="1394460"/>
            <wp:effectExtent l="0" t="0" r="0" b="0"/>
            <wp:docPr id="460276386" name="Image 2" descr="QR code et lien vers la vidéo « L'accessibilité numérique au quotidien : témoignage et démonstration de Jamshid Kohandel ».">
              <a:hlinkClick xmlns:a="http://schemas.openxmlformats.org/drawingml/2006/main" r:id="rId1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6386" name="Image 2" descr="QR code et lien vers la vidéo « L'accessibilité numérique au quotidien : témoignage et démonstration de Jamshid Kohandel ».">
                      <a:hlinkClick r:id="rId18"/>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p w14:paraId="4FE819F7" w14:textId="1040A6B0" w:rsidR="0092554C" w:rsidRDefault="0092554C">
      <w:pPr>
        <w:pStyle w:val="Paragraphedeliste"/>
        <w:numPr>
          <w:ilvl w:val="0"/>
          <w:numId w:val="20"/>
        </w:numPr>
      </w:pPr>
      <w:r w:rsidRPr="0092554C">
        <w:rPr>
          <w:b/>
          <w:bCs/>
        </w:rPr>
        <w:t>Travailler à la formation continue</w:t>
      </w:r>
      <w:r>
        <w:t xml:space="preserve"> des collaborateurs</w:t>
      </w:r>
      <w:r w:rsidR="0057195C">
        <w:t>,</w:t>
      </w:r>
      <w:r>
        <w:t xml:space="preserve"> </w:t>
      </w:r>
      <w:r w:rsidR="00B461BE">
        <w:t xml:space="preserve">par </w:t>
      </w:r>
      <w:r>
        <w:t xml:space="preserve">l’intégration </w:t>
      </w:r>
      <w:r w:rsidR="00B461BE">
        <w:t xml:space="preserve">obligatoire </w:t>
      </w:r>
      <w:r>
        <w:t>de formations à l'accessibilité numérique dans les catalogues de formations des organisations (mode projet, conception d’interfaces, rédaction de contenus, audit d’un service numérique etc.) ;</w:t>
      </w:r>
    </w:p>
    <w:p w14:paraId="1638F891" w14:textId="77777777" w:rsidR="0092554C" w:rsidRDefault="0092554C">
      <w:pPr>
        <w:pStyle w:val="Paragraphedeliste"/>
        <w:numPr>
          <w:ilvl w:val="0"/>
          <w:numId w:val="20"/>
        </w:numPr>
      </w:pPr>
      <w:r w:rsidRPr="0092554C">
        <w:rPr>
          <w:b/>
          <w:bCs/>
        </w:rPr>
        <w:t>Distiller les meilleures pratiques</w:t>
      </w:r>
      <w:r>
        <w:t xml:space="preserve"> à embarquer dans les projets pour respecter les obligations légales en la matière (ressources méthodologiques) ;</w:t>
      </w:r>
    </w:p>
    <w:p w14:paraId="3093EA80" w14:textId="22A4925E" w:rsidR="0092554C" w:rsidRDefault="0092554C">
      <w:pPr>
        <w:pStyle w:val="Paragraphedeliste"/>
        <w:numPr>
          <w:ilvl w:val="0"/>
          <w:numId w:val="20"/>
        </w:numPr>
      </w:pPr>
      <w:r w:rsidRPr="0092554C">
        <w:rPr>
          <w:b/>
          <w:bCs/>
        </w:rPr>
        <w:t>Informer sur le sujet et faire vivre durablement une communauté</w:t>
      </w:r>
      <w:r>
        <w:t xml:space="preserve"> ou un écosystème accessibilité (actualités, veille, événements, etc.).</w:t>
      </w: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973CB5" w:rsidRPr="00D62C23" w14:paraId="2159B249" w14:textId="77777777" w:rsidTr="00533C79">
        <w:trPr>
          <w:jc w:val="center"/>
        </w:trPr>
        <w:tc>
          <w:tcPr>
            <w:tcW w:w="9047" w:type="dxa"/>
            <w:tcBorders>
              <w:left w:val="single" w:sz="18" w:space="0" w:color="155E48"/>
            </w:tcBorders>
            <w:shd w:val="clear" w:color="auto" w:fill="F2F2F2" w:themeFill="background1" w:themeFillShade="F2"/>
          </w:tcPr>
          <w:p w14:paraId="26425F3D" w14:textId="77777777" w:rsidR="00973CB5" w:rsidRDefault="00973CB5" w:rsidP="00BE4EAB">
            <w:pPr>
              <w:pStyle w:val="TitreEncart"/>
            </w:pPr>
            <w:bookmarkStart w:id="47" w:name="_Toc230257728"/>
            <w:r w:rsidRPr="0092554C">
              <w:lastRenderedPageBreak/>
              <w:t xml:space="preserve">REX </w:t>
            </w:r>
            <w:r>
              <w:t>DINUM</w:t>
            </w:r>
            <w:bookmarkEnd w:id="47"/>
            <w:r>
              <w:t> </w:t>
            </w:r>
          </w:p>
          <w:p w14:paraId="5B4C5DC8" w14:textId="77777777" w:rsidR="00973CB5" w:rsidRPr="007B2E61" w:rsidRDefault="00973CB5" w:rsidP="00F25788">
            <w:pPr>
              <w:pStyle w:val="TitreencartREX"/>
            </w:pPr>
            <w:r w:rsidRPr="00A90E53">
              <w:t>Supervision et orchestration de la démarche accessibilité de plusieurs entités</w:t>
            </w:r>
            <w:r>
              <w:t xml:space="preserve"> </w:t>
            </w:r>
          </w:p>
          <w:p w14:paraId="1BB6AB75" w14:textId="4AF513D3" w:rsidR="00973CB5" w:rsidRPr="00A90E53" w:rsidRDefault="00DC3602" w:rsidP="00BE4EAB">
            <w:r>
              <w:t xml:space="preserve">« </w:t>
            </w:r>
            <w:r w:rsidR="00973CB5" w:rsidRPr="00A90E53">
              <w:t>La Direction Interministérielle du Numérique (DINUM) a mis en place un programme d'accompagnement de l'accessibilité numérique structuré autour de trois leviers d'action principaux : l'</w:t>
            </w:r>
            <w:r w:rsidR="00973CB5" w:rsidRPr="00A90E53">
              <w:rPr>
                <w:b/>
                <w:bCs/>
              </w:rPr>
              <w:t>expertise</w:t>
            </w:r>
            <w:r w:rsidR="00973CB5" w:rsidRPr="00A90E53">
              <w:t xml:space="preserve">, la </w:t>
            </w:r>
            <w:r w:rsidR="00973CB5" w:rsidRPr="00A90E53">
              <w:rPr>
                <w:b/>
                <w:bCs/>
              </w:rPr>
              <w:t xml:space="preserve">formation/sensibilisation, </w:t>
            </w:r>
            <w:r w:rsidR="00973CB5" w:rsidRPr="00A90E53">
              <w:t xml:space="preserve">et le </w:t>
            </w:r>
            <w:r w:rsidR="00973CB5" w:rsidRPr="00A90E53">
              <w:rPr>
                <w:b/>
                <w:bCs/>
              </w:rPr>
              <w:t>financement</w:t>
            </w:r>
            <w:r w:rsidR="00973CB5" w:rsidRPr="00A90E53">
              <w:t>.</w:t>
            </w:r>
          </w:p>
          <w:p w14:paraId="49DC6D43" w14:textId="77777777" w:rsidR="00973CB5" w:rsidRPr="00A90E53" w:rsidRDefault="00973CB5" w:rsidP="00BE4EAB">
            <w:r w:rsidRPr="00A90E53">
              <w:t xml:space="preserve">Ce dispositif, porté par la </w:t>
            </w:r>
            <w:r w:rsidRPr="00A90E53">
              <w:rPr>
                <w:b/>
                <w:bCs/>
              </w:rPr>
              <w:t>Brigade d'Intervention Numérique</w:t>
            </w:r>
            <w:r w:rsidRPr="00A90E53">
              <w:t xml:space="preserve"> (BIN), vise à s'assurer que les produits numériques des administrations soient conçus, développés et opérés selon les meilleures pratiques pour maximiser le service rendu aux usagers.</w:t>
            </w:r>
          </w:p>
          <w:p w14:paraId="2858814D" w14:textId="77777777" w:rsidR="00973CB5" w:rsidRPr="00A90E53" w:rsidRDefault="00973CB5" w:rsidP="00BE4EAB">
            <w:r w:rsidRPr="00A90E53">
              <w:t xml:space="preserve">La DINUM, à travers la BIN, intervient directement auprès des ministères pour leur fournir une </w:t>
            </w:r>
            <w:r w:rsidRPr="00A90E53">
              <w:rPr>
                <w:b/>
                <w:bCs/>
              </w:rPr>
              <w:t>expertise technique</w:t>
            </w:r>
            <w:r w:rsidRPr="00A90E53">
              <w:t xml:space="preserve">, bien que la responsabilité des produits et services demeure </w:t>
            </w:r>
            <w:r>
              <w:t>la leur</w:t>
            </w:r>
            <w:r w:rsidRPr="00A90E53">
              <w:t xml:space="preserve">. Cette expertise est mise à la fois au service des </w:t>
            </w:r>
            <w:r w:rsidRPr="00A90E53">
              <w:rPr>
                <w:b/>
                <w:bCs/>
              </w:rPr>
              <w:t>usagers</w:t>
            </w:r>
            <w:r w:rsidRPr="00A90E53">
              <w:t xml:space="preserve">, sur les démarches les plus utilisées (recensées dans l’observatoire </w:t>
            </w:r>
            <w:r>
              <w:t xml:space="preserve">« </w:t>
            </w:r>
            <w:r w:rsidRPr="00A90E53">
              <w:t>Vos démarches essentielles</w:t>
            </w:r>
            <w:r>
              <w:t xml:space="preserve"> »</w:t>
            </w:r>
            <w:r w:rsidRPr="00A90E53">
              <w:t xml:space="preserve">), et </w:t>
            </w:r>
            <w:r>
              <w:t xml:space="preserve">au service </w:t>
            </w:r>
            <w:r w:rsidRPr="00A90E53">
              <w:t xml:space="preserve">des </w:t>
            </w:r>
            <w:r w:rsidRPr="00A90E53">
              <w:rPr>
                <w:b/>
                <w:bCs/>
              </w:rPr>
              <w:t>agents</w:t>
            </w:r>
            <w:r w:rsidRPr="00F671A3">
              <w:t>,</w:t>
            </w:r>
            <w:r w:rsidRPr="00A90E53">
              <w:rPr>
                <w:b/>
                <w:bCs/>
              </w:rPr>
              <w:t xml:space="preserve"> </w:t>
            </w:r>
            <w:r w:rsidRPr="00A90E53">
              <w:t>via des outils qui leur sont destinés, en adoptant une approche de symétrie d'attention entre les usagers et les agents.</w:t>
            </w:r>
          </w:p>
          <w:p w14:paraId="66653845" w14:textId="77777777" w:rsidR="00973CB5" w:rsidRPr="00A90E53" w:rsidRDefault="00973CB5" w:rsidP="00BE4EAB">
            <w:r w:rsidRPr="00A90E53">
              <w:t>Ces interventions d’experts peuvent prendre plusieurs formes :</w:t>
            </w:r>
          </w:p>
          <w:p w14:paraId="542C8BFA" w14:textId="77777777" w:rsidR="00973CB5" w:rsidRPr="00A90E53" w:rsidRDefault="00973CB5" w:rsidP="00BE4EAB">
            <w:pPr>
              <w:numPr>
                <w:ilvl w:val="0"/>
                <w:numId w:val="23"/>
              </w:numPr>
            </w:pPr>
            <w:r w:rsidRPr="00A90E53">
              <w:rPr>
                <w:b/>
                <w:bCs/>
              </w:rPr>
              <w:t>Audits et évaluations</w:t>
            </w:r>
            <w:r w:rsidRPr="00A90E53">
              <w:t xml:space="preserve"> : réalisation d'audits RGAA (flash ou complets) via le site ARA</w:t>
            </w:r>
            <w:r>
              <w:rPr>
                <w:rStyle w:val="Appelnotedebasdep"/>
              </w:rPr>
              <w:footnoteReference w:id="18"/>
            </w:r>
            <w:r w:rsidRPr="00A90E53">
              <w:t>;</w:t>
            </w:r>
          </w:p>
          <w:p w14:paraId="4C02D8A6" w14:textId="77777777" w:rsidR="00973CB5" w:rsidRDefault="00973CB5" w:rsidP="00BE4EAB">
            <w:pPr>
              <w:numPr>
                <w:ilvl w:val="0"/>
                <w:numId w:val="23"/>
              </w:numPr>
            </w:pPr>
            <w:r w:rsidRPr="00A90E53">
              <w:rPr>
                <w:b/>
                <w:bCs/>
              </w:rPr>
              <w:t xml:space="preserve">Recommandations techniques </w:t>
            </w:r>
            <w:r w:rsidRPr="004266FC">
              <w:t xml:space="preserve">: </w:t>
            </w:r>
            <w:r w:rsidRPr="00A90E53">
              <w:t>élaboration de recommandations pour la mise en accessibilité d'un service et organisation d'échanges techniques avec les équipes de développement ;</w:t>
            </w:r>
          </w:p>
          <w:p w14:paraId="243E488D" w14:textId="77777777" w:rsidR="00973CB5" w:rsidRDefault="00973CB5" w:rsidP="00BE4EAB">
            <w:pPr>
              <w:numPr>
                <w:ilvl w:val="0"/>
                <w:numId w:val="23"/>
              </w:numPr>
            </w:pPr>
            <w:r w:rsidRPr="00A90E53">
              <w:rPr>
                <w:b/>
                <w:bCs/>
              </w:rPr>
              <w:t>Tests utilisateurs</w:t>
            </w:r>
            <w:r w:rsidRPr="00A90E53">
              <w:t xml:space="preserve"> : organisation de tests des services par des utilisateurs, notamment handicapés, ce qui provoque une vraie prise de conscience de l'impact réel de l'inaccessibilité.</w:t>
            </w:r>
          </w:p>
          <w:p w14:paraId="04720073" w14:textId="77777777" w:rsidR="00973CB5" w:rsidRPr="00A90E53" w:rsidRDefault="00973CB5" w:rsidP="00BE4EAB">
            <w:r w:rsidRPr="00A90E53">
              <w:t xml:space="preserve">La BIN dispense également des </w:t>
            </w:r>
            <w:r w:rsidRPr="00A90E53">
              <w:rPr>
                <w:b/>
                <w:bCs/>
              </w:rPr>
              <w:t>formations et des sensibilisations</w:t>
            </w:r>
            <w:r w:rsidRPr="00A90E53">
              <w:t xml:space="preserve"> sur l’accessibilité, et propose des modules de</w:t>
            </w:r>
            <w:r w:rsidRPr="00A90E53">
              <w:rPr>
                <w:i/>
                <w:iCs/>
              </w:rPr>
              <w:t xml:space="preserve"> e-learning</w:t>
            </w:r>
            <w:r w:rsidRPr="00A90E53">
              <w:t xml:space="preserve">. Ce point est crucial </w:t>
            </w:r>
            <w:r>
              <w:t>pour</w:t>
            </w:r>
            <w:r w:rsidRPr="00A90E53">
              <w:t xml:space="preserve"> permettre que l’accessibilité se maintienne dans le temps. Les agents sont notamment sensibilisés à produire des contenus accessibles, et à vérifier de manière simple l’accessibilité des développements fournis par leurs prestataires.</w:t>
            </w:r>
          </w:p>
          <w:p w14:paraId="7F34D669" w14:textId="0A72D091" w:rsidR="00646CD1" w:rsidRDefault="00973CB5" w:rsidP="00BE4EAB">
            <w:r w:rsidRPr="00A90E53">
              <w:t>Enfin, la DINUM propose</w:t>
            </w:r>
            <w:r w:rsidRPr="00A90E53">
              <w:rPr>
                <w:b/>
                <w:bCs/>
              </w:rPr>
              <w:t xml:space="preserve"> un guichet de financement</w:t>
            </w:r>
            <w:r w:rsidRPr="00A90E53">
              <w:t xml:space="preserve"> : les administrations peuvent demander une aide financière pour la mise en accessibilité de leurs services numériques (démarches essentielles et outils agents). À noter que ces actions ne peuvent pas bénéficier aux entreprises privées pour des raisons de ressources et de mise en concurrence</w:t>
            </w:r>
            <w:r w:rsidR="00F755EB">
              <w:t>.</w:t>
            </w:r>
            <w:r w:rsidR="00DC3602">
              <w:t xml:space="preserve"> »</w:t>
            </w:r>
            <w:r>
              <w:t xml:space="preserve"> </w:t>
            </w:r>
          </w:p>
          <w:p w14:paraId="0D31CAF4" w14:textId="77777777" w:rsidR="00973CB5" w:rsidRPr="00A90E53" w:rsidRDefault="00973CB5" w:rsidP="00BE4EAB">
            <w:pPr>
              <w:jc w:val="right"/>
              <w:rPr>
                <w:b/>
                <w:bCs/>
              </w:rPr>
            </w:pPr>
            <w:r w:rsidRPr="00A90E53">
              <w:rPr>
                <w:b/>
                <w:bCs/>
              </w:rPr>
              <w:t>Jamshid KOHANDEL</w:t>
            </w:r>
            <w:r w:rsidRPr="00A90E53">
              <w:t>, Chargé de mission accessibilité à la</w:t>
            </w:r>
            <w:r w:rsidRPr="00A90E53">
              <w:rPr>
                <w:b/>
                <w:bCs/>
              </w:rPr>
              <w:t xml:space="preserve"> DINUM</w:t>
            </w:r>
          </w:p>
          <w:p w14:paraId="4A43AD3C" w14:textId="77777777" w:rsidR="00973CB5" w:rsidRPr="00D62C23" w:rsidRDefault="00973CB5" w:rsidP="00BE4EAB">
            <w:pPr>
              <w:jc w:val="right"/>
              <w:rPr>
                <w:b/>
                <w:bCs/>
              </w:rPr>
            </w:pPr>
            <w:r w:rsidRPr="00A90E53">
              <w:rPr>
                <w:b/>
                <w:bCs/>
              </w:rPr>
              <w:t>Stéphanie NAZARIAN</w:t>
            </w:r>
            <w:r w:rsidRPr="00A90E53">
              <w:t>, Responsable Brigade d'intervention numérique à la</w:t>
            </w:r>
            <w:r w:rsidRPr="00A90E53">
              <w:rPr>
                <w:b/>
                <w:bCs/>
              </w:rPr>
              <w:t xml:space="preserve"> DINUM</w:t>
            </w:r>
          </w:p>
        </w:tc>
      </w:tr>
      <w:tr w:rsidR="00973CB5" w:rsidRPr="00C43137" w14:paraId="42D3C4D2" w14:textId="77777777" w:rsidTr="00533C79">
        <w:trPr>
          <w:jc w:val="center"/>
        </w:trPr>
        <w:tc>
          <w:tcPr>
            <w:tcW w:w="9047" w:type="dxa"/>
            <w:tcBorders>
              <w:left w:val="single" w:sz="18" w:space="0" w:color="155E48"/>
            </w:tcBorders>
            <w:shd w:val="clear" w:color="auto" w:fill="F2F2F2" w:themeFill="background1" w:themeFillShade="F2"/>
          </w:tcPr>
          <w:p w14:paraId="09196C0C" w14:textId="77777777" w:rsidR="00973CB5" w:rsidRDefault="00973CB5" w:rsidP="00BE4EAB">
            <w:pPr>
              <w:pStyle w:val="TitreEncart"/>
            </w:pPr>
            <w:bookmarkStart w:id="48" w:name="_Toc230257729"/>
            <w:r w:rsidRPr="0092554C">
              <w:lastRenderedPageBreak/>
              <w:t xml:space="preserve">REX </w:t>
            </w:r>
            <w:r w:rsidRPr="00F671A3">
              <w:t>Direction du Numérique des ministres de la Transition écologique et de l’Aménagement des territoires</w:t>
            </w:r>
            <w:bookmarkEnd w:id="48"/>
          </w:p>
          <w:p w14:paraId="2F52AD73" w14:textId="77777777" w:rsidR="00973CB5" w:rsidRDefault="00973CB5" w:rsidP="0033608D">
            <w:pPr>
              <w:pStyle w:val="TitreencartREX"/>
            </w:pPr>
            <w:r w:rsidRPr="0092554C">
              <w:t xml:space="preserve"> </w:t>
            </w:r>
            <w:r w:rsidRPr="00D62C23">
              <w:t xml:space="preserve">Une gouvernance structurée en vue du passage à l’échelle </w:t>
            </w:r>
          </w:p>
          <w:p w14:paraId="11D4EB3F" w14:textId="2E02C571" w:rsidR="00973CB5" w:rsidRPr="00D62C23" w:rsidRDefault="00973CB5" w:rsidP="00BE4EAB">
            <w:r w:rsidRPr="00F671A3">
              <w:t>La première feuille de route ministérielle sur l’accessibilité a été créée en 2022 et réactualisée en 2025. Elle se décline via une gouvernance dédiée en mode projet avec un comité de suivi régulier</w:t>
            </w:r>
            <w:r>
              <w:t xml:space="preserve"> et </w:t>
            </w:r>
            <w:r w:rsidRPr="00F671A3">
              <w:t>la participation de deux agents en situation de handicap. Ce</w:t>
            </w:r>
            <w:r>
              <w:t xml:space="preserve"> comité</w:t>
            </w:r>
            <w:r w:rsidRPr="00F671A3">
              <w:t xml:space="preserve"> permet notamment de suivre l’avancement des actions. Le programme intègre une directrice de programme et 6 référents sur les volets et actions de la feuille de route, </w:t>
            </w:r>
            <w:r>
              <w:t xml:space="preserve">dont voici </w:t>
            </w:r>
            <w:r w:rsidRPr="00D62C23">
              <w:t>quelques exemples</w:t>
            </w:r>
            <w:r>
              <w:t xml:space="preserve"> concrets à déployer d‘ici 2027</w:t>
            </w:r>
            <w:r w:rsidRPr="00D62C23">
              <w:t xml:space="preserve"> : </w:t>
            </w:r>
          </w:p>
          <w:p w14:paraId="30519AE4" w14:textId="77777777" w:rsidR="00973CB5" w:rsidRPr="00D62C23" w:rsidRDefault="00973CB5">
            <w:pPr>
              <w:pStyle w:val="Paragraphedeliste"/>
              <w:numPr>
                <w:ilvl w:val="0"/>
                <w:numId w:val="72"/>
              </w:numPr>
            </w:pPr>
            <w:r w:rsidRPr="00D62C23">
              <w:t>Accompagner les maîtrises d’ouvrage pour des produits numériques accessibles à tous</w:t>
            </w:r>
            <w:r>
              <w:t>.</w:t>
            </w:r>
          </w:p>
          <w:p w14:paraId="45AFEFD9" w14:textId="77777777" w:rsidR="00973CB5" w:rsidRPr="00D62C23" w:rsidRDefault="00973CB5" w:rsidP="00BE4EAB">
            <w:pPr>
              <w:numPr>
                <w:ilvl w:val="0"/>
                <w:numId w:val="24"/>
              </w:numPr>
            </w:pPr>
            <w:r w:rsidRPr="00D62C23">
              <w:t>Ex</w:t>
            </w:r>
            <w:r>
              <w:t>emples</w:t>
            </w:r>
            <w:r w:rsidRPr="00D62C23">
              <w:t xml:space="preserve"> d’action : 1. Renforcer la conformité des produits numériques au Référentiel Général d’Amélioration de l’Accessibilité (RGAA), 2. Aider à la mise en place du système de design de l’État pour des produits numériques nativement accessibles</w:t>
            </w:r>
            <w:r>
              <w:t>.</w:t>
            </w:r>
          </w:p>
          <w:p w14:paraId="09913B91" w14:textId="77777777" w:rsidR="00973CB5" w:rsidRPr="00D62C23" w:rsidRDefault="00973CB5">
            <w:pPr>
              <w:pStyle w:val="Paragraphedeliste"/>
              <w:numPr>
                <w:ilvl w:val="0"/>
                <w:numId w:val="72"/>
              </w:numPr>
            </w:pPr>
            <w:r w:rsidRPr="00D62C23">
              <w:t>Construire les produits numériques et outils du ministère en pensant aux usagers et aux agents en situation de handicap</w:t>
            </w:r>
            <w:r>
              <w:t>.</w:t>
            </w:r>
          </w:p>
          <w:p w14:paraId="23A6D416" w14:textId="77777777" w:rsidR="00973CB5" w:rsidRPr="00D62C23" w:rsidRDefault="00973CB5" w:rsidP="00BE4EAB">
            <w:pPr>
              <w:numPr>
                <w:ilvl w:val="0"/>
                <w:numId w:val="25"/>
              </w:numPr>
            </w:pPr>
            <w:r w:rsidRPr="00D62C23">
              <w:t>Ex</w:t>
            </w:r>
            <w:r>
              <w:t>emple</w:t>
            </w:r>
            <w:r w:rsidRPr="00D62C23">
              <w:t xml:space="preserve"> d’action : rendre les agents acteurs de la transformation</w:t>
            </w:r>
            <w:r>
              <w:t>.</w:t>
            </w:r>
          </w:p>
          <w:p w14:paraId="5223227D" w14:textId="738211BD" w:rsidR="00973CB5" w:rsidRPr="00D62C23" w:rsidRDefault="00973CB5">
            <w:pPr>
              <w:pStyle w:val="Paragraphedeliste"/>
              <w:numPr>
                <w:ilvl w:val="0"/>
                <w:numId w:val="72"/>
              </w:numPr>
            </w:pPr>
            <w:r w:rsidRPr="00C56DCA">
              <w:t>Faire bénéficier les agents de formations à l’accessibilité numérique pour qu’ils puissent agir</w:t>
            </w:r>
            <w:r w:rsidR="00DC3602">
              <w:t>.</w:t>
            </w:r>
          </w:p>
          <w:p w14:paraId="28EEEEBA" w14:textId="77777777" w:rsidR="00973CB5" w:rsidRDefault="00973CB5" w:rsidP="00BE4EAB">
            <w:pPr>
              <w:numPr>
                <w:ilvl w:val="0"/>
                <w:numId w:val="26"/>
              </w:numPr>
            </w:pPr>
            <w:r w:rsidRPr="00D62C23">
              <w:t>Ex</w:t>
            </w:r>
            <w:r>
              <w:t>emple</w:t>
            </w:r>
            <w:r w:rsidRPr="00D62C23">
              <w:t xml:space="preserve"> d’action : sensibilisation de tous les agents, formations plus ciblées pour d’autres acteurs avec une prise en compte de la continuité des savoir-faire. </w:t>
            </w:r>
          </w:p>
          <w:p w14:paraId="702CA5F3" w14:textId="77777777" w:rsidR="00646CD1" w:rsidRPr="00D62C23" w:rsidRDefault="00646CD1" w:rsidP="00646CD1"/>
          <w:p w14:paraId="71491CD3" w14:textId="77777777" w:rsidR="00973CB5" w:rsidRDefault="00973CB5" w:rsidP="00BE4EAB">
            <w:pPr>
              <w:jc w:val="right"/>
            </w:pPr>
            <w:r w:rsidRPr="008A3CCC">
              <w:rPr>
                <w:b/>
                <w:bCs/>
              </w:rPr>
              <w:t>Marie-Laure Bouthière</w:t>
            </w:r>
            <w:r>
              <w:t>, Chargée de la direction du programme « Handi &amp; Numérique »,</w:t>
            </w:r>
          </w:p>
          <w:p w14:paraId="1CE3C0E4" w14:textId="77777777" w:rsidR="00973CB5" w:rsidRDefault="00973CB5" w:rsidP="00BE4EAB">
            <w:pPr>
              <w:jc w:val="right"/>
            </w:pPr>
            <w:r>
              <w:t xml:space="preserve"> </w:t>
            </w:r>
            <w:r w:rsidRPr="008A3CCC">
              <w:rPr>
                <w:b/>
                <w:bCs/>
              </w:rPr>
              <w:t>Jean-Philippe Simonnet</w:t>
            </w:r>
            <w:r>
              <w:t xml:space="preserve">, Chargé de mission hospitalité numérique, </w:t>
            </w:r>
          </w:p>
          <w:p w14:paraId="686BB694" w14:textId="77777777" w:rsidR="00973CB5" w:rsidRDefault="00973CB5" w:rsidP="00BE4EAB">
            <w:pPr>
              <w:jc w:val="right"/>
            </w:pPr>
            <w:r w:rsidRPr="008A3CCC">
              <w:rPr>
                <w:b/>
                <w:bCs/>
              </w:rPr>
              <w:t>Geoffrey Arthaud</w:t>
            </w:r>
            <w:r>
              <w:t>, Chef du groupe « Méthodes »,</w:t>
            </w:r>
          </w:p>
          <w:p w14:paraId="07483E1C" w14:textId="77777777" w:rsidR="00973CB5" w:rsidRDefault="00973CB5" w:rsidP="00BE4EAB">
            <w:pPr>
              <w:jc w:val="right"/>
            </w:pPr>
            <w:r>
              <w:t xml:space="preserve"> </w:t>
            </w:r>
            <w:r w:rsidRPr="008A3CCC">
              <w:rPr>
                <w:b/>
                <w:bCs/>
              </w:rPr>
              <w:t>Laetitia Legrand</w:t>
            </w:r>
            <w:r>
              <w:t>, UX/UI designer,</w:t>
            </w:r>
          </w:p>
          <w:p w14:paraId="798372B0" w14:textId="77777777" w:rsidR="00973CB5" w:rsidRPr="00DC3602" w:rsidRDefault="00973CB5" w:rsidP="00BE4EAB">
            <w:pPr>
              <w:jc w:val="right"/>
              <w:rPr>
                <w:b/>
                <w:bCs/>
              </w:rPr>
            </w:pPr>
            <w:r w:rsidRPr="00DC3602">
              <w:rPr>
                <w:b/>
                <w:bCs/>
              </w:rPr>
              <w:t>Secrétariat général, Direction du numérique, ministères la Transition écologique, de l’Aménagement des territoires, des Transports, de la Ville et du logement</w:t>
            </w:r>
          </w:p>
        </w:tc>
      </w:tr>
    </w:tbl>
    <w:p w14:paraId="273437E6" w14:textId="77777777" w:rsidR="00973CB5" w:rsidRDefault="00973CB5" w:rsidP="00973CB5"/>
    <w:p w14:paraId="25ED5492" w14:textId="47D608EC" w:rsidR="0092554C" w:rsidRPr="008227C9" w:rsidRDefault="0092554C" w:rsidP="0092554C">
      <w:pPr>
        <w:pStyle w:val="Titre3"/>
        <w:rPr>
          <w:lang w:val="fr-FR"/>
        </w:rPr>
      </w:pPr>
      <w:bookmarkStart w:id="49" w:name="_Toc230077017"/>
      <w:r w:rsidRPr="008227C9">
        <w:rPr>
          <w:lang w:val="fr-FR"/>
        </w:rPr>
        <w:t>Impliquer les achats, prestataires et éditeurs</w:t>
      </w:r>
      <w:bookmarkEnd w:id="49"/>
    </w:p>
    <w:p w14:paraId="1474D9C4" w14:textId="7CEFFF16" w:rsidR="0092554C" w:rsidRDefault="0092554C" w:rsidP="0092554C">
      <w:pPr>
        <w:rPr>
          <w:lang w:eastAsia="fr-FR"/>
        </w:rPr>
      </w:pPr>
      <w:r w:rsidRPr="0092554C">
        <w:rPr>
          <w:b/>
          <w:bCs/>
          <w:lang w:eastAsia="fr-FR"/>
        </w:rPr>
        <w:t>À l’interface entre l’interne et l’externe</w:t>
      </w:r>
      <w:r w:rsidR="008040A2">
        <w:rPr>
          <w:b/>
          <w:bCs/>
          <w:lang w:eastAsia="fr-FR"/>
        </w:rPr>
        <w:t xml:space="preserve">, les </w:t>
      </w:r>
      <w:r w:rsidR="008040A2" w:rsidRPr="0092554C">
        <w:rPr>
          <w:b/>
          <w:bCs/>
          <w:lang w:eastAsia="fr-FR"/>
        </w:rPr>
        <w:t>processus d’achat</w:t>
      </w:r>
      <w:r w:rsidRPr="0092554C">
        <w:rPr>
          <w:b/>
          <w:bCs/>
          <w:lang w:eastAsia="fr-FR"/>
        </w:rPr>
        <w:t xml:space="preserve"> doivent </w:t>
      </w:r>
      <w:r w:rsidR="008040A2">
        <w:rPr>
          <w:b/>
          <w:bCs/>
          <w:lang w:eastAsia="fr-FR"/>
        </w:rPr>
        <w:t xml:space="preserve">intégrer </w:t>
      </w:r>
      <w:r w:rsidR="008040A2" w:rsidRPr="0092554C">
        <w:rPr>
          <w:b/>
          <w:bCs/>
          <w:lang w:eastAsia="fr-FR"/>
        </w:rPr>
        <w:t>les exigences de l’accessibilité</w:t>
      </w:r>
      <w:r w:rsidRPr="0092554C">
        <w:rPr>
          <w:lang w:eastAsia="fr-FR"/>
        </w:rPr>
        <w:t xml:space="preserve">, que ce soit dans les appels d'offres, les cahiers des charges, les clauses contractuelles </w:t>
      </w:r>
      <w:r w:rsidR="002D0F5B">
        <w:rPr>
          <w:lang w:eastAsia="fr-FR"/>
        </w:rPr>
        <w:lastRenderedPageBreak/>
        <w:t xml:space="preserve">(cf. REX de La Poste Groupe ci-après), </w:t>
      </w:r>
      <w:r w:rsidRPr="0092554C">
        <w:rPr>
          <w:lang w:eastAsia="fr-FR"/>
        </w:rPr>
        <w:t>ou la renégociation de contrat. Deux types de dispositifs permettent de favoriser cette intégration</w:t>
      </w:r>
      <w:r w:rsidR="008040A2">
        <w:rPr>
          <w:lang w:eastAsia="fr-FR"/>
        </w:rPr>
        <w:t xml:space="preserve"> </w:t>
      </w:r>
      <w:r w:rsidRPr="0092554C">
        <w:rPr>
          <w:lang w:eastAsia="fr-FR"/>
        </w:rPr>
        <w:t>:</w:t>
      </w:r>
    </w:p>
    <w:p w14:paraId="29FDA6FF" w14:textId="3DC77C29" w:rsidR="0092554C" w:rsidRDefault="008904B2">
      <w:pPr>
        <w:pStyle w:val="Paragraphedeliste"/>
        <w:numPr>
          <w:ilvl w:val="0"/>
          <w:numId w:val="21"/>
        </w:numPr>
        <w:rPr>
          <w:lang w:eastAsia="fr-FR"/>
        </w:rPr>
      </w:pPr>
      <w:r>
        <w:rPr>
          <w:b/>
          <w:bCs/>
          <w:lang w:eastAsia="fr-FR"/>
        </w:rPr>
        <w:t>Vis-à-vis des</w:t>
      </w:r>
      <w:r w:rsidR="0092554C" w:rsidRPr="0092554C">
        <w:rPr>
          <w:b/>
          <w:bCs/>
          <w:lang w:eastAsia="fr-FR"/>
        </w:rPr>
        <w:t xml:space="preserve"> éditeurs de produits et services numériques</w:t>
      </w:r>
      <w:r w:rsidR="001E440D">
        <w:rPr>
          <w:b/>
          <w:bCs/>
          <w:lang w:eastAsia="fr-FR"/>
        </w:rPr>
        <w:t xml:space="preserve"> et de prestations intellectuelles,</w:t>
      </w:r>
      <w:r w:rsidR="0092554C" w:rsidRPr="0092554C">
        <w:rPr>
          <w:b/>
          <w:bCs/>
          <w:lang w:eastAsia="fr-FR"/>
        </w:rPr>
        <w:t xml:space="preserve"> </w:t>
      </w:r>
      <w:r w:rsidR="00291124">
        <w:rPr>
          <w:b/>
          <w:bCs/>
          <w:lang w:eastAsia="fr-FR"/>
        </w:rPr>
        <w:t>l</w:t>
      </w:r>
      <w:r w:rsidR="0092554C" w:rsidRPr="0092554C">
        <w:rPr>
          <w:b/>
          <w:bCs/>
          <w:lang w:eastAsia="fr-FR"/>
        </w:rPr>
        <w:t>a mise à disposition d’un document exposant les exigences en matière d’accessibilité</w:t>
      </w:r>
      <w:r w:rsidR="0092554C">
        <w:rPr>
          <w:lang w:eastAsia="fr-FR"/>
        </w:rPr>
        <w:t xml:space="preserve"> constitue un élément différenciant pour </w:t>
      </w:r>
      <w:r w:rsidR="00863B53">
        <w:rPr>
          <w:lang w:eastAsia="fr-FR"/>
        </w:rPr>
        <w:t xml:space="preserve">son intégration </w:t>
      </w:r>
      <w:r w:rsidR="0092554C">
        <w:rPr>
          <w:lang w:eastAsia="fr-FR"/>
        </w:rPr>
        <w:t xml:space="preserve">à tous les niveaux. </w:t>
      </w:r>
    </w:p>
    <w:p w14:paraId="3E51ED8B" w14:textId="19EB3A96" w:rsidR="00661E67" w:rsidRPr="005E30C1" w:rsidRDefault="00F003E8" w:rsidP="00661E67">
      <w:pPr>
        <w:ind w:left="708"/>
        <w:rPr>
          <w:lang w:eastAsia="fr-FR"/>
        </w:rPr>
      </w:pPr>
      <w:r>
        <w:rPr>
          <w:lang w:eastAsia="fr-FR"/>
        </w:rPr>
        <w:t>L</w:t>
      </w:r>
      <w:r w:rsidR="00863B53">
        <w:rPr>
          <w:lang w:eastAsia="fr-FR"/>
        </w:rPr>
        <w:t>’accessibilité numérique doit faire partie des critères de sélection, q</w:t>
      </w:r>
      <w:r w:rsidR="0092554C">
        <w:rPr>
          <w:lang w:eastAsia="fr-FR"/>
        </w:rPr>
        <w:t xml:space="preserve">uel que soit le type de produit ou de service, </w:t>
      </w:r>
      <w:r w:rsidR="00863B53">
        <w:rPr>
          <w:lang w:eastAsia="fr-FR"/>
        </w:rPr>
        <w:t>dès lors</w:t>
      </w:r>
      <w:r w:rsidR="0092554C">
        <w:rPr>
          <w:lang w:eastAsia="fr-FR"/>
        </w:rPr>
        <w:t xml:space="preserve"> </w:t>
      </w:r>
      <w:r w:rsidR="00DE5262">
        <w:rPr>
          <w:lang w:eastAsia="fr-FR"/>
        </w:rPr>
        <w:t xml:space="preserve">que celui-ci </w:t>
      </w:r>
      <w:r w:rsidR="0092554C">
        <w:rPr>
          <w:lang w:eastAsia="fr-FR"/>
        </w:rPr>
        <w:t xml:space="preserve">propose des interfaces graphiques avec des utilisateurs (site web, plateforme cloud, application mobile, module </w:t>
      </w:r>
      <w:r w:rsidR="0092554C" w:rsidRPr="00B5346E">
        <w:rPr>
          <w:i/>
          <w:iCs/>
          <w:lang w:eastAsia="fr-FR"/>
        </w:rPr>
        <w:t>e-learning</w:t>
      </w:r>
      <w:r w:rsidR="0092554C">
        <w:rPr>
          <w:lang w:eastAsia="fr-FR"/>
        </w:rPr>
        <w:t xml:space="preserve"> etc.),</w:t>
      </w:r>
      <w:r w:rsidRPr="00F003E8">
        <w:rPr>
          <w:lang w:eastAsia="fr-FR"/>
        </w:rPr>
        <w:t xml:space="preserve"> </w:t>
      </w:r>
      <w:r>
        <w:rPr>
          <w:lang w:eastAsia="fr-FR"/>
        </w:rPr>
        <w:t xml:space="preserve">que ce soit par </w:t>
      </w:r>
      <w:r w:rsidR="00DE5262">
        <w:rPr>
          <w:lang w:eastAsia="fr-FR"/>
        </w:rPr>
        <w:t>l’</w:t>
      </w:r>
      <w:r>
        <w:rPr>
          <w:lang w:eastAsia="fr-FR"/>
        </w:rPr>
        <w:t>établissement de clausiers ou par l’exigence de formation des prestataires</w:t>
      </w:r>
      <w:r w:rsidR="005E30C1">
        <w:rPr>
          <w:lang w:eastAsia="fr-FR"/>
        </w:rPr>
        <w:t xml:space="preserve">. </w:t>
      </w:r>
      <w:r w:rsidR="00661E67">
        <w:rPr>
          <w:lang w:eastAsia="fr-FR"/>
        </w:rPr>
        <w:t>À titre d’exemple, le Ministère de l’Intérieur a rédigé un modèle de clause d’accessibilité numérique pour ses appels d’offre. Ce modèle peut être adapté en fonction des besoins et contraintes de chaque organisation</w:t>
      </w:r>
      <w:r w:rsidR="00661E67">
        <w:rPr>
          <w:rStyle w:val="Appelnotedebasdep"/>
          <w:lang w:eastAsia="fr-FR"/>
        </w:rPr>
        <w:footnoteReference w:id="19"/>
      </w:r>
      <w:r w:rsidR="00661E67">
        <w:rPr>
          <w:lang w:eastAsia="fr-FR"/>
        </w:rPr>
        <w:t>.</w:t>
      </w:r>
    </w:p>
    <w:p w14:paraId="74C65A5D" w14:textId="7D3AD0C9" w:rsidR="0092554C" w:rsidRDefault="0098395F" w:rsidP="00DC3602">
      <w:pPr>
        <w:pStyle w:val="Paragraphedeliste"/>
        <w:contextualSpacing w:val="0"/>
        <w:rPr>
          <w:lang w:eastAsia="fr-FR"/>
        </w:rPr>
      </w:pPr>
      <w:r w:rsidRPr="0098395F">
        <w:rPr>
          <w:lang w:eastAsia="fr-FR"/>
        </w:rPr>
        <w:t>Le recours à un avocat spécialisé permet de produire des documents types qui sécurisent les clauses de marché et les appels d’offres grâce à une délimitation claire des responsabilités en amont. Cette anticipation évite de nombreuses incompréhensions et les surcoûts liés à d'éventuels allers-retours correctifs. Toutefois, il reste difficile de soumettre contractuellement un prestataire à une stricte obligation de résultat en matière de conformité, celle-ci dépendant fortement de paramètres propres au client.</w:t>
      </w:r>
      <w:r w:rsidR="00661E67">
        <w:rPr>
          <w:lang w:eastAsia="fr-FR"/>
        </w:rPr>
        <w:t xml:space="preserve"> </w:t>
      </w:r>
      <w:r w:rsidR="00ED0CB6">
        <w:rPr>
          <w:lang w:eastAsia="fr-FR"/>
        </w:rPr>
        <w:t>Pour cela</w:t>
      </w:r>
      <w:r w:rsidR="00661E67">
        <w:rPr>
          <w:lang w:eastAsia="fr-FR"/>
        </w:rPr>
        <w:t>,</w:t>
      </w:r>
      <w:r w:rsidR="00ED0CB6">
        <w:rPr>
          <w:lang w:eastAsia="fr-FR"/>
        </w:rPr>
        <w:t xml:space="preserve"> il </w:t>
      </w:r>
      <w:r w:rsidR="00661E67">
        <w:rPr>
          <w:lang w:eastAsia="fr-FR"/>
        </w:rPr>
        <w:t>peut être intéressant</w:t>
      </w:r>
      <w:r w:rsidR="00B5346E">
        <w:rPr>
          <w:lang w:eastAsia="fr-FR"/>
        </w:rPr>
        <w:t xml:space="preserve"> </w:t>
      </w:r>
      <w:r w:rsidR="0092554C">
        <w:rPr>
          <w:lang w:eastAsia="fr-FR"/>
        </w:rPr>
        <w:t xml:space="preserve">d’adopter un processus gagnant-gagnant, avec des critères à respecter pour les nouveaux appels d’offres et </w:t>
      </w:r>
      <w:r w:rsidR="00ED0CB6">
        <w:rPr>
          <w:lang w:eastAsia="fr-FR"/>
        </w:rPr>
        <w:t xml:space="preserve">pour </w:t>
      </w:r>
      <w:r w:rsidR="0092554C">
        <w:rPr>
          <w:lang w:eastAsia="fr-FR"/>
        </w:rPr>
        <w:t xml:space="preserve">les renégociations de contrat, incluant éventuellement une offre pour un premier audit. Par ailleurs, le pôle accessibilité numérique doit veiller à ce que l’exigence </w:t>
      </w:r>
      <w:r w:rsidR="00DE5262">
        <w:rPr>
          <w:lang w:eastAsia="fr-FR"/>
        </w:rPr>
        <w:t xml:space="preserve">en externe </w:t>
      </w:r>
      <w:r w:rsidR="0092554C">
        <w:rPr>
          <w:lang w:eastAsia="fr-FR"/>
        </w:rPr>
        <w:t xml:space="preserve">envers les prestataires ne soit pas moins forte qu’en interne. Pour s’en assurer, il peut instaurer des dispositifs tels que la mise en place systématique de formations minimales des prestataires et fournisseurs de logiciels, ne serait-ce que pour permettre de pointer les difficultés techniques et les défis de compatibilité avec le </w:t>
      </w:r>
      <w:proofErr w:type="spellStart"/>
      <w:r w:rsidR="0092554C" w:rsidRPr="00B5346E">
        <w:rPr>
          <w:i/>
          <w:iCs/>
          <w:lang w:eastAsia="fr-FR"/>
        </w:rPr>
        <w:t>legacy</w:t>
      </w:r>
      <w:proofErr w:type="spellEnd"/>
      <w:r w:rsidR="0092554C">
        <w:rPr>
          <w:lang w:eastAsia="fr-FR"/>
        </w:rPr>
        <w:t>.</w:t>
      </w:r>
    </w:p>
    <w:p w14:paraId="039502DB" w14:textId="2ECBB1C8" w:rsidR="0092554C" w:rsidRDefault="008B4152">
      <w:pPr>
        <w:pStyle w:val="Paragraphedeliste"/>
        <w:numPr>
          <w:ilvl w:val="0"/>
          <w:numId w:val="21"/>
        </w:numPr>
        <w:rPr>
          <w:lang w:eastAsia="fr-FR"/>
        </w:rPr>
      </w:pPr>
      <w:r>
        <w:rPr>
          <w:b/>
          <w:bCs/>
          <w:lang w:eastAsia="fr-FR"/>
        </w:rPr>
        <w:t xml:space="preserve">Vis-à-vis des départements </w:t>
      </w:r>
      <w:r w:rsidR="0092554C" w:rsidRPr="0092554C">
        <w:rPr>
          <w:b/>
          <w:bCs/>
          <w:lang w:eastAsia="fr-FR"/>
        </w:rPr>
        <w:t>achats, la scénarisation de</w:t>
      </w:r>
      <w:r>
        <w:rPr>
          <w:b/>
          <w:bCs/>
          <w:lang w:eastAsia="fr-FR"/>
        </w:rPr>
        <w:t>s principaux</w:t>
      </w:r>
      <w:r w:rsidR="0092554C" w:rsidRPr="0092554C">
        <w:rPr>
          <w:b/>
          <w:bCs/>
          <w:lang w:eastAsia="fr-FR"/>
        </w:rPr>
        <w:t xml:space="preserve"> cas de fourniture de services</w:t>
      </w:r>
      <w:r w:rsidR="0092554C" w:rsidRPr="0092554C">
        <w:rPr>
          <w:lang w:eastAsia="fr-FR"/>
        </w:rPr>
        <w:t xml:space="preserve"> permet de simplifier l’intégration de l’accessibilité numérique dans la méthodologie d’avant-projet</w:t>
      </w:r>
      <w:r w:rsidR="008904B2">
        <w:rPr>
          <w:lang w:eastAsia="fr-FR"/>
        </w:rPr>
        <w:t>.</w:t>
      </w:r>
      <w:r w:rsidR="0092554C" w:rsidRPr="0092554C">
        <w:rPr>
          <w:lang w:eastAsia="fr-FR"/>
        </w:rPr>
        <w:t xml:space="preserve"> </w:t>
      </w:r>
      <w:r w:rsidR="008904B2">
        <w:rPr>
          <w:lang w:eastAsia="fr-FR"/>
        </w:rPr>
        <w:t>L</w:t>
      </w:r>
      <w:r w:rsidR="0092554C" w:rsidRPr="0092554C">
        <w:rPr>
          <w:lang w:eastAsia="fr-FR"/>
        </w:rPr>
        <w:t xml:space="preserve">e retour d’expérience de la Caisse des Dépôts </w:t>
      </w:r>
      <w:r w:rsidR="008904B2">
        <w:rPr>
          <w:lang w:eastAsia="fr-FR"/>
        </w:rPr>
        <w:t xml:space="preserve">présenté </w:t>
      </w:r>
      <w:r w:rsidR="00DE5262">
        <w:rPr>
          <w:lang w:eastAsia="fr-FR"/>
        </w:rPr>
        <w:t>ci-après</w:t>
      </w:r>
      <w:r w:rsidR="008904B2">
        <w:rPr>
          <w:lang w:eastAsia="fr-FR"/>
        </w:rPr>
        <w:t xml:space="preserve"> illustre comment la</w:t>
      </w:r>
      <w:r w:rsidR="0092554C" w:rsidRPr="0092554C">
        <w:rPr>
          <w:lang w:eastAsia="fr-FR"/>
        </w:rPr>
        <w:t xml:space="preserve"> déclinaison financière et en temps-homme de ces scénarios </w:t>
      </w:r>
      <w:r w:rsidR="00BD2E34">
        <w:rPr>
          <w:lang w:eastAsia="fr-FR"/>
        </w:rPr>
        <w:t>peut apporter une</w:t>
      </w:r>
      <w:r w:rsidR="00BD2E34" w:rsidRPr="0092554C">
        <w:rPr>
          <w:lang w:eastAsia="fr-FR"/>
        </w:rPr>
        <w:t xml:space="preserve"> </w:t>
      </w:r>
      <w:r w:rsidR="0092554C" w:rsidRPr="0092554C">
        <w:rPr>
          <w:lang w:eastAsia="fr-FR"/>
        </w:rPr>
        <w:t xml:space="preserve">transparence et </w:t>
      </w:r>
      <w:r w:rsidR="00BD2E34">
        <w:rPr>
          <w:lang w:eastAsia="fr-FR"/>
        </w:rPr>
        <w:t xml:space="preserve">une </w:t>
      </w:r>
      <w:r w:rsidR="0092554C" w:rsidRPr="0092554C">
        <w:rPr>
          <w:lang w:eastAsia="fr-FR"/>
        </w:rPr>
        <w:t xml:space="preserve">standardisation </w:t>
      </w:r>
      <w:r w:rsidR="00BD2E34">
        <w:rPr>
          <w:lang w:eastAsia="fr-FR"/>
        </w:rPr>
        <w:t>qui facilitent</w:t>
      </w:r>
      <w:r w:rsidR="0092554C" w:rsidRPr="0092554C">
        <w:rPr>
          <w:lang w:eastAsia="fr-FR"/>
        </w:rPr>
        <w:t xml:space="preserve"> la prise de décision et l’allocation de ressources fixes et récurrentes.</w:t>
      </w:r>
    </w:p>
    <w:p w14:paraId="7A62BFD0" w14:textId="77777777" w:rsidR="0024012F" w:rsidRDefault="0024012F" w:rsidP="0024012F">
      <w:pPr>
        <w:rPr>
          <w:lang w:eastAsia="fr-FR"/>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C234C3" w:rsidRPr="00C43137" w14:paraId="4E8330B6" w14:textId="77777777" w:rsidTr="003D4270">
        <w:trPr>
          <w:jc w:val="center"/>
        </w:trPr>
        <w:tc>
          <w:tcPr>
            <w:tcW w:w="9047" w:type="dxa"/>
            <w:tcBorders>
              <w:left w:val="single" w:sz="18" w:space="0" w:color="155E48"/>
            </w:tcBorders>
            <w:shd w:val="clear" w:color="auto" w:fill="F2F2F2" w:themeFill="background1" w:themeFillShade="F2"/>
          </w:tcPr>
          <w:p w14:paraId="6584D304" w14:textId="77777777" w:rsidR="00C234C3" w:rsidRDefault="00C234C3" w:rsidP="00F43551">
            <w:pPr>
              <w:pStyle w:val="TitreEncart"/>
            </w:pPr>
            <w:bookmarkStart w:id="50" w:name="_Toc230257730"/>
            <w:r w:rsidRPr="0092554C">
              <w:lastRenderedPageBreak/>
              <w:t>REX Caisse des dépôts</w:t>
            </w:r>
            <w:bookmarkEnd w:id="50"/>
            <w:r>
              <w:t> </w:t>
            </w:r>
          </w:p>
          <w:p w14:paraId="33A03617" w14:textId="77777777" w:rsidR="00C234C3" w:rsidRPr="007B2E61" w:rsidRDefault="00C234C3" w:rsidP="0033608D">
            <w:pPr>
              <w:pStyle w:val="TitreencartREX"/>
            </w:pPr>
            <w:r w:rsidRPr="00AF1353">
              <w:t>Méthodologie d’avant-projet</w:t>
            </w:r>
            <w:r w:rsidRPr="0092554C">
              <w:t xml:space="preserve"> </w:t>
            </w:r>
          </w:p>
          <w:p w14:paraId="2447F0F1" w14:textId="0B02FA7B" w:rsidR="00C234C3" w:rsidRDefault="00DC3602" w:rsidP="00F43551">
            <w:r>
              <w:t xml:space="preserve">« </w:t>
            </w:r>
            <w:r w:rsidR="00C234C3" w:rsidRPr="00A90E53">
              <w:t>Pour savoir comment organiser concrètement l’intégration des exigences d’accessibilité numérique dans la phase projet, l’équipe de la Caisse des Dépôts en charge de l'accessibilité numérique a élaboré 4 scénarios distincts, proposant un mode opératoire pour chacun des cas possibles :</w:t>
            </w:r>
          </w:p>
          <w:p w14:paraId="76F30632" w14:textId="77777777" w:rsidR="00C234C3" w:rsidRPr="00A90E53" w:rsidRDefault="00C234C3">
            <w:pPr>
              <w:numPr>
                <w:ilvl w:val="0"/>
                <w:numId w:val="22"/>
              </w:numPr>
            </w:pPr>
            <w:r w:rsidRPr="00A90E53">
              <w:t xml:space="preserve">Scénario A1 : </w:t>
            </w:r>
            <w:r w:rsidRPr="00A90E53">
              <w:rPr>
                <w:b/>
                <w:bCs/>
              </w:rPr>
              <w:t>Le service numérique est développé en interne</w:t>
            </w:r>
            <w:r w:rsidRPr="00A90E53">
              <w:t xml:space="preserve"> et met en œuvre des interfaces utilisateurs adressées à plus de 100 personnes. Il implique une montée en compétence des équipes (</w:t>
            </w:r>
            <w:r w:rsidRPr="0098395F">
              <w:rPr>
                <w:i/>
                <w:iCs/>
              </w:rPr>
              <w:t xml:space="preserve">Product Owner, Business </w:t>
            </w:r>
            <w:proofErr w:type="spellStart"/>
            <w:r w:rsidRPr="0098395F">
              <w:rPr>
                <w:i/>
                <w:iCs/>
              </w:rPr>
              <w:t>analysts</w:t>
            </w:r>
            <w:proofErr w:type="spellEnd"/>
            <w:r w:rsidRPr="00A90E53">
              <w:t xml:space="preserve">, développeurs), un budget accessibilité à la charge du projet avec le coût d’un audit RGAA (6300€ TTC max) et </w:t>
            </w:r>
            <w:r>
              <w:t xml:space="preserve">l’allocation </w:t>
            </w:r>
            <w:r w:rsidRPr="00A90E53">
              <w:t>de 15 jours/homme d’accompagnement au maximum.</w:t>
            </w:r>
          </w:p>
          <w:p w14:paraId="6441924A" w14:textId="77777777" w:rsidR="00C234C3" w:rsidRPr="00A90E53" w:rsidRDefault="00C234C3">
            <w:pPr>
              <w:numPr>
                <w:ilvl w:val="0"/>
                <w:numId w:val="22"/>
              </w:numPr>
            </w:pPr>
            <w:r w:rsidRPr="00A90E53">
              <w:t xml:space="preserve">Scénario A2 : </w:t>
            </w:r>
            <w:r w:rsidRPr="00A90E53">
              <w:rPr>
                <w:b/>
                <w:bCs/>
              </w:rPr>
              <w:t>Le service numérique est un SaaS contractualisé avec un éditeur</w:t>
            </w:r>
            <w:r w:rsidRPr="00A90E53">
              <w:t xml:space="preserve"> et met en œuvre des interfaces utilisateurs adressées à plus de 100 personnes. Il implique l’intégration d’exigences en matière d’accessibilité numérique dans les documents de marché, un budget accessibilité à la charge du projet avec le coût d’un audit RGAA (6300€ TTC max) et </w:t>
            </w:r>
            <w:r>
              <w:t>l’allocation</w:t>
            </w:r>
            <w:r w:rsidRPr="00A90E53">
              <w:t xml:space="preserve"> de 5 jours/homme d’accompagnement au maximum.</w:t>
            </w:r>
          </w:p>
          <w:p w14:paraId="429610E7" w14:textId="38B05428" w:rsidR="00C234C3" w:rsidRDefault="00C234C3">
            <w:pPr>
              <w:numPr>
                <w:ilvl w:val="0"/>
                <w:numId w:val="22"/>
              </w:numPr>
            </w:pPr>
            <w:r w:rsidRPr="00A90E53">
              <w:t xml:space="preserve">Scénario B : </w:t>
            </w:r>
            <w:r w:rsidRPr="00A90E53">
              <w:rPr>
                <w:b/>
                <w:bCs/>
              </w:rPr>
              <w:t>Le service numérique s’adresse à moins de 100 utilisateurs</w:t>
            </w:r>
            <w:r w:rsidRPr="00A90E53">
              <w:t xml:space="preserve"> ou le nombre d’utilisateurs cible est inconnu à ce stade. Il est nécessaire de contacter les référents accessibilité afin d’échanger sur le périmètre et les ambitions du projet. Après échange, le projet basculera vers les scenarii A1/A2 ou </w:t>
            </w:r>
            <w:r w:rsidR="00DE5262">
              <w:t>poursuivra dans le</w:t>
            </w:r>
            <w:r w:rsidRPr="00A90E53">
              <w:t xml:space="preserve"> scénario B qui concerne donc un projet dont le périmètre est très limité (</w:t>
            </w:r>
            <w:r w:rsidR="00DE5262">
              <w:t>d’un point de vue</w:t>
            </w:r>
            <w:r w:rsidRPr="00A90E53">
              <w:t xml:space="preserve"> fonctionnel ou en termes d’utilisateurs cibles, voire de budget) et qui impliquera une petite montée en compétence et un court accompagnement de la part des référents (3 jours/homme d’accompagnement au maximum).</w:t>
            </w:r>
          </w:p>
          <w:p w14:paraId="1213369A" w14:textId="7F81707F" w:rsidR="00C234C3" w:rsidRDefault="00C234C3">
            <w:pPr>
              <w:numPr>
                <w:ilvl w:val="0"/>
                <w:numId w:val="22"/>
              </w:numPr>
            </w:pPr>
            <w:r w:rsidRPr="00A90E53">
              <w:t>Scénario C : La prise en compte de l’accessibilité n’est pas applicable si des</w:t>
            </w:r>
            <w:r w:rsidRPr="00A90E53">
              <w:rPr>
                <w:b/>
                <w:bCs/>
              </w:rPr>
              <w:t xml:space="preserve"> interfaces utilisateurs</w:t>
            </w:r>
            <w:r w:rsidRPr="00A90E53">
              <w:t xml:space="preserve"> ne sont pas mises en œuvre</w:t>
            </w:r>
            <w:r w:rsidR="00F755EB">
              <w:t>.</w:t>
            </w:r>
            <w:r w:rsidR="00DC3602">
              <w:t xml:space="preserve"> »</w:t>
            </w:r>
          </w:p>
          <w:p w14:paraId="06226CC5" w14:textId="77777777" w:rsidR="00C234C3" w:rsidRDefault="00C234C3" w:rsidP="00F43551">
            <w:r>
              <w:rPr>
                <w:rFonts w:ascii="Calibri" w:hAnsi="Calibri" w:cs="Calibri"/>
                <w:noProof/>
                <w:color w:val="262626"/>
                <w:bdr w:val="none" w:sz="0" w:space="0" w:color="auto" w:frame="1"/>
              </w:rPr>
              <w:lastRenderedPageBreak/>
              <w:drawing>
                <wp:inline distT="0" distB="0" distL="0" distR="0" wp14:anchorId="19F08F22" wp14:editId="135CEA00">
                  <wp:extent cx="5381625" cy="4672330"/>
                  <wp:effectExtent l="0" t="0" r="9525" b="0"/>
                  <wp:docPr id="41213243" name="Image 2" descr="Logigramme de la Caisse des Dépôts, décrivant le processus de prise en compte des obligations d'accessibilité selon trois scénarios principaux décrit précéde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3243" name="Image 2" descr="Logigramme de la Caisse des Dépôts, décrivant le processus de prise en compte des obligations d'accessibilité selon trois scénarios principaux décrit précédem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1625" cy="4672330"/>
                          </a:xfrm>
                          <a:prstGeom prst="rect">
                            <a:avLst/>
                          </a:prstGeom>
                          <a:noFill/>
                          <a:ln>
                            <a:noFill/>
                          </a:ln>
                        </pic:spPr>
                      </pic:pic>
                    </a:graphicData>
                  </a:graphic>
                </wp:inline>
              </w:drawing>
            </w:r>
          </w:p>
          <w:p w14:paraId="71B3653B" w14:textId="77F4C29D" w:rsidR="00C234C3" w:rsidRDefault="008E27A3" w:rsidP="008E27A3">
            <w:pPr>
              <w:pStyle w:val="Lgende"/>
            </w:pPr>
            <w:bookmarkStart w:id="51" w:name="_Toc230192047"/>
            <w:r w:rsidRPr="008E27A3">
              <w:t xml:space="preserve">Logigramme des </w:t>
            </w:r>
            <w:proofErr w:type="spellStart"/>
            <w:r w:rsidRPr="008E27A3">
              <w:t>scenarii</w:t>
            </w:r>
            <w:r>
              <w:t>_Caisse</w:t>
            </w:r>
            <w:proofErr w:type="spellEnd"/>
            <w:r>
              <w:t xml:space="preserve"> des Dépôts</w:t>
            </w:r>
            <w:bookmarkEnd w:id="51"/>
          </w:p>
          <w:p w14:paraId="0A8AAD03" w14:textId="77777777" w:rsidR="00646CD1" w:rsidRPr="00646CD1" w:rsidRDefault="00646CD1" w:rsidP="00646CD1"/>
          <w:p w14:paraId="0A3F73F6" w14:textId="647C6B97" w:rsidR="00C234C3" w:rsidRDefault="00C234C3" w:rsidP="00F43551">
            <w:pPr>
              <w:jc w:val="right"/>
            </w:pPr>
            <w:r w:rsidRPr="0092554C">
              <w:rPr>
                <w:b/>
                <w:bCs/>
              </w:rPr>
              <w:t>Yann Goupil</w:t>
            </w:r>
            <w:r>
              <w:t>, Référent accessibilité numérique de l'</w:t>
            </w:r>
            <w:r w:rsidRPr="008E27A3">
              <w:rPr>
                <w:b/>
                <w:bCs/>
              </w:rPr>
              <w:t>Établissement Public</w:t>
            </w:r>
            <w:r>
              <w:t xml:space="preserve"> </w:t>
            </w:r>
            <w:r w:rsidRPr="0092554C">
              <w:rPr>
                <w:b/>
                <w:bCs/>
              </w:rPr>
              <w:t>Caisse des dépôts</w:t>
            </w:r>
          </w:p>
          <w:p w14:paraId="064CE1E8" w14:textId="762EE32C" w:rsidR="00C234C3" w:rsidRPr="00C43137" w:rsidRDefault="00C234C3" w:rsidP="00646CD1">
            <w:pPr>
              <w:jc w:val="right"/>
            </w:pPr>
            <w:r w:rsidRPr="0092554C">
              <w:rPr>
                <w:b/>
                <w:bCs/>
              </w:rPr>
              <w:t>Délia Garbarini</w:t>
            </w:r>
            <w:r>
              <w:t>, Référente accessibilité numérique</w:t>
            </w:r>
            <w:r w:rsidR="00DE5262">
              <w:t>,</w:t>
            </w:r>
            <w:r>
              <w:t xml:space="preserve"> </w:t>
            </w:r>
            <w:r w:rsidRPr="0092554C">
              <w:rPr>
                <w:b/>
                <w:bCs/>
              </w:rPr>
              <w:t>Informatique CDC</w:t>
            </w:r>
          </w:p>
        </w:tc>
      </w:tr>
    </w:tbl>
    <w:p w14:paraId="4F9D30C7" w14:textId="77777777" w:rsidR="00C234C3" w:rsidRPr="005E30C1" w:rsidRDefault="00C234C3" w:rsidP="005E30C1">
      <w:pPr>
        <w:rPr>
          <w:lang w:eastAsia="fr-FR"/>
        </w:rPr>
      </w:pPr>
    </w:p>
    <w:p w14:paraId="79AE5820" w14:textId="77777777" w:rsidR="003169F8" w:rsidRDefault="003169F8" w:rsidP="0024012F">
      <w:pPr>
        <w:rPr>
          <w:lang w:eastAsia="fr-FR"/>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3169F8" w:rsidRPr="00C43137" w14:paraId="383EBC9C" w14:textId="77777777" w:rsidTr="0006239A">
        <w:trPr>
          <w:cantSplit/>
          <w:jc w:val="center"/>
        </w:trPr>
        <w:tc>
          <w:tcPr>
            <w:tcW w:w="9047" w:type="dxa"/>
            <w:tcBorders>
              <w:left w:val="single" w:sz="18" w:space="0" w:color="155E48"/>
            </w:tcBorders>
            <w:shd w:val="clear" w:color="auto" w:fill="F2F2F2" w:themeFill="background1" w:themeFillShade="F2"/>
          </w:tcPr>
          <w:p w14:paraId="110697C7" w14:textId="14428156" w:rsidR="003169F8" w:rsidRDefault="003169F8" w:rsidP="006C25DE">
            <w:pPr>
              <w:pStyle w:val="TitreEncart"/>
            </w:pPr>
            <w:bookmarkStart w:id="52" w:name="_Toc230257731"/>
            <w:r w:rsidRPr="0092554C">
              <w:lastRenderedPageBreak/>
              <w:t xml:space="preserve">REX </w:t>
            </w:r>
            <w:r>
              <w:t>La POSTE GROUPE</w:t>
            </w:r>
            <w:bookmarkEnd w:id="52"/>
          </w:p>
          <w:p w14:paraId="44F97021" w14:textId="162DD8A3" w:rsidR="003169F8" w:rsidRPr="007B2E61" w:rsidRDefault="003169F8" w:rsidP="00F25788">
            <w:pPr>
              <w:pStyle w:val="TitreencartREX"/>
            </w:pPr>
            <w:r>
              <w:t>Critères appliqués lors des processus d’achats pour l’AN côté i-TEAM</w:t>
            </w:r>
            <w:r w:rsidR="006A7E8F">
              <w:t>,</w:t>
            </w:r>
            <w:r>
              <w:t xml:space="preserve"> quel que soit le domaine d’achat IT </w:t>
            </w:r>
          </w:p>
          <w:p w14:paraId="0087EE14" w14:textId="75498800" w:rsidR="003169F8" w:rsidRDefault="00DC3602" w:rsidP="003169F8">
            <w:r>
              <w:t xml:space="preserve">« </w:t>
            </w:r>
            <w:proofErr w:type="gramStart"/>
            <w:r w:rsidR="003169F8">
              <w:t>i</w:t>
            </w:r>
            <w:proofErr w:type="gramEnd"/>
            <w:r w:rsidR="003169F8">
              <w:t xml:space="preserve">-TEAM, entité de la DSI du Groupe La Poste, délivre des services numériques aux clients internes (grand public, courrier-colis, banque postale, filiales), historiquement sur le SI mutualisé, le SIRH, le SI Finance et l’ensemble des SI </w:t>
            </w:r>
            <w:proofErr w:type="spellStart"/>
            <w:r w:rsidR="003169F8" w:rsidRPr="00F755EB">
              <w:rPr>
                <w:i/>
                <w:iCs/>
              </w:rPr>
              <w:t>corporate</w:t>
            </w:r>
            <w:proofErr w:type="spellEnd"/>
            <w:r w:rsidR="003169F8">
              <w:t xml:space="preserve">. </w:t>
            </w:r>
            <w:proofErr w:type="gramStart"/>
            <w:r w:rsidR="00A76094">
              <w:t>i</w:t>
            </w:r>
            <w:proofErr w:type="gramEnd"/>
            <w:r w:rsidR="003169F8">
              <w:t xml:space="preserve">-TEAM compte plus de 1000 collaborateurs répartis sur 10 sites.). En tant qu’entreprise à mission, La Poste s’engage à promouvoir un numérique éthique, inclusif et frugal. Le Groupe déploie une démarche de bout en bout pour intégrer l’accessibilité dès l’amont des projets et jusqu’au </w:t>
            </w:r>
            <w:r w:rsidR="003169F8" w:rsidRPr="00C2078B">
              <w:rPr>
                <w:i/>
                <w:iCs/>
              </w:rPr>
              <w:t>run</w:t>
            </w:r>
            <w:r w:rsidR="003169F8">
              <w:t xml:space="preserve">, sans oublier la phase des achats. </w:t>
            </w:r>
          </w:p>
          <w:p w14:paraId="65336201" w14:textId="36FDC035" w:rsidR="00BC7739" w:rsidRDefault="003169F8" w:rsidP="003169F8">
            <w:r>
              <w:t>Un objectif d’atteinte d’au moins 70% de conformité</w:t>
            </w:r>
            <w:r w:rsidR="00A76094">
              <w:t xml:space="preserve"> est visé</w:t>
            </w:r>
            <w:r>
              <w:t xml:space="preserve">, tant en interne que vis-à-vis des éditeurs. Le marché des éditeurs n’étant pas jugé suffisamment mature, l’exigence contractuelle est articulée autour de plans de progrès et de </w:t>
            </w:r>
            <w:r w:rsidRPr="00C2078B">
              <w:rPr>
                <w:i/>
                <w:iCs/>
              </w:rPr>
              <w:t>roadmaps</w:t>
            </w:r>
            <w:r>
              <w:t xml:space="preserve"> plutôt que de seuils éliminatoires en consultation. Tous les contrats IT intègrent des clauses types sur l’accessibilité numérique</w:t>
            </w:r>
            <w:r w:rsidR="00DC3602">
              <w:t xml:space="preserve"> ».</w:t>
            </w:r>
          </w:p>
          <w:p w14:paraId="2922E908" w14:textId="3EC3F6FC" w:rsidR="00BC7739" w:rsidRDefault="003169F8" w:rsidP="00C70366">
            <w:pPr>
              <w:keepNext/>
              <w:keepLines/>
            </w:pPr>
            <w:r>
              <w:t xml:space="preserve">En voici quelques exemples : </w:t>
            </w:r>
          </w:p>
          <w:tbl>
            <w:tblPr>
              <w:tblW w:w="8628"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0" w:type="dxa"/>
                <w:right w:w="0" w:type="dxa"/>
              </w:tblCellMar>
              <w:tblLook w:val="06A0" w:firstRow="1" w:lastRow="0" w:firstColumn="1" w:lastColumn="0" w:noHBand="1" w:noVBand="1"/>
            </w:tblPr>
            <w:tblGrid>
              <w:gridCol w:w="1238"/>
              <w:gridCol w:w="1275"/>
              <w:gridCol w:w="3057"/>
              <w:gridCol w:w="66"/>
              <w:gridCol w:w="2992"/>
            </w:tblGrid>
            <w:tr w:rsidR="003169F8" w:rsidRPr="00284805" w14:paraId="2EBF9EE1" w14:textId="77777777" w:rsidTr="004C4D0B">
              <w:trPr>
                <w:cantSplit/>
                <w:trHeight w:val="544"/>
                <w:tblHeader/>
              </w:trPr>
              <w:tc>
                <w:tcPr>
                  <w:tcW w:w="1238" w:type="dxa"/>
                  <w:shd w:val="clear" w:color="auto" w:fill="307A55"/>
                  <w:tcMar>
                    <w:top w:w="4" w:type="dxa"/>
                    <w:left w:w="4" w:type="dxa"/>
                    <w:bottom w:w="0" w:type="dxa"/>
                    <w:right w:w="4" w:type="dxa"/>
                  </w:tcMar>
                  <w:vAlign w:val="center"/>
                  <w:hideMark/>
                </w:tcPr>
                <w:p w14:paraId="57C5F6CF" w14:textId="77777777" w:rsidR="003169F8" w:rsidRPr="00F65268" w:rsidRDefault="003169F8" w:rsidP="00C70366">
                  <w:pPr>
                    <w:keepNext/>
                    <w:keepLines/>
                    <w:jc w:val="center"/>
                    <w:rPr>
                      <w:color w:val="FFFFFF" w:themeColor="background1"/>
                    </w:rPr>
                  </w:pPr>
                  <w:bookmarkStart w:id="53" w:name="_Hlk230168500"/>
                  <w:r w:rsidRPr="00F65268">
                    <w:rPr>
                      <w:b/>
                      <w:bCs/>
                      <w:color w:val="FFFFFF" w:themeColor="background1"/>
                    </w:rPr>
                    <w:t>Domaine fonctionnel</w:t>
                  </w:r>
                </w:p>
              </w:tc>
              <w:tc>
                <w:tcPr>
                  <w:tcW w:w="1275" w:type="dxa"/>
                  <w:shd w:val="clear" w:color="auto" w:fill="307A55"/>
                  <w:tcMar>
                    <w:top w:w="4" w:type="dxa"/>
                    <w:left w:w="4" w:type="dxa"/>
                    <w:bottom w:w="0" w:type="dxa"/>
                    <w:right w:w="4" w:type="dxa"/>
                  </w:tcMar>
                  <w:vAlign w:val="center"/>
                  <w:hideMark/>
                </w:tcPr>
                <w:p w14:paraId="609A4F8B" w14:textId="77777777" w:rsidR="003169F8" w:rsidRPr="00F65268" w:rsidRDefault="003169F8" w:rsidP="00C70366">
                  <w:pPr>
                    <w:keepNext/>
                    <w:keepLines/>
                    <w:jc w:val="center"/>
                    <w:rPr>
                      <w:color w:val="FFFFFF" w:themeColor="background1"/>
                    </w:rPr>
                  </w:pPr>
                  <w:r w:rsidRPr="00F65268">
                    <w:rPr>
                      <w:b/>
                      <w:bCs/>
                      <w:color w:val="FFFFFF" w:themeColor="background1"/>
                    </w:rPr>
                    <w:t>Objectif recherché</w:t>
                  </w:r>
                </w:p>
              </w:tc>
              <w:tc>
                <w:tcPr>
                  <w:tcW w:w="3057" w:type="dxa"/>
                  <w:shd w:val="clear" w:color="auto" w:fill="307A55"/>
                  <w:tcMar>
                    <w:top w:w="4" w:type="dxa"/>
                    <w:left w:w="4" w:type="dxa"/>
                    <w:bottom w:w="0" w:type="dxa"/>
                    <w:right w:w="4" w:type="dxa"/>
                  </w:tcMar>
                  <w:vAlign w:val="center"/>
                  <w:hideMark/>
                </w:tcPr>
                <w:p w14:paraId="1AEA7A5D" w14:textId="77777777" w:rsidR="003169F8" w:rsidRPr="00F65268" w:rsidRDefault="003169F8" w:rsidP="00C70366">
                  <w:pPr>
                    <w:keepNext/>
                    <w:keepLines/>
                    <w:jc w:val="center"/>
                    <w:rPr>
                      <w:color w:val="FFFFFF" w:themeColor="background1"/>
                    </w:rPr>
                  </w:pPr>
                  <w:r w:rsidRPr="00F65268">
                    <w:rPr>
                      <w:b/>
                      <w:bCs/>
                      <w:color w:val="FFFFFF" w:themeColor="background1"/>
                    </w:rPr>
                    <w:t>Questions</w:t>
                  </w:r>
                </w:p>
              </w:tc>
              <w:tc>
                <w:tcPr>
                  <w:tcW w:w="3058" w:type="dxa"/>
                  <w:gridSpan w:val="2"/>
                  <w:shd w:val="clear" w:color="auto" w:fill="307A55"/>
                  <w:tcMar>
                    <w:top w:w="4" w:type="dxa"/>
                    <w:left w:w="4" w:type="dxa"/>
                    <w:bottom w:w="0" w:type="dxa"/>
                    <w:right w:w="4" w:type="dxa"/>
                  </w:tcMar>
                  <w:vAlign w:val="center"/>
                  <w:hideMark/>
                </w:tcPr>
                <w:p w14:paraId="306506B8" w14:textId="77777777" w:rsidR="003169F8" w:rsidRPr="00F65268" w:rsidRDefault="003169F8" w:rsidP="00C70366">
                  <w:pPr>
                    <w:keepNext/>
                    <w:keepLines/>
                    <w:jc w:val="center"/>
                    <w:rPr>
                      <w:color w:val="FFFFFF" w:themeColor="background1"/>
                    </w:rPr>
                  </w:pPr>
                  <w:r w:rsidRPr="00F65268">
                    <w:rPr>
                      <w:b/>
                      <w:bCs/>
                      <w:color w:val="FFFFFF" w:themeColor="background1"/>
                    </w:rPr>
                    <w:t>Éléments de preuve à fournir</w:t>
                  </w:r>
                </w:p>
              </w:tc>
            </w:tr>
            <w:bookmarkEnd w:id="53"/>
            <w:tr w:rsidR="003169F8" w:rsidRPr="00284805" w14:paraId="27AC5BFD" w14:textId="77777777" w:rsidTr="004C4D0B">
              <w:trPr>
                <w:cantSplit/>
                <w:trHeight w:val="1793"/>
              </w:trPr>
              <w:tc>
                <w:tcPr>
                  <w:tcW w:w="1238" w:type="dxa"/>
                  <w:shd w:val="clear" w:color="auto" w:fill="307A55"/>
                  <w:tcMar>
                    <w:top w:w="4" w:type="dxa"/>
                    <w:left w:w="4" w:type="dxa"/>
                    <w:bottom w:w="0" w:type="dxa"/>
                    <w:right w:w="4" w:type="dxa"/>
                  </w:tcMar>
                  <w:vAlign w:val="center"/>
                  <w:hideMark/>
                </w:tcPr>
                <w:p w14:paraId="083EF602" w14:textId="77777777" w:rsidR="003169F8" w:rsidRPr="00231BFF" w:rsidRDefault="003169F8" w:rsidP="00C70366">
                  <w:pPr>
                    <w:keepNext/>
                    <w:keepLines/>
                    <w:spacing w:before="120"/>
                    <w:ind w:left="57" w:right="57"/>
                    <w:jc w:val="center"/>
                    <w:rPr>
                      <w:sz w:val="18"/>
                      <w:szCs w:val="18"/>
                    </w:rPr>
                  </w:pPr>
                  <w:r w:rsidRPr="00231BFF">
                    <w:rPr>
                      <w:b/>
                      <w:bCs/>
                      <w:color w:val="FFFFFF" w:themeColor="background1"/>
                      <w:sz w:val="18"/>
                      <w:szCs w:val="18"/>
                    </w:rPr>
                    <w:t>AN-01</w:t>
                  </w:r>
                </w:p>
              </w:tc>
              <w:tc>
                <w:tcPr>
                  <w:tcW w:w="1275" w:type="dxa"/>
                  <w:shd w:val="clear" w:color="auto" w:fill="E7F1F1"/>
                  <w:tcMar>
                    <w:top w:w="4" w:type="dxa"/>
                    <w:left w:w="4" w:type="dxa"/>
                    <w:bottom w:w="0" w:type="dxa"/>
                    <w:right w:w="4" w:type="dxa"/>
                  </w:tcMar>
                  <w:vAlign w:val="center"/>
                  <w:hideMark/>
                </w:tcPr>
                <w:p w14:paraId="72705D27" w14:textId="21F29E28" w:rsidR="003169F8" w:rsidRPr="00231BFF" w:rsidRDefault="003169F8" w:rsidP="00C70366">
                  <w:pPr>
                    <w:keepNext/>
                    <w:keepLines/>
                    <w:spacing w:before="120"/>
                    <w:ind w:left="57" w:right="57"/>
                    <w:jc w:val="left"/>
                    <w:rPr>
                      <w:sz w:val="18"/>
                      <w:szCs w:val="18"/>
                    </w:rPr>
                  </w:pPr>
                  <w:r w:rsidRPr="00231BFF">
                    <w:rPr>
                      <w:sz w:val="18"/>
                      <w:szCs w:val="18"/>
                    </w:rPr>
                    <w:t xml:space="preserve">Vérifier que la solution </w:t>
                  </w:r>
                  <w:r w:rsidR="006A7E8F">
                    <w:rPr>
                      <w:sz w:val="18"/>
                      <w:szCs w:val="18"/>
                    </w:rPr>
                    <w:t xml:space="preserve">est </w:t>
                  </w:r>
                  <w:r w:rsidRPr="00231BFF">
                    <w:rPr>
                      <w:sz w:val="18"/>
                      <w:szCs w:val="18"/>
                    </w:rPr>
                    <w:t>conforme</w:t>
                  </w:r>
                </w:p>
              </w:tc>
              <w:tc>
                <w:tcPr>
                  <w:tcW w:w="3057" w:type="dxa"/>
                  <w:shd w:val="clear" w:color="auto" w:fill="E7F1F1"/>
                  <w:tcMar>
                    <w:top w:w="4" w:type="dxa"/>
                    <w:left w:w="4" w:type="dxa"/>
                    <w:bottom w:w="0" w:type="dxa"/>
                    <w:right w:w="4" w:type="dxa"/>
                  </w:tcMar>
                  <w:hideMark/>
                </w:tcPr>
                <w:p w14:paraId="34B92E3E" w14:textId="77777777" w:rsidR="00DC3602" w:rsidRDefault="003169F8" w:rsidP="00C70366">
                  <w:pPr>
                    <w:keepNext/>
                    <w:keepLines/>
                    <w:spacing w:before="120"/>
                    <w:ind w:left="57" w:right="57"/>
                    <w:contextualSpacing/>
                    <w:jc w:val="left"/>
                    <w:rPr>
                      <w:sz w:val="18"/>
                      <w:szCs w:val="18"/>
                    </w:rPr>
                  </w:pPr>
                  <w:r w:rsidRPr="00231BFF">
                    <w:rPr>
                      <w:sz w:val="18"/>
                      <w:szCs w:val="18"/>
                      <w:u w:val="single"/>
                    </w:rPr>
                    <w:t>Offre progicielle :</w:t>
                  </w:r>
                  <w:r w:rsidRPr="00231BFF">
                    <w:rPr>
                      <w:sz w:val="18"/>
                      <w:szCs w:val="18"/>
                      <w:u w:val="single"/>
                    </w:rPr>
                    <w:br/>
                  </w:r>
                  <w:r w:rsidR="00DC3602">
                    <w:rPr>
                      <w:sz w:val="18"/>
                      <w:szCs w:val="18"/>
                    </w:rPr>
                    <w:t>- Respectez</w:t>
                  </w:r>
                  <w:r w:rsidRPr="00231BFF">
                    <w:rPr>
                      <w:sz w:val="18"/>
                      <w:szCs w:val="18"/>
                    </w:rPr>
                    <w:t>-vous, pour la solution numérique produite en interne ou sous-traitée (logiciel, solution numérique ou composants) /</w:t>
                  </w:r>
                  <w:r w:rsidR="004853C0" w:rsidRPr="00231BFF">
                    <w:rPr>
                      <w:sz w:val="18"/>
                      <w:szCs w:val="18"/>
                    </w:rPr>
                    <w:t xml:space="preserve"> et pour</w:t>
                  </w:r>
                  <w:r w:rsidRPr="00231BFF">
                    <w:rPr>
                      <w:sz w:val="18"/>
                      <w:szCs w:val="18"/>
                    </w:rPr>
                    <w:t xml:space="preserve"> les supports numériques générés (documents PDF</w:t>
                  </w:r>
                  <w:r w:rsidR="004853C0" w:rsidRPr="00231BFF">
                    <w:rPr>
                      <w:sz w:val="18"/>
                      <w:szCs w:val="18"/>
                    </w:rPr>
                    <w:t>,</w:t>
                  </w:r>
                  <w:r w:rsidRPr="00231BFF">
                    <w:rPr>
                      <w:sz w:val="18"/>
                      <w:szCs w:val="18"/>
                    </w:rPr>
                    <w:t xml:space="preserve"> écrans</w:t>
                  </w:r>
                  <w:r w:rsidR="004853C0" w:rsidRPr="00231BFF">
                    <w:rPr>
                      <w:sz w:val="18"/>
                      <w:szCs w:val="18"/>
                    </w:rPr>
                    <w:t>,</w:t>
                  </w:r>
                  <w:r w:rsidRPr="00231BFF">
                    <w:rPr>
                      <w:sz w:val="18"/>
                      <w:szCs w:val="18"/>
                    </w:rPr>
                    <w:t xml:space="preserve"> pages web...), </w:t>
                  </w:r>
                  <w:r w:rsidR="004853C0" w:rsidRPr="00231BFF">
                    <w:rPr>
                      <w:sz w:val="18"/>
                      <w:szCs w:val="18"/>
                    </w:rPr>
                    <w:t xml:space="preserve">tout ou partie </w:t>
                  </w:r>
                  <w:r w:rsidRPr="00231BFF">
                    <w:rPr>
                      <w:sz w:val="18"/>
                      <w:szCs w:val="18"/>
                    </w:rPr>
                    <w:t xml:space="preserve">du référentiel général d'amélioration de l'accessibilité RGAA version 4.1.2 ? </w:t>
                  </w:r>
                  <w:r w:rsidRPr="00231BFF">
                    <w:rPr>
                      <w:sz w:val="18"/>
                      <w:szCs w:val="18"/>
                    </w:rPr>
                    <w:br/>
                  </w:r>
                  <w:r w:rsidRPr="00231BFF">
                    <w:rPr>
                      <w:sz w:val="18"/>
                      <w:szCs w:val="18"/>
                      <w:u w:val="single"/>
                    </w:rPr>
                    <w:t>Offre de développement :</w:t>
                  </w:r>
                  <w:r w:rsidR="00DC3602">
                    <w:rPr>
                      <w:sz w:val="18"/>
                      <w:szCs w:val="18"/>
                    </w:rPr>
                    <w:t xml:space="preserve"> </w:t>
                  </w:r>
                </w:p>
                <w:p w14:paraId="5BB2845F" w14:textId="7B20CF2F" w:rsidR="003169F8" w:rsidRPr="00231BFF" w:rsidRDefault="00DC3602" w:rsidP="00C70366">
                  <w:pPr>
                    <w:keepNext/>
                    <w:keepLines/>
                    <w:spacing w:before="120"/>
                    <w:ind w:left="57" w:right="57"/>
                    <w:contextualSpacing/>
                    <w:jc w:val="left"/>
                    <w:rPr>
                      <w:sz w:val="18"/>
                      <w:szCs w:val="18"/>
                    </w:rPr>
                  </w:pPr>
                  <w:r>
                    <w:rPr>
                      <w:sz w:val="18"/>
                      <w:szCs w:val="18"/>
                    </w:rPr>
                    <w:t xml:space="preserve">- </w:t>
                  </w:r>
                  <w:r w:rsidR="003169F8" w:rsidRPr="00231BFF">
                    <w:rPr>
                      <w:sz w:val="18"/>
                      <w:szCs w:val="18"/>
                    </w:rPr>
                    <w:t>Respectez-vous, pour vos développements en interne ou sous-traités, tout ou partie du référentiel général d'amélioration de l'accessibilité RGAA version 4.1.2 ?</w:t>
                  </w:r>
                  <w:r w:rsidR="003169F8" w:rsidRPr="00231BFF">
                    <w:rPr>
                      <w:sz w:val="18"/>
                      <w:szCs w:val="18"/>
                    </w:rPr>
                    <w:br/>
                  </w:r>
                  <w:proofErr w:type="gramStart"/>
                  <w:r w:rsidR="003169F8" w:rsidRPr="00231BFF">
                    <w:rPr>
                      <w:i/>
                      <w:iCs/>
                      <w:sz w:val="16"/>
                      <w:szCs w:val="16"/>
                    </w:rPr>
                    <w:t>N.B</w:t>
                  </w:r>
                  <w:proofErr w:type="gramEnd"/>
                  <w:r w:rsidR="003169F8" w:rsidRPr="00231BFF">
                    <w:rPr>
                      <w:i/>
                      <w:iCs/>
                      <w:sz w:val="16"/>
                      <w:szCs w:val="16"/>
                    </w:rPr>
                    <w:t xml:space="preserve"> : Le RGAA version 4.1.2 (Référentiel Général d'Amélioration de l'Accessibilité) est basé sur la norme européenne : EN 301 549 V2.1.2 (2018-08)</w:t>
                  </w:r>
                  <w:r w:rsidR="00E65801" w:rsidRPr="00231BFF">
                    <w:rPr>
                      <w:i/>
                      <w:iCs/>
                      <w:sz w:val="16"/>
                      <w:szCs w:val="16"/>
                    </w:rPr>
                    <w:t>,</w:t>
                  </w:r>
                  <w:r w:rsidR="00B5346E" w:rsidRPr="00231BFF">
                    <w:rPr>
                      <w:i/>
                      <w:iCs/>
                      <w:sz w:val="16"/>
                      <w:szCs w:val="16"/>
                    </w:rPr>
                    <w:t xml:space="preserve"> </w:t>
                  </w:r>
                  <w:r w:rsidR="00E65801" w:rsidRPr="00231BFF">
                    <w:rPr>
                      <w:i/>
                      <w:iCs/>
                      <w:sz w:val="16"/>
                      <w:szCs w:val="16"/>
                    </w:rPr>
                    <w:t>e</w:t>
                  </w:r>
                  <w:r w:rsidR="003169F8" w:rsidRPr="00231BFF">
                    <w:rPr>
                      <w:i/>
                      <w:iCs/>
                      <w:sz w:val="16"/>
                      <w:szCs w:val="16"/>
                    </w:rPr>
                    <w:t xml:space="preserve">lle-même basée sur le Web Content </w:t>
                  </w:r>
                  <w:proofErr w:type="spellStart"/>
                  <w:r w:rsidR="003169F8" w:rsidRPr="00231BFF">
                    <w:rPr>
                      <w:i/>
                      <w:iCs/>
                      <w:sz w:val="16"/>
                      <w:szCs w:val="16"/>
                    </w:rPr>
                    <w:t>Accessibility</w:t>
                  </w:r>
                  <w:proofErr w:type="spellEnd"/>
                  <w:r w:rsidR="003169F8" w:rsidRPr="00231BFF">
                    <w:rPr>
                      <w:i/>
                      <w:iCs/>
                      <w:sz w:val="16"/>
                      <w:szCs w:val="16"/>
                    </w:rPr>
                    <w:t xml:space="preserve"> Guidelines </w:t>
                  </w:r>
                  <w:r w:rsidR="004853C0" w:rsidRPr="00231BFF">
                    <w:rPr>
                      <w:i/>
                      <w:iCs/>
                      <w:sz w:val="16"/>
                      <w:szCs w:val="16"/>
                    </w:rPr>
                    <w:t>(</w:t>
                  </w:r>
                  <w:r w:rsidR="003169F8" w:rsidRPr="00231BFF">
                    <w:rPr>
                      <w:i/>
                      <w:iCs/>
                      <w:sz w:val="16"/>
                      <w:szCs w:val="16"/>
                    </w:rPr>
                    <w:t>WCAG</w:t>
                  </w:r>
                  <w:r w:rsidR="004853C0" w:rsidRPr="00231BFF">
                    <w:rPr>
                      <w:i/>
                      <w:iCs/>
                      <w:sz w:val="16"/>
                      <w:szCs w:val="16"/>
                    </w:rPr>
                    <w:t>)</w:t>
                  </w:r>
                  <w:r w:rsidR="003169F8" w:rsidRPr="00231BFF">
                    <w:rPr>
                      <w:i/>
                      <w:iCs/>
                      <w:sz w:val="16"/>
                      <w:szCs w:val="16"/>
                    </w:rPr>
                    <w:t xml:space="preserve"> 2.2.</w:t>
                  </w:r>
                  <w:r w:rsidR="003169F8" w:rsidRPr="00231BFF">
                    <w:rPr>
                      <w:sz w:val="16"/>
                      <w:szCs w:val="16"/>
                    </w:rPr>
                    <w:t xml:space="preserve"> </w:t>
                  </w:r>
                </w:p>
              </w:tc>
              <w:tc>
                <w:tcPr>
                  <w:tcW w:w="3058" w:type="dxa"/>
                  <w:gridSpan w:val="2"/>
                  <w:shd w:val="clear" w:color="auto" w:fill="E7F1F1"/>
                  <w:tcMar>
                    <w:top w:w="4" w:type="dxa"/>
                    <w:left w:w="4" w:type="dxa"/>
                    <w:bottom w:w="0" w:type="dxa"/>
                    <w:right w:w="4" w:type="dxa"/>
                  </w:tcMar>
                  <w:hideMark/>
                </w:tcPr>
                <w:p w14:paraId="057CA354" w14:textId="5413B908" w:rsidR="00C2078B" w:rsidRPr="00231BFF" w:rsidRDefault="003169F8" w:rsidP="00C70366">
                  <w:pPr>
                    <w:keepNext/>
                    <w:keepLines/>
                    <w:spacing w:before="120"/>
                    <w:ind w:left="57" w:right="57"/>
                    <w:contextualSpacing/>
                    <w:jc w:val="left"/>
                    <w:rPr>
                      <w:sz w:val="18"/>
                      <w:szCs w:val="18"/>
                    </w:rPr>
                  </w:pPr>
                  <w:r w:rsidRPr="00231BFF">
                    <w:rPr>
                      <w:sz w:val="18"/>
                      <w:szCs w:val="18"/>
                      <w:u w:val="single"/>
                    </w:rPr>
                    <w:t>Offre progicielle :</w:t>
                  </w:r>
                  <w:r w:rsidRPr="00231BFF">
                    <w:rPr>
                      <w:sz w:val="18"/>
                      <w:szCs w:val="18"/>
                    </w:rPr>
                    <w:br/>
                    <w:t>En référence pour votre solution numérique produite, le dernier rapport disponible d'audit de conformité RGAA V4.1.2 et une déclaration de conformité.</w:t>
                  </w:r>
                </w:p>
                <w:p w14:paraId="6E9EFA35" w14:textId="77777777" w:rsidR="006A7E8F" w:rsidRDefault="006A7E8F" w:rsidP="00C70366">
                  <w:pPr>
                    <w:keepNext/>
                    <w:keepLines/>
                    <w:spacing w:before="120"/>
                    <w:ind w:left="57" w:right="57"/>
                    <w:contextualSpacing/>
                    <w:jc w:val="left"/>
                    <w:rPr>
                      <w:sz w:val="18"/>
                      <w:szCs w:val="18"/>
                      <w:u w:val="single"/>
                    </w:rPr>
                  </w:pPr>
                </w:p>
                <w:p w14:paraId="2F792210" w14:textId="77777777" w:rsidR="006A7E8F" w:rsidRDefault="006A7E8F" w:rsidP="00C70366">
                  <w:pPr>
                    <w:keepNext/>
                    <w:keepLines/>
                    <w:spacing w:before="120"/>
                    <w:ind w:left="57" w:right="57"/>
                    <w:contextualSpacing/>
                    <w:jc w:val="left"/>
                    <w:rPr>
                      <w:sz w:val="18"/>
                      <w:szCs w:val="18"/>
                      <w:u w:val="single"/>
                    </w:rPr>
                  </w:pPr>
                </w:p>
                <w:p w14:paraId="70AFF1A7" w14:textId="77777777" w:rsidR="006A7E8F" w:rsidRDefault="006A7E8F" w:rsidP="00C70366">
                  <w:pPr>
                    <w:keepNext/>
                    <w:keepLines/>
                    <w:spacing w:before="120"/>
                    <w:ind w:left="57" w:right="57"/>
                    <w:contextualSpacing/>
                    <w:jc w:val="left"/>
                    <w:rPr>
                      <w:sz w:val="18"/>
                      <w:szCs w:val="18"/>
                      <w:u w:val="single"/>
                    </w:rPr>
                  </w:pPr>
                </w:p>
                <w:p w14:paraId="24928E7B" w14:textId="77777777" w:rsidR="00DC3602" w:rsidRDefault="00DC3602" w:rsidP="00C70366">
                  <w:pPr>
                    <w:keepNext/>
                    <w:keepLines/>
                    <w:spacing w:before="120"/>
                    <w:ind w:left="57" w:right="57"/>
                    <w:contextualSpacing/>
                    <w:jc w:val="left"/>
                    <w:rPr>
                      <w:sz w:val="18"/>
                      <w:szCs w:val="18"/>
                      <w:u w:val="single"/>
                    </w:rPr>
                  </w:pPr>
                </w:p>
                <w:p w14:paraId="42A74FC7" w14:textId="2F8F3936" w:rsidR="003169F8" w:rsidRPr="00231BFF" w:rsidRDefault="003169F8" w:rsidP="00C70366">
                  <w:pPr>
                    <w:keepNext/>
                    <w:keepLines/>
                    <w:spacing w:before="120"/>
                    <w:ind w:left="57" w:right="57"/>
                    <w:contextualSpacing/>
                    <w:jc w:val="left"/>
                    <w:rPr>
                      <w:sz w:val="18"/>
                      <w:szCs w:val="18"/>
                    </w:rPr>
                  </w:pPr>
                  <w:r w:rsidRPr="00231BFF">
                    <w:rPr>
                      <w:sz w:val="18"/>
                      <w:szCs w:val="18"/>
                      <w:u w:val="single"/>
                    </w:rPr>
                    <w:t>Offre de développement :</w:t>
                  </w:r>
                  <w:r w:rsidRPr="00231BFF">
                    <w:rPr>
                      <w:sz w:val="18"/>
                      <w:szCs w:val="18"/>
                      <w:u w:val="single"/>
                    </w:rPr>
                    <w:br/>
                  </w:r>
                  <w:r w:rsidRPr="00231BFF">
                    <w:rPr>
                      <w:sz w:val="18"/>
                      <w:szCs w:val="18"/>
                    </w:rPr>
                    <w:t>Procédure de contrôle de conformité détaillée employée systématiquement et manuellement (pas uniquement via un outil de vérification automatique) lors des développements, livraisons de l'application.</w:t>
                  </w:r>
                </w:p>
              </w:tc>
            </w:tr>
            <w:tr w:rsidR="003169F8" w:rsidRPr="00284805" w14:paraId="1822056A" w14:textId="77777777" w:rsidTr="004C4D0B">
              <w:trPr>
                <w:cantSplit/>
                <w:trHeight w:val="1197"/>
              </w:trPr>
              <w:tc>
                <w:tcPr>
                  <w:tcW w:w="1238" w:type="dxa"/>
                  <w:shd w:val="clear" w:color="auto" w:fill="307A55"/>
                  <w:tcMar>
                    <w:top w:w="4" w:type="dxa"/>
                    <w:left w:w="4" w:type="dxa"/>
                    <w:bottom w:w="0" w:type="dxa"/>
                    <w:right w:w="4" w:type="dxa"/>
                  </w:tcMar>
                  <w:vAlign w:val="center"/>
                  <w:hideMark/>
                </w:tcPr>
                <w:p w14:paraId="1A51B275" w14:textId="77777777" w:rsidR="003169F8" w:rsidRPr="00231BFF" w:rsidRDefault="003169F8" w:rsidP="00C70366">
                  <w:pPr>
                    <w:keepNext/>
                    <w:keepLines/>
                    <w:spacing w:before="120"/>
                    <w:ind w:left="57" w:right="57"/>
                    <w:jc w:val="center"/>
                    <w:rPr>
                      <w:color w:val="FFFFFF" w:themeColor="background1"/>
                      <w:sz w:val="18"/>
                      <w:szCs w:val="18"/>
                    </w:rPr>
                  </w:pPr>
                  <w:r w:rsidRPr="00231BFF">
                    <w:rPr>
                      <w:b/>
                      <w:bCs/>
                      <w:color w:val="FFFFFF" w:themeColor="background1"/>
                      <w:sz w:val="18"/>
                      <w:szCs w:val="18"/>
                    </w:rPr>
                    <w:lastRenderedPageBreak/>
                    <w:t>AN-02</w:t>
                  </w:r>
                </w:p>
              </w:tc>
              <w:tc>
                <w:tcPr>
                  <w:tcW w:w="1275" w:type="dxa"/>
                  <w:shd w:val="clear" w:color="auto" w:fill="E7F1F1"/>
                  <w:tcMar>
                    <w:top w:w="4" w:type="dxa"/>
                    <w:left w:w="4" w:type="dxa"/>
                    <w:bottom w:w="0" w:type="dxa"/>
                    <w:right w:w="4" w:type="dxa"/>
                  </w:tcMar>
                  <w:vAlign w:val="center"/>
                  <w:hideMark/>
                </w:tcPr>
                <w:p w14:paraId="4B37F929" w14:textId="4CD36C17" w:rsidR="003169F8" w:rsidRPr="00231BFF" w:rsidRDefault="003169F8" w:rsidP="00C70366">
                  <w:pPr>
                    <w:keepNext/>
                    <w:keepLines/>
                    <w:spacing w:before="120"/>
                    <w:ind w:left="57" w:right="57"/>
                    <w:jc w:val="left"/>
                    <w:rPr>
                      <w:sz w:val="18"/>
                      <w:szCs w:val="18"/>
                    </w:rPr>
                  </w:pPr>
                  <w:r w:rsidRPr="00231BFF">
                    <w:rPr>
                      <w:sz w:val="18"/>
                      <w:szCs w:val="18"/>
                    </w:rPr>
                    <w:t xml:space="preserve">Vérifier que la solution </w:t>
                  </w:r>
                  <w:r w:rsidR="006A7E8F">
                    <w:rPr>
                      <w:sz w:val="18"/>
                      <w:szCs w:val="18"/>
                    </w:rPr>
                    <w:t>est</w:t>
                  </w:r>
                  <w:r w:rsidR="006A7E8F" w:rsidRPr="00231BFF">
                    <w:rPr>
                      <w:sz w:val="18"/>
                      <w:szCs w:val="18"/>
                    </w:rPr>
                    <w:t xml:space="preserve"> </w:t>
                  </w:r>
                  <w:r w:rsidRPr="00231BFF">
                    <w:rPr>
                      <w:sz w:val="18"/>
                      <w:szCs w:val="18"/>
                    </w:rPr>
                    <w:t xml:space="preserve">utilisable </w:t>
                  </w:r>
                </w:p>
              </w:tc>
              <w:tc>
                <w:tcPr>
                  <w:tcW w:w="3123" w:type="dxa"/>
                  <w:gridSpan w:val="2"/>
                  <w:shd w:val="clear" w:color="auto" w:fill="E7F1F1"/>
                  <w:tcMar>
                    <w:top w:w="4" w:type="dxa"/>
                    <w:left w:w="4" w:type="dxa"/>
                    <w:bottom w:w="0" w:type="dxa"/>
                    <w:right w:w="4" w:type="dxa"/>
                  </w:tcMar>
                  <w:vAlign w:val="center"/>
                  <w:hideMark/>
                </w:tcPr>
                <w:p w14:paraId="3D5E7EC0" w14:textId="3F5A31E0" w:rsidR="003169F8" w:rsidRPr="00231BFF" w:rsidRDefault="00DC3602" w:rsidP="00C70366">
                  <w:pPr>
                    <w:keepNext/>
                    <w:keepLines/>
                    <w:spacing w:before="120"/>
                    <w:ind w:left="57" w:right="57"/>
                    <w:contextualSpacing/>
                    <w:jc w:val="left"/>
                    <w:rPr>
                      <w:sz w:val="18"/>
                      <w:szCs w:val="18"/>
                    </w:rPr>
                  </w:pPr>
                  <w:r>
                    <w:rPr>
                      <w:sz w:val="18"/>
                      <w:szCs w:val="18"/>
                    </w:rPr>
                    <w:t xml:space="preserve">- </w:t>
                  </w:r>
                  <w:r w:rsidR="003169F8" w:rsidRPr="00231BFF">
                    <w:rPr>
                      <w:sz w:val="18"/>
                      <w:szCs w:val="18"/>
                    </w:rPr>
                    <w:t xml:space="preserve">Existe-t-il des REX d'utilisation de vos solutions numériques </w:t>
                  </w:r>
                  <w:r w:rsidR="004853C0" w:rsidRPr="00231BFF">
                    <w:rPr>
                      <w:sz w:val="18"/>
                      <w:szCs w:val="18"/>
                    </w:rPr>
                    <w:t xml:space="preserve">par des personnes en situation de handicap ? </w:t>
                  </w:r>
                  <w:r w:rsidR="003169F8" w:rsidRPr="00231BFF">
                    <w:rPr>
                      <w:sz w:val="18"/>
                      <w:szCs w:val="18"/>
                    </w:rPr>
                    <w:t>(</w:t>
                  </w:r>
                  <w:r w:rsidR="00B5346E" w:rsidRPr="00231BFF">
                    <w:rPr>
                      <w:sz w:val="18"/>
                      <w:szCs w:val="18"/>
                    </w:rPr>
                    <w:t>Documents</w:t>
                  </w:r>
                  <w:r w:rsidR="003169F8" w:rsidRPr="00231BFF">
                    <w:rPr>
                      <w:sz w:val="18"/>
                      <w:szCs w:val="18"/>
                    </w:rPr>
                    <w:t xml:space="preserve"> et supports numériques générés par l'application, manuel utilisateur compris)</w:t>
                  </w:r>
                  <w:r w:rsidR="00231BFF">
                    <w:rPr>
                      <w:sz w:val="18"/>
                      <w:szCs w:val="18"/>
                    </w:rPr>
                    <w:t>.</w:t>
                  </w:r>
                  <w:r w:rsidR="003169F8" w:rsidRPr="00231BFF">
                    <w:rPr>
                      <w:sz w:val="18"/>
                      <w:szCs w:val="18"/>
                    </w:rPr>
                    <w:t xml:space="preserve"> </w:t>
                  </w:r>
                  <w:r w:rsidR="003169F8" w:rsidRPr="00231BFF">
                    <w:rPr>
                      <w:sz w:val="18"/>
                      <w:szCs w:val="18"/>
                    </w:rPr>
                    <w:br/>
                    <w:t xml:space="preserve">Un test d'utilisabilité avec technologie d'assistance de supports proposés pourra être effectué en interne </w:t>
                  </w:r>
                  <w:r w:rsidR="00D17A59">
                    <w:rPr>
                      <w:sz w:val="18"/>
                      <w:szCs w:val="18"/>
                    </w:rPr>
                    <w:t xml:space="preserve">par </w:t>
                  </w:r>
                  <w:r w:rsidR="003169F8" w:rsidRPr="00231BFF">
                    <w:rPr>
                      <w:sz w:val="18"/>
                      <w:szCs w:val="18"/>
                    </w:rPr>
                    <w:t>La Poste.</w:t>
                  </w:r>
                </w:p>
              </w:tc>
              <w:tc>
                <w:tcPr>
                  <w:tcW w:w="2992" w:type="dxa"/>
                  <w:shd w:val="clear" w:color="auto" w:fill="E7F1F1"/>
                  <w:tcMar>
                    <w:top w:w="4" w:type="dxa"/>
                    <w:left w:w="4" w:type="dxa"/>
                    <w:bottom w:w="0" w:type="dxa"/>
                    <w:right w:w="4" w:type="dxa"/>
                  </w:tcMar>
                  <w:vAlign w:val="center"/>
                  <w:hideMark/>
                </w:tcPr>
                <w:p w14:paraId="300029D5" w14:textId="43AE6DA4" w:rsidR="00DC3602" w:rsidRDefault="003169F8" w:rsidP="00C70366">
                  <w:pPr>
                    <w:keepNext/>
                    <w:keepLines/>
                    <w:spacing w:before="120"/>
                    <w:ind w:right="57"/>
                    <w:jc w:val="left"/>
                    <w:rPr>
                      <w:sz w:val="18"/>
                      <w:szCs w:val="18"/>
                    </w:rPr>
                  </w:pPr>
                  <w:r w:rsidRPr="00231BFF">
                    <w:rPr>
                      <w:sz w:val="18"/>
                      <w:szCs w:val="18"/>
                    </w:rPr>
                    <w:t>Liste des coordonnées de sociétés, interlocuteurs référents.</w:t>
                  </w:r>
                  <w:r w:rsidRPr="00231BFF">
                    <w:rPr>
                      <w:sz w:val="18"/>
                      <w:szCs w:val="18"/>
                    </w:rPr>
                    <w:br/>
                  </w:r>
                </w:p>
                <w:p w14:paraId="16358801" w14:textId="77777777" w:rsidR="00DC3602" w:rsidRDefault="00DC3602" w:rsidP="00C70366">
                  <w:pPr>
                    <w:keepNext/>
                    <w:keepLines/>
                    <w:spacing w:before="120"/>
                    <w:ind w:right="57"/>
                    <w:jc w:val="left"/>
                    <w:rPr>
                      <w:sz w:val="18"/>
                      <w:szCs w:val="18"/>
                    </w:rPr>
                  </w:pPr>
                </w:p>
                <w:p w14:paraId="6D3151F5" w14:textId="60A18696" w:rsidR="003169F8" w:rsidRPr="00231BFF" w:rsidRDefault="003169F8" w:rsidP="00C70366">
                  <w:pPr>
                    <w:keepNext/>
                    <w:keepLines/>
                    <w:spacing w:before="120"/>
                    <w:ind w:right="57"/>
                    <w:jc w:val="left"/>
                    <w:rPr>
                      <w:sz w:val="18"/>
                      <w:szCs w:val="18"/>
                    </w:rPr>
                  </w:pPr>
                  <w:r w:rsidRPr="00231BFF">
                    <w:rPr>
                      <w:sz w:val="18"/>
                      <w:szCs w:val="18"/>
                    </w:rPr>
                    <w:t>Note décrivant l'utilisation de vos solutions numériques (documents et supports numériques compris) avec les différentes technologies d'assistance.</w:t>
                  </w:r>
                </w:p>
              </w:tc>
            </w:tr>
            <w:tr w:rsidR="003169F8" w:rsidRPr="00284805" w14:paraId="78F6AF2D" w14:textId="77777777" w:rsidTr="004C4D0B">
              <w:trPr>
                <w:cantSplit/>
                <w:trHeight w:val="652"/>
              </w:trPr>
              <w:tc>
                <w:tcPr>
                  <w:tcW w:w="1238" w:type="dxa"/>
                  <w:shd w:val="clear" w:color="auto" w:fill="307A55"/>
                  <w:tcMar>
                    <w:top w:w="4" w:type="dxa"/>
                    <w:left w:w="4" w:type="dxa"/>
                    <w:bottom w:w="0" w:type="dxa"/>
                    <w:right w:w="4" w:type="dxa"/>
                  </w:tcMar>
                  <w:vAlign w:val="center"/>
                  <w:hideMark/>
                </w:tcPr>
                <w:p w14:paraId="6C366C14" w14:textId="77777777" w:rsidR="003169F8" w:rsidRPr="00231BFF" w:rsidRDefault="003169F8" w:rsidP="00C70366">
                  <w:pPr>
                    <w:keepNext/>
                    <w:keepLines/>
                    <w:spacing w:before="120"/>
                    <w:ind w:left="57" w:right="57"/>
                    <w:jc w:val="center"/>
                    <w:rPr>
                      <w:color w:val="FFFFFF" w:themeColor="background1"/>
                      <w:sz w:val="18"/>
                      <w:szCs w:val="18"/>
                    </w:rPr>
                  </w:pPr>
                  <w:r w:rsidRPr="00231BFF">
                    <w:rPr>
                      <w:b/>
                      <w:bCs/>
                      <w:color w:val="FFFFFF" w:themeColor="background1"/>
                      <w:sz w:val="18"/>
                      <w:szCs w:val="18"/>
                    </w:rPr>
                    <w:t>AN-03</w:t>
                  </w:r>
                </w:p>
              </w:tc>
              <w:tc>
                <w:tcPr>
                  <w:tcW w:w="1275" w:type="dxa"/>
                  <w:shd w:val="clear" w:color="auto" w:fill="E7F1F1"/>
                  <w:tcMar>
                    <w:top w:w="4" w:type="dxa"/>
                    <w:left w:w="4" w:type="dxa"/>
                    <w:bottom w:w="0" w:type="dxa"/>
                    <w:right w:w="4" w:type="dxa"/>
                  </w:tcMar>
                  <w:vAlign w:val="center"/>
                  <w:hideMark/>
                </w:tcPr>
                <w:p w14:paraId="7EDD1A6C" w14:textId="25D8D4DE" w:rsidR="003169F8" w:rsidRPr="00231BFF" w:rsidRDefault="003169F8" w:rsidP="00C70366">
                  <w:pPr>
                    <w:keepNext/>
                    <w:keepLines/>
                    <w:spacing w:before="120"/>
                    <w:ind w:left="57" w:right="57"/>
                    <w:jc w:val="left"/>
                    <w:rPr>
                      <w:sz w:val="18"/>
                      <w:szCs w:val="18"/>
                    </w:rPr>
                  </w:pPr>
                  <w:r w:rsidRPr="00231BFF">
                    <w:rPr>
                      <w:sz w:val="18"/>
                      <w:szCs w:val="18"/>
                    </w:rPr>
                    <w:t xml:space="preserve">Vérifier que la solution </w:t>
                  </w:r>
                  <w:r w:rsidR="006A7E8F">
                    <w:rPr>
                      <w:sz w:val="18"/>
                      <w:szCs w:val="18"/>
                    </w:rPr>
                    <w:t>est</w:t>
                  </w:r>
                  <w:r w:rsidR="006A7E8F" w:rsidRPr="00231BFF">
                    <w:rPr>
                      <w:sz w:val="18"/>
                      <w:szCs w:val="18"/>
                    </w:rPr>
                    <w:t xml:space="preserve"> </w:t>
                  </w:r>
                  <w:r w:rsidRPr="00231BFF">
                    <w:rPr>
                      <w:sz w:val="18"/>
                      <w:szCs w:val="18"/>
                    </w:rPr>
                    <w:t xml:space="preserve">utilisable </w:t>
                  </w:r>
                </w:p>
              </w:tc>
              <w:tc>
                <w:tcPr>
                  <w:tcW w:w="3123" w:type="dxa"/>
                  <w:gridSpan w:val="2"/>
                  <w:shd w:val="clear" w:color="auto" w:fill="E7F1F1"/>
                  <w:tcMar>
                    <w:top w:w="4" w:type="dxa"/>
                    <w:left w:w="4" w:type="dxa"/>
                    <w:bottom w:w="0" w:type="dxa"/>
                    <w:right w:w="4" w:type="dxa"/>
                  </w:tcMar>
                  <w:vAlign w:val="center"/>
                  <w:hideMark/>
                </w:tcPr>
                <w:p w14:paraId="034B9574" w14:textId="20C7193B" w:rsidR="003169F8" w:rsidRPr="00231BFF" w:rsidRDefault="00DC3602" w:rsidP="00C70366">
                  <w:pPr>
                    <w:keepNext/>
                    <w:keepLines/>
                    <w:spacing w:before="120"/>
                    <w:ind w:left="57" w:right="57"/>
                    <w:contextualSpacing/>
                    <w:jc w:val="left"/>
                    <w:rPr>
                      <w:sz w:val="18"/>
                      <w:szCs w:val="18"/>
                    </w:rPr>
                  </w:pPr>
                  <w:r>
                    <w:rPr>
                      <w:sz w:val="18"/>
                      <w:szCs w:val="18"/>
                    </w:rPr>
                    <w:t xml:space="preserve">- </w:t>
                  </w:r>
                  <w:r w:rsidR="003169F8" w:rsidRPr="00231BFF">
                    <w:rPr>
                      <w:sz w:val="18"/>
                      <w:szCs w:val="18"/>
                    </w:rPr>
                    <w:t>Existe-t-il des contrôles d'utilisabilité dans les phases de développement de votre solution</w:t>
                  </w:r>
                  <w:r w:rsidR="00B5346E" w:rsidRPr="00231BFF">
                    <w:rPr>
                      <w:sz w:val="18"/>
                      <w:szCs w:val="18"/>
                    </w:rPr>
                    <w:t> </w:t>
                  </w:r>
                  <w:r w:rsidR="003169F8" w:rsidRPr="00231BFF">
                    <w:rPr>
                      <w:sz w:val="18"/>
                      <w:szCs w:val="18"/>
                    </w:rPr>
                    <w:t>?</w:t>
                  </w:r>
                  <w:r w:rsidR="003169F8" w:rsidRPr="00231BFF">
                    <w:rPr>
                      <w:sz w:val="18"/>
                      <w:szCs w:val="18"/>
                    </w:rPr>
                    <w:br/>
                    <w:t xml:space="preserve">=&gt; navigation au clavier, avec lecteurs d'écran (JAWS, NVDA, VOICEOVER, TALKBACK etc.), </w:t>
                  </w:r>
                  <w:r w:rsidR="003169F8" w:rsidRPr="00231BFF">
                    <w:rPr>
                      <w:sz w:val="18"/>
                      <w:szCs w:val="18"/>
                    </w:rPr>
                    <w:br/>
                    <w:t>=&gt; grossissement de caractères (ZOOMTEXT, SUPERNOVA, loupe grossissante etc.).</w:t>
                  </w:r>
                </w:p>
              </w:tc>
              <w:tc>
                <w:tcPr>
                  <w:tcW w:w="2992" w:type="dxa"/>
                  <w:shd w:val="clear" w:color="auto" w:fill="E7F1F1"/>
                  <w:tcMar>
                    <w:top w:w="4" w:type="dxa"/>
                    <w:left w:w="4" w:type="dxa"/>
                    <w:bottom w:w="0" w:type="dxa"/>
                    <w:right w:w="4" w:type="dxa"/>
                  </w:tcMar>
                  <w:vAlign w:val="center"/>
                  <w:hideMark/>
                </w:tcPr>
                <w:p w14:paraId="05B12C21" w14:textId="77777777" w:rsidR="003169F8" w:rsidRPr="00231BFF" w:rsidRDefault="003169F8" w:rsidP="00C70366">
                  <w:pPr>
                    <w:keepNext/>
                    <w:keepLines/>
                    <w:spacing w:before="120"/>
                    <w:ind w:left="57" w:right="57"/>
                    <w:jc w:val="left"/>
                    <w:rPr>
                      <w:sz w:val="18"/>
                      <w:szCs w:val="18"/>
                    </w:rPr>
                  </w:pPr>
                  <w:r w:rsidRPr="00231BFF">
                    <w:rPr>
                      <w:sz w:val="18"/>
                      <w:szCs w:val="18"/>
                    </w:rPr>
                    <w:t>Procédure de contrôle de l'utilisabilité avec les technologies d'assistance.</w:t>
                  </w:r>
                </w:p>
              </w:tc>
            </w:tr>
            <w:tr w:rsidR="003169F8" w:rsidRPr="00284805" w14:paraId="56A8D5BE" w14:textId="77777777" w:rsidTr="004C4D0B">
              <w:trPr>
                <w:cantSplit/>
                <w:trHeight w:val="911"/>
              </w:trPr>
              <w:tc>
                <w:tcPr>
                  <w:tcW w:w="1238" w:type="dxa"/>
                  <w:shd w:val="clear" w:color="auto" w:fill="307A55"/>
                  <w:tcMar>
                    <w:top w:w="4" w:type="dxa"/>
                    <w:left w:w="4" w:type="dxa"/>
                    <w:bottom w:w="0" w:type="dxa"/>
                    <w:right w:w="4" w:type="dxa"/>
                  </w:tcMar>
                  <w:vAlign w:val="center"/>
                  <w:hideMark/>
                </w:tcPr>
                <w:p w14:paraId="2AAB433B" w14:textId="77777777" w:rsidR="003169F8" w:rsidRPr="00231BFF" w:rsidRDefault="003169F8" w:rsidP="00C70366">
                  <w:pPr>
                    <w:keepNext/>
                    <w:keepLines/>
                    <w:spacing w:before="120"/>
                    <w:ind w:left="57" w:right="57"/>
                    <w:jc w:val="center"/>
                    <w:rPr>
                      <w:color w:val="FFFFFF" w:themeColor="background1"/>
                      <w:sz w:val="18"/>
                      <w:szCs w:val="18"/>
                    </w:rPr>
                  </w:pPr>
                  <w:r w:rsidRPr="00231BFF">
                    <w:rPr>
                      <w:b/>
                      <w:bCs/>
                      <w:color w:val="FFFFFF" w:themeColor="background1"/>
                      <w:sz w:val="18"/>
                      <w:szCs w:val="18"/>
                    </w:rPr>
                    <w:t>AN-04</w:t>
                  </w:r>
                </w:p>
              </w:tc>
              <w:tc>
                <w:tcPr>
                  <w:tcW w:w="1275" w:type="dxa"/>
                  <w:shd w:val="clear" w:color="auto" w:fill="E7F1F1"/>
                  <w:tcMar>
                    <w:top w:w="4" w:type="dxa"/>
                    <w:left w:w="4" w:type="dxa"/>
                    <w:bottom w:w="0" w:type="dxa"/>
                    <w:right w:w="4" w:type="dxa"/>
                  </w:tcMar>
                  <w:vAlign w:val="center"/>
                  <w:hideMark/>
                </w:tcPr>
                <w:p w14:paraId="073EFCBD" w14:textId="274CE850" w:rsidR="003169F8" w:rsidRPr="00231BFF" w:rsidRDefault="003169F8" w:rsidP="00C70366">
                  <w:pPr>
                    <w:keepNext/>
                    <w:keepLines/>
                    <w:spacing w:before="120"/>
                    <w:ind w:left="57" w:right="57"/>
                    <w:jc w:val="left"/>
                    <w:rPr>
                      <w:sz w:val="18"/>
                      <w:szCs w:val="18"/>
                    </w:rPr>
                  </w:pPr>
                  <w:r w:rsidRPr="00231BFF">
                    <w:rPr>
                      <w:sz w:val="18"/>
                      <w:szCs w:val="18"/>
                    </w:rPr>
                    <w:t xml:space="preserve">Vérifier que la solution </w:t>
                  </w:r>
                  <w:r w:rsidR="006A7E8F">
                    <w:rPr>
                      <w:sz w:val="18"/>
                      <w:szCs w:val="18"/>
                    </w:rPr>
                    <w:t>est</w:t>
                  </w:r>
                  <w:r w:rsidR="006A7E8F" w:rsidRPr="00231BFF">
                    <w:rPr>
                      <w:sz w:val="18"/>
                      <w:szCs w:val="18"/>
                    </w:rPr>
                    <w:t xml:space="preserve"> </w:t>
                  </w:r>
                  <w:r w:rsidRPr="00231BFF">
                    <w:rPr>
                      <w:sz w:val="18"/>
                      <w:szCs w:val="18"/>
                    </w:rPr>
                    <w:t>robuste</w:t>
                  </w:r>
                </w:p>
              </w:tc>
              <w:tc>
                <w:tcPr>
                  <w:tcW w:w="3123" w:type="dxa"/>
                  <w:gridSpan w:val="2"/>
                  <w:shd w:val="clear" w:color="auto" w:fill="E7F1F1"/>
                  <w:tcMar>
                    <w:top w:w="4" w:type="dxa"/>
                    <w:left w:w="4" w:type="dxa"/>
                    <w:bottom w:w="0" w:type="dxa"/>
                    <w:right w:w="4" w:type="dxa"/>
                  </w:tcMar>
                  <w:vAlign w:val="center"/>
                  <w:hideMark/>
                </w:tcPr>
                <w:p w14:paraId="16728B05" w14:textId="2D9EBC93" w:rsidR="003169F8" w:rsidRPr="00231BFF" w:rsidRDefault="00F755EB" w:rsidP="00C70366">
                  <w:pPr>
                    <w:keepNext/>
                    <w:keepLines/>
                    <w:spacing w:before="120"/>
                    <w:ind w:left="57" w:right="57"/>
                    <w:contextualSpacing/>
                    <w:rPr>
                      <w:sz w:val="18"/>
                      <w:szCs w:val="18"/>
                    </w:rPr>
                  </w:pPr>
                  <w:r>
                    <w:rPr>
                      <w:sz w:val="18"/>
                      <w:szCs w:val="18"/>
                    </w:rPr>
                    <w:t xml:space="preserve">- </w:t>
                  </w:r>
                  <w:r w:rsidR="003169F8" w:rsidRPr="00231BFF">
                    <w:rPr>
                      <w:sz w:val="18"/>
                      <w:szCs w:val="18"/>
                    </w:rPr>
                    <w:t>Votre solution (site développé</w:t>
                  </w:r>
                  <w:r>
                    <w:rPr>
                      <w:sz w:val="18"/>
                      <w:szCs w:val="18"/>
                    </w:rPr>
                    <w:t xml:space="preserve"> </w:t>
                  </w:r>
                  <w:r w:rsidR="003169F8" w:rsidRPr="00231BFF">
                    <w:rPr>
                      <w:sz w:val="18"/>
                      <w:szCs w:val="18"/>
                    </w:rPr>
                    <w:t>/interface Web progiciel</w:t>
                  </w:r>
                  <w:r>
                    <w:rPr>
                      <w:sz w:val="18"/>
                      <w:szCs w:val="18"/>
                    </w:rPr>
                    <w:t xml:space="preserve"> </w:t>
                  </w:r>
                  <w:r w:rsidR="003169F8" w:rsidRPr="00231BFF">
                    <w:rPr>
                      <w:sz w:val="18"/>
                      <w:szCs w:val="18"/>
                    </w:rPr>
                    <w:t>/</w:t>
                  </w:r>
                  <w:r>
                    <w:rPr>
                      <w:sz w:val="18"/>
                      <w:szCs w:val="18"/>
                    </w:rPr>
                    <w:t xml:space="preserve"> </w:t>
                  </w:r>
                  <w:r w:rsidR="003169F8" w:rsidRPr="00231BFF">
                    <w:rPr>
                      <w:sz w:val="18"/>
                      <w:szCs w:val="18"/>
                    </w:rPr>
                    <w:t xml:space="preserve">interface mobile) est-elle utilisable en accessibilité numérique (AN) avec les principaux navigateurs internet en vigueur sur le marché et technologies d'assistance listés dans le RGAA v4.1.2 ? (Microsoft Edge/Edge </w:t>
                  </w:r>
                  <w:proofErr w:type="spellStart"/>
                  <w:r w:rsidR="003169F8" w:rsidRPr="00231BFF">
                    <w:rPr>
                      <w:sz w:val="18"/>
                      <w:szCs w:val="18"/>
                    </w:rPr>
                    <w:t>Chromium</w:t>
                  </w:r>
                  <w:proofErr w:type="spellEnd"/>
                  <w:r w:rsidR="003169F8" w:rsidRPr="00231BFF">
                    <w:rPr>
                      <w:sz w:val="18"/>
                      <w:szCs w:val="18"/>
                    </w:rPr>
                    <w:t>, Mozilla Firefox, Google Chrome desktop, Safari sous iOS et Google Chrome sous Android)</w:t>
                  </w:r>
                  <w:r w:rsidR="00E65801" w:rsidRPr="00231BFF">
                    <w:rPr>
                      <w:sz w:val="18"/>
                      <w:szCs w:val="18"/>
                    </w:rPr>
                    <w:t>.</w:t>
                  </w:r>
                  <w:r w:rsidR="003169F8" w:rsidRPr="00231BFF">
                    <w:rPr>
                      <w:sz w:val="18"/>
                      <w:szCs w:val="18"/>
                    </w:rPr>
                    <w:br/>
                  </w:r>
                  <w:r>
                    <w:rPr>
                      <w:sz w:val="18"/>
                      <w:szCs w:val="18"/>
                    </w:rPr>
                    <w:t xml:space="preserve">- </w:t>
                  </w:r>
                  <w:r w:rsidR="003169F8" w:rsidRPr="00231BFF">
                    <w:rPr>
                      <w:sz w:val="18"/>
                      <w:szCs w:val="18"/>
                    </w:rPr>
                    <w:t xml:space="preserve">Votre solution est-elle bien </w:t>
                  </w:r>
                  <w:r w:rsidR="003169F8" w:rsidRPr="00231BFF">
                    <w:rPr>
                      <w:i/>
                      <w:iCs/>
                      <w:sz w:val="18"/>
                      <w:szCs w:val="18"/>
                    </w:rPr>
                    <w:t>responsive</w:t>
                  </w:r>
                  <w:r w:rsidR="003169F8" w:rsidRPr="00231BFF">
                    <w:rPr>
                      <w:sz w:val="18"/>
                      <w:szCs w:val="18"/>
                    </w:rPr>
                    <w:t xml:space="preserve"> (adaptation de la résolution d'écran du PC au format tablette et smartphone) ?</w:t>
                  </w:r>
                </w:p>
              </w:tc>
              <w:tc>
                <w:tcPr>
                  <w:tcW w:w="2992" w:type="dxa"/>
                  <w:shd w:val="clear" w:color="auto" w:fill="E7F1F1"/>
                  <w:tcMar>
                    <w:top w:w="4" w:type="dxa"/>
                    <w:left w:w="4" w:type="dxa"/>
                    <w:bottom w:w="0" w:type="dxa"/>
                    <w:right w:w="4" w:type="dxa"/>
                  </w:tcMar>
                  <w:vAlign w:val="center"/>
                  <w:hideMark/>
                </w:tcPr>
                <w:p w14:paraId="434C06AC" w14:textId="77777777" w:rsidR="003169F8" w:rsidRPr="00231BFF" w:rsidRDefault="003169F8" w:rsidP="00C70366">
                  <w:pPr>
                    <w:keepNext/>
                    <w:keepLines/>
                    <w:spacing w:before="120"/>
                    <w:ind w:left="57" w:right="57"/>
                    <w:jc w:val="left"/>
                    <w:rPr>
                      <w:sz w:val="18"/>
                      <w:szCs w:val="18"/>
                    </w:rPr>
                  </w:pPr>
                  <w:r w:rsidRPr="00231BFF">
                    <w:rPr>
                      <w:sz w:val="18"/>
                      <w:szCs w:val="18"/>
                    </w:rPr>
                    <w:t>Note décrivant les compatibilités de la solution en accessibilité numérique avec les principaux navigateurs Internet et technologies d'assistance.</w:t>
                  </w:r>
                </w:p>
              </w:tc>
            </w:tr>
            <w:tr w:rsidR="003169F8" w:rsidRPr="00284805" w14:paraId="5E1DCB95" w14:textId="77777777" w:rsidTr="004C4D0B">
              <w:trPr>
                <w:cantSplit/>
                <w:trHeight w:val="451"/>
              </w:trPr>
              <w:tc>
                <w:tcPr>
                  <w:tcW w:w="1238" w:type="dxa"/>
                  <w:shd w:val="clear" w:color="auto" w:fill="307A55"/>
                  <w:tcMar>
                    <w:top w:w="4" w:type="dxa"/>
                    <w:left w:w="4" w:type="dxa"/>
                    <w:bottom w:w="0" w:type="dxa"/>
                    <w:right w:w="4" w:type="dxa"/>
                  </w:tcMar>
                  <w:vAlign w:val="center"/>
                  <w:hideMark/>
                </w:tcPr>
                <w:p w14:paraId="261CAB06" w14:textId="77777777" w:rsidR="003169F8" w:rsidRPr="00231BFF" w:rsidRDefault="003169F8" w:rsidP="00C70366">
                  <w:pPr>
                    <w:keepNext/>
                    <w:keepLines/>
                    <w:spacing w:before="120"/>
                    <w:ind w:left="57" w:right="57"/>
                    <w:jc w:val="center"/>
                    <w:rPr>
                      <w:color w:val="FFFFFF" w:themeColor="background1"/>
                      <w:sz w:val="18"/>
                      <w:szCs w:val="18"/>
                    </w:rPr>
                  </w:pPr>
                  <w:r w:rsidRPr="00231BFF">
                    <w:rPr>
                      <w:b/>
                      <w:bCs/>
                      <w:color w:val="FFFFFF" w:themeColor="background1"/>
                      <w:sz w:val="18"/>
                      <w:szCs w:val="18"/>
                    </w:rPr>
                    <w:t>AN-05</w:t>
                  </w:r>
                </w:p>
              </w:tc>
              <w:tc>
                <w:tcPr>
                  <w:tcW w:w="1275" w:type="dxa"/>
                  <w:shd w:val="clear" w:color="auto" w:fill="E7F1F1"/>
                  <w:tcMar>
                    <w:top w:w="4" w:type="dxa"/>
                    <w:left w:w="4" w:type="dxa"/>
                    <w:bottom w:w="0" w:type="dxa"/>
                    <w:right w:w="4" w:type="dxa"/>
                  </w:tcMar>
                  <w:vAlign w:val="center"/>
                  <w:hideMark/>
                </w:tcPr>
                <w:p w14:paraId="34D9C638" w14:textId="555EC101" w:rsidR="003169F8" w:rsidRPr="00231BFF" w:rsidRDefault="003169F8" w:rsidP="00C70366">
                  <w:pPr>
                    <w:keepNext/>
                    <w:keepLines/>
                    <w:spacing w:before="120"/>
                    <w:ind w:left="57" w:right="57"/>
                    <w:jc w:val="left"/>
                    <w:rPr>
                      <w:sz w:val="18"/>
                      <w:szCs w:val="18"/>
                    </w:rPr>
                  </w:pPr>
                  <w:r w:rsidRPr="00231BFF">
                    <w:rPr>
                      <w:sz w:val="18"/>
                      <w:szCs w:val="18"/>
                    </w:rPr>
                    <w:t xml:space="preserve">Vérifier que la solution </w:t>
                  </w:r>
                  <w:r w:rsidR="006A7E8F">
                    <w:rPr>
                      <w:sz w:val="18"/>
                      <w:szCs w:val="18"/>
                    </w:rPr>
                    <w:t>est</w:t>
                  </w:r>
                  <w:r w:rsidR="00231BFF">
                    <w:rPr>
                      <w:sz w:val="18"/>
                      <w:szCs w:val="18"/>
                    </w:rPr>
                    <w:t xml:space="preserve"> </w:t>
                  </w:r>
                  <w:r w:rsidRPr="00231BFF">
                    <w:rPr>
                      <w:sz w:val="18"/>
                      <w:szCs w:val="18"/>
                    </w:rPr>
                    <w:t>robuste</w:t>
                  </w:r>
                </w:p>
              </w:tc>
              <w:tc>
                <w:tcPr>
                  <w:tcW w:w="3123" w:type="dxa"/>
                  <w:gridSpan w:val="2"/>
                  <w:shd w:val="clear" w:color="auto" w:fill="E7F1F1"/>
                  <w:tcMar>
                    <w:top w:w="4" w:type="dxa"/>
                    <w:left w:w="4" w:type="dxa"/>
                    <w:bottom w:w="0" w:type="dxa"/>
                    <w:right w:w="4" w:type="dxa"/>
                  </w:tcMar>
                  <w:vAlign w:val="center"/>
                  <w:hideMark/>
                </w:tcPr>
                <w:p w14:paraId="21961F4C" w14:textId="41D145E2" w:rsidR="003169F8" w:rsidRPr="00231BFF" w:rsidRDefault="00F755EB" w:rsidP="00C70366">
                  <w:pPr>
                    <w:keepNext/>
                    <w:keepLines/>
                    <w:spacing w:before="120"/>
                    <w:ind w:left="57" w:right="57"/>
                    <w:contextualSpacing/>
                    <w:jc w:val="left"/>
                    <w:rPr>
                      <w:sz w:val="18"/>
                      <w:szCs w:val="18"/>
                    </w:rPr>
                  </w:pPr>
                  <w:r>
                    <w:rPr>
                      <w:sz w:val="18"/>
                      <w:szCs w:val="18"/>
                    </w:rPr>
                    <w:t xml:space="preserve">- </w:t>
                  </w:r>
                  <w:r w:rsidR="003169F8" w:rsidRPr="00231BFF">
                    <w:rPr>
                      <w:sz w:val="18"/>
                      <w:szCs w:val="18"/>
                    </w:rPr>
                    <w:t xml:space="preserve">Des travaux de mise en accessibilité numérique de la solution numérique sont-ils prévus dans la </w:t>
                  </w:r>
                  <w:r w:rsidR="003169F8" w:rsidRPr="00231BFF">
                    <w:rPr>
                      <w:i/>
                      <w:iCs/>
                      <w:sz w:val="18"/>
                      <w:szCs w:val="18"/>
                    </w:rPr>
                    <w:t>roadmap</w:t>
                  </w:r>
                  <w:r w:rsidR="003169F8" w:rsidRPr="00231BFF">
                    <w:rPr>
                      <w:sz w:val="18"/>
                      <w:szCs w:val="18"/>
                    </w:rPr>
                    <w:t>,</w:t>
                  </w:r>
                  <w:r w:rsidR="004266FC">
                    <w:rPr>
                      <w:sz w:val="18"/>
                      <w:szCs w:val="18"/>
                    </w:rPr>
                    <w:t xml:space="preserve"> dans</w:t>
                  </w:r>
                  <w:r w:rsidR="003169F8" w:rsidRPr="00231BFF">
                    <w:rPr>
                      <w:sz w:val="18"/>
                      <w:szCs w:val="18"/>
                    </w:rPr>
                    <w:t xml:space="preserve"> le planning de réalisation de la solution ?</w:t>
                  </w:r>
                </w:p>
              </w:tc>
              <w:tc>
                <w:tcPr>
                  <w:tcW w:w="2992" w:type="dxa"/>
                  <w:shd w:val="clear" w:color="auto" w:fill="E7F1F1"/>
                  <w:tcMar>
                    <w:top w:w="4" w:type="dxa"/>
                    <w:left w:w="4" w:type="dxa"/>
                    <w:bottom w:w="0" w:type="dxa"/>
                    <w:right w:w="4" w:type="dxa"/>
                  </w:tcMar>
                  <w:vAlign w:val="center"/>
                  <w:hideMark/>
                </w:tcPr>
                <w:p w14:paraId="173B6EFE" w14:textId="11B1E099" w:rsidR="003169F8" w:rsidRPr="00231BFF" w:rsidRDefault="003169F8" w:rsidP="00C70366">
                  <w:pPr>
                    <w:keepNext/>
                    <w:keepLines/>
                    <w:spacing w:before="120"/>
                    <w:ind w:left="57" w:right="57"/>
                    <w:jc w:val="left"/>
                    <w:rPr>
                      <w:sz w:val="18"/>
                      <w:szCs w:val="18"/>
                    </w:rPr>
                  </w:pPr>
                  <w:r w:rsidRPr="00231BFF">
                    <w:rPr>
                      <w:sz w:val="18"/>
                      <w:szCs w:val="18"/>
                    </w:rPr>
                    <w:t xml:space="preserve">Note descriptive de </w:t>
                  </w:r>
                  <w:r w:rsidRPr="00231BFF">
                    <w:rPr>
                      <w:i/>
                      <w:iCs/>
                      <w:sz w:val="18"/>
                      <w:szCs w:val="18"/>
                    </w:rPr>
                    <w:t>roadmap</w:t>
                  </w:r>
                  <w:r w:rsidRPr="00231BFF">
                    <w:rPr>
                      <w:sz w:val="18"/>
                      <w:szCs w:val="18"/>
                    </w:rPr>
                    <w:t>, planning prévu</w:t>
                  </w:r>
                  <w:r w:rsidR="004266FC">
                    <w:rPr>
                      <w:sz w:val="18"/>
                      <w:szCs w:val="18"/>
                    </w:rPr>
                    <w:t>,</w:t>
                  </w:r>
                  <w:r w:rsidRPr="00231BFF">
                    <w:rPr>
                      <w:sz w:val="18"/>
                      <w:szCs w:val="18"/>
                    </w:rPr>
                    <w:t xml:space="preserve"> incluant la prise en compte de l'accessibilité numérique</w:t>
                  </w:r>
                  <w:r w:rsidR="00E65801" w:rsidRPr="00231BFF">
                    <w:rPr>
                      <w:sz w:val="18"/>
                      <w:szCs w:val="18"/>
                    </w:rPr>
                    <w:t>.</w:t>
                  </w:r>
                </w:p>
              </w:tc>
            </w:tr>
            <w:tr w:rsidR="003169F8" w:rsidRPr="00284805" w14:paraId="22DC1F7D" w14:textId="77777777" w:rsidTr="004C4D0B">
              <w:trPr>
                <w:cantSplit/>
                <w:trHeight w:val="749"/>
              </w:trPr>
              <w:tc>
                <w:tcPr>
                  <w:tcW w:w="1238" w:type="dxa"/>
                  <w:shd w:val="clear" w:color="auto" w:fill="307A55"/>
                  <w:tcMar>
                    <w:top w:w="4" w:type="dxa"/>
                    <w:left w:w="4" w:type="dxa"/>
                    <w:bottom w:w="0" w:type="dxa"/>
                    <w:right w:w="4" w:type="dxa"/>
                  </w:tcMar>
                  <w:vAlign w:val="center"/>
                  <w:hideMark/>
                </w:tcPr>
                <w:p w14:paraId="3817EDA5" w14:textId="77777777" w:rsidR="003169F8" w:rsidRPr="00231BFF" w:rsidRDefault="003169F8" w:rsidP="00C70366">
                  <w:pPr>
                    <w:keepNext/>
                    <w:keepLines/>
                    <w:spacing w:before="120"/>
                    <w:ind w:left="57" w:right="57"/>
                    <w:jc w:val="center"/>
                    <w:rPr>
                      <w:color w:val="FFFFFF" w:themeColor="background1"/>
                      <w:sz w:val="18"/>
                      <w:szCs w:val="18"/>
                    </w:rPr>
                  </w:pPr>
                  <w:r w:rsidRPr="00231BFF">
                    <w:rPr>
                      <w:b/>
                      <w:bCs/>
                      <w:color w:val="FFFFFF" w:themeColor="background1"/>
                      <w:sz w:val="18"/>
                      <w:szCs w:val="18"/>
                    </w:rPr>
                    <w:t>AN-06</w:t>
                  </w:r>
                </w:p>
              </w:tc>
              <w:tc>
                <w:tcPr>
                  <w:tcW w:w="1275" w:type="dxa"/>
                  <w:shd w:val="clear" w:color="auto" w:fill="E7F1F1"/>
                  <w:tcMar>
                    <w:top w:w="4" w:type="dxa"/>
                    <w:left w:w="4" w:type="dxa"/>
                    <w:bottom w:w="0" w:type="dxa"/>
                    <w:right w:w="4" w:type="dxa"/>
                  </w:tcMar>
                  <w:vAlign w:val="center"/>
                  <w:hideMark/>
                </w:tcPr>
                <w:p w14:paraId="0904969B" w14:textId="77777777" w:rsidR="003169F8" w:rsidRPr="00231BFF" w:rsidRDefault="003169F8" w:rsidP="00C70366">
                  <w:pPr>
                    <w:keepNext/>
                    <w:keepLines/>
                    <w:spacing w:before="120"/>
                    <w:ind w:left="57" w:right="57"/>
                    <w:jc w:val="left"/>
                    <w:rPr>
                      <w:sz w:val="18"/>
                      <w:szCs w:val="18"/>
                    </w:rPr>
                  </w:pPr>
                  <w:r w:rsidRPr="00231BFF">
                    <w:rPr>
                      <w:sz w:val="18"/>
                      <w:szCs w:val="18"/>
                    </w:rPr>
                    <w:t>Vérifier que les intervenants de la société et de ses éventuels sous-traitants sont formés à l'Accessibilité Numérique.</w:t>
                  </w:r>
                </w:p>
              </w:tc>
              <w:tc>
                <w:tcPr>
                  <w:tcW w:w="3123" w:type="dxa"/>
                  <w:gridSpan w:val="2"/>
                  <w:shd w:val="clear" w:color="auto" w:fill="E7F1F1"/>
                  <w:tcMar>
                    <w:top w:w="4" w:type="dxa"/>
                    <w:left w:w="4" w:type="dxa"/>
                    <w:bottom w:w="0" w:type="dxa"/>
                    <w:right w:w="4" w:type="dxa"/>
                  </w:tcMar>
                  <w:vAlign w:val="center"/>
                  <w:hideMark/>
                </w:tcPr>
                <w:p w14:paraId="10126C9D" w14:textId="3477C7D5" w:rsidR="003169F8" w:rsidRPr="00231BFF" w:rsidRDefault="00F755EB" w:rsidP="00C70366">
                  <w:pPr>
                    <w:keepNext/>
                    <w:keepLines/>
                    <w:spacing w:before="120"/>
                    <w:ind w:left="57" w:right="57"/>
                    <w:contextualSpacing/>
                    <w:jc w:val="left"/>
                    <w:rPr>
                      <w:sz w:val="18"/>
                      <w:szCs w:val="18"/>
                    </w:rPr>
                  </w:pPr>
                  <w:r>
                    <w:rPr>
                      <w:sz w:val="18"/>
                      <w:szCs w:val="18"/>
                    </w:rPr>
                    <w:t xml:space="preserve">- </w:t>
                  </w:r>
                  <w:r w:rsidR="003169F8" w:rsidRPr="00231BFF">
                    <w:rPr>
                      <w:sz w:val="18"/>
                      <w:szCs w:val="18"/>
                    </w:rPr>
                    <w:t>Le prestataire, les sous-traitants éventuels ont-ils des ressources internes formées à l'accessibilité numérique ?</w:t>
                  </w:r>
                  <w:r w:rsidR="003169F8" w:rsidRPr="00231BFF">
                    <w:rPr>
                      <w:sz w:val="18"/>
                      <w:szCs w:val="18"/>
                    </w:rPr>
                    <w:br/>
                    <w:t>Indiquer les profils (chef de projet expert accessibilité numérique, développeurs formés au développement accessible, expert lecteurs d'écran etc.), le niveau de formation en accessibilité numérique etc.</w:t>
                  </w:r>
                </w:p>
              </w:tc>
              <w:tc>
                <w:tcPr>
                  <w:tcW w:w="2992" w:type="dxa"/>
                  <w:shd w:val="clear" w:color="auto" w:fill="E7F1F1"/>
                  <w:tcMar>
                    <w:top w:w="4" w:type="dxa"/>
                    <w:left w:w="4" w:type="dxa"/>
                    <w:bottom w:w="0" w:type="dxa"/>
                    <w:right w:w="4" w:type="dxa"/>
                  </w:tcMar>
                  <w:vAlign w:val="center"/>
                  <w:hideMark/>
                </w:tcPr>
                <w:p w14:paraId="2DDD6E45" w14:textId="144678B8" w:rsidR="003169F8" w:rsidRPr="00231BFF" w:rsidRDefault="003169F8" w:rsidP="00C70366">
                  <w:pPr>
                    <w:keepNext/>
                    <w:keepLines/>
                    <w:spacing w:before="120"/>
                    <w:ind w:left="57" w:right="57"/>
                    <w:jc w:val="left"/>
                    <w:rPr>
                      <w:sz w:val="18"/>
                      <w:szCs w:val="18"/>
                    </w:rPr>
                  </w:pPr>
                  <w:r w:rsidRPr="00231BFF">
                    <w:rPr>
                      <w:sz w:val="18"/>
                      <w:szCs w:val="18"/>
                    </w:rPr>
                    <w:t>Liste des formations certifiées suivies, sociétés délivrant ce type de formation</w:t>
                  </w:r>
                  <w:r w:rsidR="00E65801" w:rsidRPr="00231BFF">
                    <w:rPr>
                      <w:sz w:val="18"/>
                      <w:szCs w:val="18"/>
                    </w:rPr>
                    <w:t>.</w:t>
                  </w:r>
                </w:p>
              </w:tc>
            </w:tr>
          </w:tbl>
          <w:p w14:paraId="6D92EA98" w14:textId="61EA0ECD" w:rsidR="003169F8" w:rsidRPr="00D62C23" w:rsidRDefault="003169F8" w:rsidP="00BC7739">
            <w:pPr>
              <w:keepNext/>
              <w:keepLines/>
              <w:spacing w:before="40"/>
              <w:jc w:val="right"/>
              <w:rPr>
                <w:b/>
                <w:bCs/>
              </w:rPr>
            </w:pPr>
            <w:r>
              <w:rPr>
                <w:b/>
                <w:bCs/>
              </w:rPr>
              <w:t>Mickaël Bouteiller</w:t>
            </w:r>
            <w:r w:rsidRPr="00A90E53">
              <w:t xml:space="preserve">, </w:t>
            </w:r>
            <w:r>
              <w:t>Expert</w:t>
            </w:r>
            <w:r w:rsidRPr="00A90E53">
              <w:t xml:space="preserve"> accessibilité</w:t>
            </w:r>
            <w:r>
              <w:t xml:space="preserve"> numérique</w:t>
            </w:r>
            <w:r w:rsidRPr="00A90E53">
              <w:t xml:space="preserve"> à</w:t>
            </w:r>
            <w:r w:rsidRPr="00A90E53">
              <w:rPr>
                <w:b/>
                <w:bCs/>
              </w:rPr>
              <w:t xml:space="preserve"> </w:t>
            </w:r>
            <w:r>
              <w:rPr>
                <w:b/>
                <w:bCs/>
              </w:rPr>
              <w:t>La Poste Groupe</w:t>
            </w:r>
            <w:r w:rsidR="00BC7739">
              <w:rPr>
                <w:b/>
                <w:bCs/>
              </w:rPr>
              <w:br/>
            </w:r>
            <w:r>
              <w:rPr>
                <w:b/>
                <w:bCs/>
              </w:rPr>
              <w:t>Anne Tozzolino</w:t>
            </w:r>
            <w:r w:rsidRPr="00A90E53">
              <w:t>,</w:t>
            </w:r>
            <w:r>
              <w:t xml:space="preserve"> </w:t>
            </w:r>
            <w:r w:rsidRPr="003169F8">
              <w:t>Directrice de projet RSE</w:t>
            </w:r>
            <w:r w:rsidRPr="00A90E53">
              <w:t xml:space="preserve"> à</w:t>
            </w:r>
            <w:r w:rsidRPr="00A90E53">
              <w:rPr>
                <w:b/>
                <w:bCs/>
              </w:rPr>
              <w:t xml:space="preserve"> </w:t>
            </w:r>
            <w:r>
              <w:rPr>
                <w:b/>
                <w:bCs/>
              </w:rPr>
              <w:t>La Poste Groupe</w:t>
            </w:r>
          </w:p>
        </w:tc>
      </w:tr>
    </w:tbl>
    <w:p w14:paraId="5457E3A4" w14:textId="70E9C0F4" w:rsidR="00D702F6" w:rsidRPr="00D702F6" w:rsidRDefault="00D702F6" w:rsidP="00174707">
      <w:pPr>
        <w:rPr>
          <w:rFonts w:eastAsia="Times New Roman"/>
        </w:rPr>
      </w:pPr>
    </w:p>
    <w:tbl>
      <w:tblPr>
        <w:tblW w:w="5000" w:type="pct"/>
        <w:jc w:val="center"/>
        <w:tblBorders>
          <w:top w:val="single" w:sz="18" w:space="0" w:color="155E48"/>
          <w:left w:val="single" w:sz="18" w:space="0" w:color="155E48"/>
          <w:bottom w:val="single" w:sz="18" w:space="0" w:color="155E48"/>
          <w:right w:val="single" w:sz="18" w:space="0" w:color="155E48"/>
        </w:tblBorders>
        <w:tblLayout w:type="fixed"/>
        <w:tblCellMar>
          <w:top w:w="284" w:type="dxa"/>
          <w:left w:w="284" w:type="dxa"/>
          <w:bottom w:w="284" w:type="dxa"/>
          <w:right w:w="284" w:type="dxa"/>
        </w:tblCellMar>
        <w:tblLook w:val="0420" w:firstRow="1" w:lastRow="0" w:firstColumn="0" w:lastColumn="0" w:noHBand="0" w:noVBand="1"/>
      </w:tblPr>
      <w:tblGrid>
        <w:gridCol w:w="9070"/>
      </w:tblGrid>
      <w:tr w:rsidR="00A90E53" w:rsidRPr="00C43137" w14:paraId="603EB01B" w14:textId="77777777" w:rsidTr="00964431">
        <w:trPr>
          <w:jc w:val="center"/>
        </w:trPr>
        <w:tc>
          <w:tcPr>
            <w:tcW w:w="9047" w:type="dxa"/>
            <w:tcBorders>
              <w:top w:val="nil"/>
              <w:left w:val="nil"/>
              <w:bottom w:val="nil"/>
              <w:right w:val="nil"/>
            </w:tcBorders>
            <w:shd w:val="clear" w:color="auto" w:fill="E2EFD9" w:themeFill="accent6" w:themeFillTint="33"/>
          </w:tcPr>
          <w:p w14:paraId="082E7755" w14:textId="4FB1DF11" w:rsidR="00A90E53" w:rsidRPr="00C43137" w:rsidRDefault="009F7251" w:rsidP="004C7112">
            <w:pPr>
              <w:pStyle w:val="retenir"/>
            </w:pPr>
            <w:bookmarkStart w:id="54" w:name="_Toc230077018"/>
            <w:r>
              <w:lastRenderedPageBreak/>
              <w:t>À retenir</w:t>
            </w:r>
            <w:bookmarkEnd w:id="54"/>
          </w:p>
          <w:p w14:paraId="468ED4E8" w14:textId="6DEEA1BF" w:rsidR="00A90E53" w:rsidRDefault="00A90E53" w:rsidP="00A90E53">
            <w:pPr>
              <w:rPr>
                <w:lang w:eastAsia="fr-FR"/>
              </w:rPr>
            </w:pPr>
            <w:r>
              <w:rPr>
                <w:lang w:eastAsia="fr-FR"/>
              </w:rPr>
              <w:t>La mise en place d’une gouvernance accessibilité numérique se structure en différentes actions essentielles :</w:t>
            </w:r>
          </w:p>
          <w:p w14:paraId="547B019A" w14:textId="4680FEAD" w:rsidR="00A90E53" w:rsidRDefault="00A90E53">
            <w:pPr>
              <w:pStyle w:val="Paragraphedeliste"/>
              <w:numPr>
                <w:ilvl w:val="0"/>
                <w:numId w:val="21"/>
              </w:numPr>
              <w:rPr>
                <w:lang w:eastAsia="fr-FR"/>
              </w:rPr>
            </w:pPr>
            <w:r>
              <w:rPr>
                <w:lang w:eastAsia="fr-FR"/>
              </w:rPr>
              <w:t>Se doter d’une stratégie ou d’un plan pluriannuel en matière d’accessibilité numérique</w:t>
            </w:r>
            <w:r w:rsidR="00BC5A6B">
              <w:rPr>
                <w:lang w:eastAsia="fr-FR"/>
              </w:rPr>
              <w:t> ;</w:t>
            </w:r>
          </w:p>
          <w:p w14:paraId="0DF949BD" w14:textId="53EA2E17" w:rsidR="00A90E53" w:rsidRDefault="00A90E53">
            <w:pPr>
              <w:pStyle w:val="Paragraphedeliste"/>
              <w:numPr>
                <w:ilvl w:val="0"/>
                <w:numId w:val="21"/>
              </w:numPr>
              <w:rPr>
                <w:lang w:eastAsia="fr-FR"/>
              </w:rPr>
            </w:pPr>
            <w:r>
              <w:rPr>
                <w:lang w:eastAsia="fr-FR"/>
              </w:rPr>
              <w:t>Définir les fonctions et responsabilités du référent accessibilité</w:t>
            </w:r>
            <w:r w:rsidR="00BC5A6B">
              <w:rPr>
                <w:lang w:eastAsia="fr-FR"/>
              </w:rPr>
              <w:t> ;</w:t>
            </w:r>
          </w:p>
          <w:p w14:paraId="2F8E9481" w14:textId="670D740D" w:rsidR="00A90E53" w:rsidRDefault="00A90E53">
            <w:pPr>
              <w:pStyle w:val="Paragraphedeliste"/>
              <w:numPr>
                <w:ilvl w:val="0"/>
                <w:numId w:val="21"/>
              </w:numPr>
              <w:rPr>
                <w:lang w:eastAsia="fr-FR"/>
              </w:rPr>
            </w:pPr>
            <w:r>
              <w:rPr>
                <w:lang w:eastAsia="fr-FR"/>
              </w:rPr>
              <w:t xml:space="preserve">Outiller les collaborateurs, avec par exemple, </w:t>
            </w:r>
            <w:r w:rsidR="00426E81">
              <w:rPr>
                <w:lang w:eastAsia="fr-FR"/>
              </w:rPr>
              <w:t>au sein de son intranet, </w:t>
            </w:r>
            <w:r>
              <w:rPr>
                <w:lang w:eastAsia="fr-FR"/>
              </w:rPr>
              <w:t xml:space="preserve">une page centralisée agrégeant </w:t>
            </w:r>
            <w:r w:rsidR="00A31FAF">
              <w:rPr>
                <w:lang w:eastAsia="fr-FR"/>
              </w:rPr>
              <w:t xml:space="preserve">des </w:t>
            </w:r>
            <w:r>
              <w:rPr>
                <w:lang w:eastAsia="fr-FR"/>
              </w:rPr>
              <w:t xml:space="preserve">ressources en tests et en formations </w:t>
            </w:r>
            <w:r w:rsidR="00B5346E">
              <w:rPr>
                <w:lang w:eastAsia="fr-FR"/>
              </w:rPr>
              <w:t xml:space="preserve">à l’accessibilité </w:t>
            </w:r>
            <w:r>
              <w:rPr>
                <w:lang w:eastAsia="fr-FR"/>
              </w:rPr>
              <w:t>numérique</w:t>
            </w:r>
            <w:r w:rsidR="00426E81">
              <w:rPr>
                <w:lang w:eastAsia="fr-FR"/>
              </w:rPr>
              <w:t xml:space="preserve"> </w:t>
            </w:r>
            <w:r w:rsidR="00BC5A6B">
              <w:rPr>
                <w:lang w:eastAsia="fr-FR"/>
              </w:rPr>
              <w:t>;</w:t>
            </w:r>
          </w:p>
          <w:p w14:paraId="0BE3DF39" w14:textId="7D530994" w:rsidR="00A90E53" w:rsidRDefault="00A90E53">
            <w:pPr>
              <w:pStyle w:val="Paragraphedeliste"/>
              <w:numPr>
                <w:ilvl w:val="0"/>
                <w:numId w:val="21"/>
              </w:numPr>
              <w:rPr>
                <w:lang w:eastAsia="fr-FR"/>
              </w:rPr>
            </w:pPr>
            <w:r>
              <w:rPr>
                <w:lang w:eastAsia="fr-FR"/>
              </w:rPr>
              <w:t>Faire un état de conformité tous les 6 mois</w:t>
            </w:r>
            <w:r w:rsidR="00BC5A6B">
              <w:rPr>
                <w:lang w:eastAsia="fr-FR"/>
              </w:rPr>
              <w:t> ;</w:t>
            </w:r>
          </w:p>
          <w:p w14:paraId="3FF756B0" w14:textId="78F8835D" w:rsidR="00A90E53" w:rsidRDefault="00A90E53">
            <w:pPr>
              <w:pStyle w:val="Paragraphedeliste"/>
              <w:numPr>
                <w:ilvl w:val="0"/>
                <w:numId w:val="21"/>
              </w:numPr>
              <w:rPr>
                <w:lang w:eastAsia="fr-FR"/>
              </w:rPr>
            </w:pPr>
            <w:r>
              <w:rPr>
                <w:lang w:eastAsia="fr-FR"/>
              </w:rPr>
              <w:t xml:space="preserve">Prendre en compte les évolutions légales et les risques encourus </w:t>
            </w:r>
            <w:r w:rsidR="00426E81">
              <w:rPr>
                <w:lang w:eastAsia="fr-FR"/>
              </w:rPr>
              <w:t xml:space="preserve">par </w:t>
            </w:r>
            <w:r w:rsidR="00C56DCA">
              <w:rPr>
                <w:lang w:eastAsia="fr-FR"/>
              </w:rPr>
              <w:t>défaut</w:t>
            </w:r>
            <w:r w:rsidR="00426E81">
              <w:rPr>
                <w:lang w:eastAsia="fr-FR"/>
              </w:rPr>
              <w:t xml:space="preserve"> de </w:t>
            </w:r>
            <w:r>
              <w:rPr>
                <w:lang w:eastAsia="fr-FR"/>
              </w:rPr>
              <w:t>conformité</w:t>
            </w:r>
            <w:r w:rsidR="00BC5A6B">
              <w:rPr>
                <w:lang w:eastAsia="fr-FR"/>
              </w:rPr>
              <w:t> ;</w:t>
            </w:r>
          </w:p>
          <w:p w14:paraId="0EC574A2" w14:textId="3F7FCA0C" w:rsidR="00A90E53" w:rsidRDefault="00BC5A6B">
            <w:pPr>
              <w:pStyle w:val="Paragraphedeliste"/>
              <w:numPr>
                <w:ilvl w:val="0"/>
                <w:numId w:val="21"/>
              </w:numPr>
              <w:rPr>
                <w:lang w:eastAsia="fr-FR"/>
              </w:rPr>
            </w:pPr>
            <w:r>
              <w:rPr>
                <w:lang w:eastAsia="fr-FR"/>
              </w:rPr>
              <w:t xml:space="preserve">Réaliser </w:t>
            </w:r>
            <w:r w:rsidR="00A90E53">
              <w:rPr>
                <w:lang w:eastAsia="fr-FR"/>
              </w:rPr>
              <w:t xml:space="preserve">des </w:t>
            </w:r>
            <w:r w:rsidR="00A90E53" w:rsidRPr="00B5346E">
              <w:rPr>
                <w:i/>
                <w:iCs/>
                <w:lang w:eastAsia="fr-FR"/>
              </w:rPr>
              <w:t>benchmarks</w:t>
            </w:r>
            <w:r w:rsidR="00A90E53">
              <w:rPr>
                <w:lang w:eastAsia="fr-FR"/>
              </w:rPr>
              <w:t xml:space="preserve"> réguliers</w:t>
            </w:r>
            <w:r>
              <w:rPr>
                <w:lang w:eastAsia="fr-FR"/>
              </w:rPr>
              <w:t> ;</w:t>
            </w:r>
          </w:p>
          <w:p w14:paraId="48182465" w14:textId="4C9D1DAD" w:rsidR="00A90E53" w:rsidRDefault="00DF3D8B">
            <w:pPr>
              <w:pStyle w:val="Paragraphedeliste"/>
              <w:numPr>
                <w:ilvl w:val="0"/>
                <w:numId w:val="21"/>
              </w:numPr>
              <w:rPr>
                <w:lang w:eastAsia="fr-FR"/>
              </w:rPr>
            </w:pPr>
            <w:r>
              <w:rPr>
                <w:lang w:eastAsia="fr-FR"/>
              </w:rPr>
              <w:t xml:space="preserve">Piloter </w:t>
            </w:r>
            <w:r w:rsidR="00A90E53">
              <w:rPr>
                <w:lang w:eastAsia="fr-FR"/>
              </w:rPr>
              <w:t>l</w:t>
            </w:r>
            <w:r>
              <w:rPr>
                <w:lang w:eastAsia="fr-FR"/>
              </w:rPr>
              <w:t>es dépenses associées à</w:t>
            </w:r>
            <w:r w:rsidR="00A90E53">
              <w:rPr>
                <w:lang w:eastAsia="fr-FR"/>
              </w:rPr>
              <w:t xml:space="preserve"> la démarche</w:t>
            </w:r>
            <w:r w:rsidR="00BC5A6B">
              <w:rPr>
                <w:lang w:eastAsia="fr-FR"/>
              </w:rPr>
              <w:t> ;</w:t>
            </w:r>
          </w:p>
          <w:p w14:paraId="681BE1F8" w14:textId="7F678070" w:rsidR="00A90E53" w:rsidRDefault="00A90E53">
            <w:pPr>
              <w:pStyle w:val="Paragraphedeliste"/>
              <w:numPr>
                <w:ilvl w:val="0"/>
                <w:numId w:val="21"/>
              </w:numPr>
              <w:rPr>
                <w:lang w:eastAsia="fr-FR"/>
              </w:rPr>
            </w:pPr>
            <w:r>
              <w:rPr>
                <w:lang w:eastAsia="fr-FR"/>
              </w:rPr>
              <w:t xml:space="preserve">Charger le </w:t>
            </w:r>
            <w:r w:rsidR="00426E81">
              <w:rPr>
                <w:lang w:eastAsia="fr-FR"/>
              </w:rPr>
              <w:t>r</w:t>
            </w:r>
            <w:r>
              <w:rPr>
                <w:lang w:eastAsia="fr-FR"/>
              </w:rPr>
              <w:t xml:space="preserve">éférent </w:t>
            </w:r>
            <w:r w:rsidR="00230C35" w:rsidRPr="00230C35">
              <w:rPr>
                <w:lang w:eastAsia="fr-FR"/>
              </w:rPr>
              <w:t xml:space="preserve">accessibilité numérique </w:t>
            </w:r>
            <w:r>
              <w:rPr>
                <w:lang w:eastAsia="fr-FR"/>
              </w:rPr>
              <w:t>d'inclure les clauses d'</w:t>
            </w:r>
            <w:r w:rsidR="00230C35" w:rsidRPr="00230C35">
              <w:rPr>
                <w:lang w:eastAsia="fr-FR"/>
              </w:rPr>
              <w:t>accessibilité numérique</w:t>
            </w:r>
            <w:r>
              <w:rPr>
                <w:lang w:eastAsia="fr-FR"/>
              </w:rPr>
              <w:t xml:space="preserve"> dans les contrats d'achats et d'identifier les prestataires capables d'accompagner la mise en œuvre</w:t>
            </w:r>
            <w:r w:rsidR="00A31FAF">
              <w:rPr>
                <w:lang w:eastAsia="fr-FR"/>
              </w:rPr>
              <w:t> ;</w:t>
            </w:r>
          </w:p>
          <w:p w14:paraId="720A8F93" w14:textId="2D72530C" w:rsidR="00A90E53" w:rsidRPr="0058257E" w:rsidRDefault="00A90E53">
            <w:pPr>
              <w:pStyle w:val="Paragraphedeliste"/>
              <w:numPr>
                <w:ilvl w:val="0"/>
                <w:numId w:val="21"/>
              </w:numPr>
              <w:rPr>
                <w:lang w:eastAsia="fr-FR"/>
              </w:rPr>
            </w:pPr>
            <w:r>
              <w:rPr>
                <w:lang w:eastAsia="fr-FR"/>
              </w:rPr>
              <w:t>Donner au référent</w:t>
            </w:r>
            <w:r w:rsidR="00230C35">
              <w:rPr>
                <w:lang w:eastAsia="fr-FR"/>
              </w:rPr>
              <w:t xml:space="preserve"> </w:t>
            </w:r>
            <w:r>
              <w:rPr>
                <w:lang w:eastAsia="fr-FR"/>
              </w:rPr>
              <w:t xml:space="preserve">et </w:t>
            </w:r>
            <w:r w:rsidR="00BC5A6B">
              <w:rPr>
                <w:lang w:eastAsia="fr-FR"/>
              </w:rPr>
              <w:t xml:space="preserve">aux </w:t>
            </w:r>
            <w:r>
              <w:rPr>
                <w:lang w:eastAsia="fr-FR"/>
              </w:rPr>
              <w:t>comités de pilotage des compétences transversale</w:t>
            </w:r>
            <w:r w:rsidR="00BC5A6B">
              <w:rPr>
                <w:lang w:eastAsia="fr-FR"/>
              </w:rPr>
              <w:t>s</w:t>
            </w:r>
            <w:r>
              <w:rPr>
                <w:lang w:eastAsia="fr-FR"/>
              </w:rPr>
              <w:t xml:space="preserve"> : ils doivent pouvoir intervenir dans les services RH, les services de formation, d'</w:t>
            </w:r>
            <w:r w:rsidR="00426E81">
              <w:rPr>
                <w:lang w:eastAsia="fr-FR"/>
              </w:rPr>
              <w:t>a</w:t>
            </w:r>
            <w:r>
              <w:rPr>
                <w:lang w:eastAsia="fr-FR"/>
              </w:rPr>
              <w:t xml:space="preserve">chats </w:t>
            </w:r>
            <w:r w:rsidR="00BC5A6B">
              <w:rPr>
                <w:lang w:eastAsia="fr-FR"/>
              </w:rPr>
              <w:t>etc</w:t>
            </w:r>
            <w:r>
              <w:rPr>
                <w:lang w:eastAsia="fr-FR"/>
              </w:rPr>
              <w:t xml:space="preserve">. </w:t>
            </w:r>
            <w:r w:rsidR="00BC5A6B">
              <w:rPr>
                <w:lang w:eastAsia="fr-FR"/>
              </w:rPr>
              <w:t>Comme ils n’ont pas de pouvoir contraignant,</w:t>
            </w:r>
            <w:r>
              <w:rPr>
                <w:lang w:eastAsia="fr-FR"/>
              </w:rPr>
              <w:t xml:space="preserve"> les référents </w:t>
            </w:r>
            <w:r w:rsidR="00230C35" w:rsidRPr="00230C35">
              <w:rPr>
                <w:lang w:eastAsia="fr-FR"/>
              </w:rPr>
              <w:t>accessibilité numérique</w:t>
            </w:r>
            <w:r>
              <w:rPr>
                <w:lang w:eastAsia="fr-FR"/>
              </w:rPr>
              <w:t xml:space="preserve"> doi</w:t>
            </w:r>
            <w:r w:rsidR="00AE75A3">
              <w:rPr>
                <w:lang w:eastAsia="fr-FR"/>
              </w:rPr>
              <w:t>vent être soutenus par</w:t>
            </w:r>
            <w:r>
              <w:rPr>
                <w:lang w:eastAsia="fr-FR"/>
              </w:rPr>
              <w:t xml:space="preserve"> </w:t>
            </w:r>
            <w:r w:rsidR="00AE75A3">
              <w:rPr>
                <w:lang w:eastAsia="fr-FR"/>
              </w:rPr>
              <w:t xml:space="preserve">les </w:t>
            </w:r>
            <w:r>
              <w:rPr>
                <w:lang w:eastAsia="fr-FR"/>
              </w:rPr>
              <w:t>instances décisionnel</w:t>
            </w:r>
            <w:r w:rsidR="00AE75A3">
              <w:rPr>
                <w:lang w:eastAsia="fr-FR"/>
              </w:rPr>
              <w:t>les</w:t>
            </w:r>
            <w:r>
              <w:rPr>
                <w:lang w:eastAsia="fr-FR"/>
              </w:rPr>
              <w:t>.</w:t>
            </w:r>
          </w:p>
          <w:p w14:paraId="0F80EE32" w14:textId="40665AB7" w:rsidR="0058257E" w:rsidRPr="00C43137" w:rsidRDefault="0058257E" w:rsidP="00064C74">
            <w:pPr>
              <w:jc w:val="right"/>
            </w:pPr>
            <w:r w:rsidRPr="0058257E">
              <w:rPr>
                <w:noProof/>
              </w:rPr>
              <w:drawing>
                <wp:inline distT="0" distB="0" distL="0" distR="0" wp14:anchorId="31B2F39A" wp14:editId="4FC36F8A">
                  <wp:extent cx="5478559" cy="2674989"/>
                  <wp:effectExtent l="0" t="0" r="8255" b="0"/>
                  <wp:docPr id="745167661" name="Image 1" descr="Ce schéma, structuré comme l'architecture d'une maison, présente le cadre de référence de la démarche d’accessibilité à travers quatre niveaux interdépendants : au sommet, l’ambition stratégique définit la vision et l'alignement avec les engagements RSE ; elle s'appuie sur des leviers organisationnels qui précisent les missions de pilotage et d'arbitrage du référent accessibilité. Le déploiement s'articule ensuite autour de trois leviers opérationnels (outillage technique, acculturation interne et gestion des prestataires externes), le tout reposant sur un socle de légitimité indispensable garantissant le soutien de la direction, une gouvernance adaptée et des ressources budgétaires déd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7661" name="Image 1" descr="Ce schéma, structuré comme l'architecture d'une maison, présente le cadre de référence de la démarche d’accessibilité à travers quatre niveaux interdépendants : au sommet, l’ambition stratégique définit la vision et l'alignement avec les engagements RSE ; elle s'appuie sur des leviers organisationnels qui précisent les missions de pilotage et d'arbitrage du référent accessibilité. Le déploiement s'articule ensuite autour de trois leviers opérationnels (outillage technique, acculturation interne et gestion des prestataires externes), le tout reposant sur un socle de légitimité indispensable garantissant le soutien de la direction, une gouvernance adaptée et des ressources budgétaires dédiées."/>
                          <pic:cNvPicPr/>
                        </pic:nvPicPr>
                        <pic:blipFill>
                          <a:blip r:embed="rId21"/>
                          <a:stretch>
                            <a:fillRect/>
                          </a:stretch>
                        </pic:blipFill>
                        <pic:spPr>
                          <a:xfrm>
                            <a:off x="0" y="0"/>
                            <a:ext cx="5480671" cy="2676020"/>
                          </a:xfrm>
                          <a:prstGeom prst="rect">
                            <a:avLst/>
                          </a:prstGeom>
                        </pic:spPr>
                      </pic:pic>
                    </a:graphicData>
                  </a:graphic>
                </wp:inline>
              </w:drawing>
            </w:r>
          </w:p>
        </w:tc>
      </w:tr>
    </w:tbl>
    <w:p w14:paraId="085B37A5" w14:textId="7EE16E8E" w:rsidR="007B2E61" w:rsidRDefault="00D62C23" w:rsidP="007B2E61">
      <w:pPr>
        <w:pStyle w:val="Titre1"/>
      </w:pPr>
      <w:bookmarkStart w:id="55" w:name="_Toc230077019"/>
      <w:r w:rsidRPr="00D62C23">
        <w:lastRenderedPageBreak/>
        <w:t>Piloter et outiller le déploiement de l’Accessibilité numérique</w:t>
      </w:r>
      <w:bookmarkEnd w:id="55"/>
    </w:p>
    <w:p w14:paraId="1017A89A" w14:textId="27A8F0C7" w:rsidR="00D62C23" w:rsidRDefault="00D62C23" w:rsidP="0092554C">
      <w:pPr>
        <w:rPr>
          <w:rFonts w:eastAsia="Times New Roman"/>
        </w:rPr>
      </w:pPr>
      <w:r w:rsidRPr="00D62C23">
        <w:rPr>
          <w:rFonts w:eastAsia="Times New Roman"/>
        </w:rPr>
        <w:t>Prendre en compte l’accessibilité numérique le plus</w:t>
      </w:r>
      <w:r w:rsidR="00F91F85">
        <w:rPr>
          <w:rFonts w:eastAsia="Times New Roman"/>
        </w:rPr>
        <w:t xml:space="preserve"> en</w:t>
      </w:r>
      <w:r w:rsidRPr="00D62C23">
        <w:rPr>
          <w:rFonts w:eastAsia="Times New Roman"/>
        </w:rPr>
        <w:t xml:space="preserve"> amont possible des projets et des processus garantit une démarche </w:t>
      </w:r>
      <w:r w:rsidR="00AE75A3">
        <w:rPr>
          <w:rFonts w:eastAsia="Times New Roman"/>
        </w:rPr>
        <w:t xml:space="preserve">plus </w:t>
      </w:r>
      <w:r w:rsidRPr="00D62C23">
        <w:rPr>
          <w:rFonts w:eastAsia="Times New Roman"/>
        </w:rPr>
        <w:t xml:space="preserve">efficace et moins coûteuse qu’un traitement </w:t>
      </w:r>
      <w:r w:rsidR="001E440D">
        <w:rPr>
          <w:rFonts w:eastAsia="Times New Roman"/>
        </w:rPr>
        <w:t>rétroactif</w:t>
      </w:r>
      <w:r w:rsidRPr="00D62C23">
        <w:rPr>
          <w:rFonts w:eastAsia="Times New Roman"/>
        </w:rPr>
        <w:t xml:space="preserve">. Il est </w:t>
      </w:r>
      <w:r w:rsidR="00A31FAF">
        <w:rPr>
          <w:rFonts w:eastAsia="Times New Roman"/>
        </w:rPr>
        <w:t>ensuite</w:t>
      </w:r>
      <w:r w:rsidR="00B5346E">
        <w:rPr>
          <w:rFonts w:eastAsia="Times New Roman"/>
        </w:rPr>
        <w:t xml:space="preserve"> </w:t>
      </w:r>
      <w:r w:rsidRPr="00D62C23">
        <w:rPr>
          <w:rFonts w:eastAsia="Times New Roman"/>
        </w:rPr>
        <w:t>essentiel de piloter</w:t>
      </w:r>
      <w:r w:rsidR="00426E81">
        <w:rPr>
          <w:rFonts w:eastAsia="Times New Roman"/>
        </w:rPr>
        <w:t xml:space="preserve"> son </w:t>
      </w:r>
      <w:r w:rsidRPr="00D62C23">
        <w:rPr>
          <w:rFonts w:eastAsia="Times New Roman"/>
        </w:rPr>
        <w:t>intégration dans le temps</w:t>
      </w:r>
      <w:r w:rsidR="00AE75A3">
        <w:rPr>
          <w:rFonts w:eastAsia="Times New Roman"/>
        </w:rPr>
        <w:t xml:space="preserve"> et</w:t>
      </w:r>
      <w:r w:rsidRPr="00D62C23">
        <w:rPr>
          <w:rFonts w:eastAsia="Times New Roman"/>
        </w:rPr>
        <w:t xml:space="preserve"> de s’assurer de son application dans les méthodes de travail</w:t>
      </w:r>
      <w:r w:rsidR="00F91F85">
        <w:rPr>
          <w:rFonts w:eastAsia="Times New Roman"/>
        </w:rPr>
        <w:t xml:space="preserve"> ainsi que</w:t>
      </w:r>
      <w:r w:rsidRPr="00D62C23">
        <w:rPr>
          <w:rFonts w:eastAsia="Times New Roman"/>
        </w:rPr>
        <w:t xml:space="preserve"> de son appropriation par les équipes.</w:t>
      </w:r>
      <w:r>
        <w:rPr>
          <w:rFonts w:eastAsia="Times New Roman"/>
        </w:rPr>
        <w:t xml:space="preserve"> </w:t>
      </w:r>
    </w:p>
    <w:p w14:paraId="290FEC48" w14:textId="75C9E0FD" w:rsidR="00D62C23" w:rsidRPr="00F91F85" w:rsidRDefault="00D62C23" w:rsidP="00D62C23">
      <w:pPr>
        <w:pStyle w:val="Titre2"/>
        <w:rPr>
          <w:lang w:val="fr-FR"/>
        </w:rPr>
      </w:pPr>
      <w:bookmarkStart w:id="56" w:name="_Toc230077020"/>
      <w:r w:rsidRPr="00F91F85">
        <w:rPr>
          <w:lang w:val="fr-FR"/>
        </w:rPr>
        <w:t>Intégrer l’accessibilité dans le cycle de vie des projets</w:t>
      </w:r>
      <w:bookmarkEnd w:id="56"/>
    </w:p>
    <w:p w14:paraId="6D1083C8" w14:textId="6EAB5A3E" w:rsidR="00D62C23" w:rsidRPr="00D62C23" w:rsidRDefault="00D62C23" w:rsidP="00D62C23">
      <w:pPr>
        <w:rPr>
          <w:rFonts w:eastAsia="Times New Roman"/>
        </w:rPr>
      </w:pPr>
      <w:r w:rsidRPr="00D62C23">
        <w:rPr>
          <w:rFonts w:eastAsia="Times New Roman"/>
        </w:rPr>
        <w:t xml:space="preserve">Le coût de non-intégration de la démarche </w:t>
      </w:r>
      <w:r w:rsidR="00426E81">
        <w:rPr>
          <w:rFonts w:eastAsia="Times New Roman"/>
        </w:rPr>
        <w:t xml:space="preserve">d’accessibilité </w:t>
      </w:r>
      <w:r w:rsidRPr="00D62C23">
        <w:rPr>
          <w:rFonts w:eastAsia="Times New Roman"/>
        </w:rPr>
        <w:t>est opérationnel avant d’être économique. Les solutions qui proposent d’ajouter post-livrable des configurations accessibles ne garantissent en rien une démarche d’accessibilité aux normes. Elles permettent tout au plus d’</w:t>
      </w:r>
      <w:r w:rsidR="001E440D">
        <w:rPr>
          <w:rFonts w:eastAsia="Times New Roman"/>
        </w:rPr>
        <w:t>obtenir</w:t>
      </w:r>
      <w:r w:rsidRPr="00D62C23">
        <w:rPr>
          <w:rFonts w:eastAsia="Times New Roman"/>
        </w:rPr>
        <w:t xml:space="preserve"> un meilleur confort</w:t>
      </w:r>
      <w:r w:rsidR="00AE75A3">
        <w:rPr>
          <w:rFonts w:eastAsia="Times New Roman"/>
        </w:rPr>
        <w:t>,</w:t>
      </w:r>
      <w:r w:rsidRPr="00D62C23">
        <w:rPr>
          <w:rFonts w:eastAsia="Times New Roman"/>
        </w:rPr>
        <w:t xml:space="preserve"> pour certains utilisateurs seulement, </w:t>
      </w:r>
      <w:r w:rsidR="00AE75A3">
        <w:rPr>
          <w:rFonts w:eastAsia="Times New Roman"/>
        </w:rPr>
        <w:t xml:space="preserve">et </w:t>
      </w:r>
      <w:r w:rsidRPr="00D62C23">
        <w:rPr>
          <w:rFonts w:eastAsia="Times New Roman"/>
        </w:rPr>
        <w:t>sous la forme d</w:t>
      </w:r>
      <w:r w:rsidR="00426E81">
        <w:rPr>
          <w:rFonts w:eastAsia="Times New Roman"/>
        </w:rPr>
        <w:t>’un</w:t>
      </w:r>
      <w:r w:rsidRPr="00D62C23">
        <w:rPr>
          <w:rFonts w:eastAsia="Times New Roman"/>
        </w:rPr>
        <w:t xml:space="preserve"> </w:t>
      </w:r>
      <w:proofErr w:type="spellStart"/>
      <w:r w:rsidRPr="00D62C23">
        <w:rPr>
          <w:rFonts w:eastAsia="Times New Roman"/>
          <w:i/>
          <w:iCs/>
        </w:rPr>
        <w:t>revamping</w:t>
      </w:r>
      <w:proofErr w:type="spellEnd"/>
      <w:r w:rsidRPr="00D62C23">
        <w:rPr>
          <w:rFonts w:eastAsia="Times New Roman"/>
        </w:rPr>
        <w:t xml:space="preserve"> applicatif (c’est-à-dire d’un remodelage applicatif). Mais le risque est que cela soit fait de manière superficielle ou, comme le formule un participant, </w:t>
      </w:r>
      <w:r w:rsidR="00AE75A3">
        <w:rPr>
          <w:rFonts w:eastAsia="Times New Roman"/>
        </w:rPr>
        <w:t xml:space="preserve">que ce </w:t>
      </w:r>
      <w:r w:rsidR="00426E81">
        <w:rPr>
          <w:rFonts w:eastAsia="Times New Roman"/>
        </w:rPr>
        <w:t xml:space="preserve">ne </w:t>
      </w:r>
      <w:r w:rsidR="00AE75A3">
        <w:rPr>
          <w:rFonts w:eastAsia="Times New Roman"/>
        </w:rPr>
        <w:t xml:space="preserve">soit </w:t>
      </w:r>
      <w:r w:rsidR="00426E81">
        <w:rPr>
          <w:rFonts w:eastAsia="Times New Roman"/>
        </w:rPr>
        <w:t>qu’</w:t>
      </w:r>
      <w:r w:rsidR="00AE75A3">
        <w:rPr>
          <w:rFonts w:eastAsia="Times New Roman"/>
        </w:rPr>
        <w:t>un</w:t>
      </w:r>
      <w:r w:rsidRPr="00D62C23">
        <w:rPr>
          <w:rFonts w:eastAsia="Times New Roman"/>
        </w:rPr>
        <w:t xml:space="preserve"> « changement de façade et non de charpente ». En effet, au plan technique, l’accessibilité numérique ne s’effectue pas par surcouche</w:t>
      </w:r>
      <w:r w:rsidR="00AE75A3">
        <w:rPr>
          <w:rFonts w:eastAsia="Times New Roman"/>
        </w:rPr>
        <w:t xml:space="preserve">. Elle se fait soit </w:t>
      </w:r>
      <w:r w:rsidRPr="00D62C23">
        <w:rPr>
          <w:rFonts w:eastAsia="Times New Roman"/>
        </w:rPr>
        <w:t xml:space="preserve">par </w:t>
      </w:r>
      <w:r w:rsidR="00AE75A3">
        <w:rPr>
          <w:rFonts w:eastAsia="Times New Roman"/>
        </w:rPr>
        <w:t xml:space="preserve">une </w:t>
      </w:r>
      <w:r w:rsidRPr="00D62C23">
        <w:rPr>
          <w:rFonts w:eastAsia="Times New Roman"/>
        </w:rPr>
        <w:t>refonte complète</w:t>
      </w:r>
      <w:r w:rsidR="00AE75A3">
        <w:rPr>
          <w:rFonts w:eastAsia="Times New Roman"/>
        </w:rPr>
        <w:t>,</w:t>
      </w:r>
      <w:r w:rsidRPr="00D62C23">
        <w:rPr>
          <w:rFonts w:eastAsia="Times New Roman"/>
        </w:rPr>
        <w:t xml:space="preserve"> </w:t>
      </w:r>
      <w:r w:rsidR="00AE75A3">
        <w:rPr>
          <w:rFonts w:eastAsia="Times New Roman"/>
        </w:rPr>
        <w:t>soit</w:t>
      </w:r>
      <w:r w:rsidR="00AE75A3" w:rsidRPr="00D62C23">
        <w:rPr>
          <w:rFonts w:eastAsia="Times New Roman"/>
        </w:rPr>
        <w:t xml:space="preserve"> </w:t>
      </w:r>
      <w:r w:rsidRPr="00D62C23">
        <w:rPr>
          <w:rFonts w:eastAsia="Times New Roman"/>
        </w:rPr>
        <w:t xml:space="preserve">par </w:t>
      </w:r>
      <w:r w:rsidR="00426E81">
        <w:rPr>
          <w:rFonts w:eastAsia="Times New Roman"/>
        </w:rPr>
        <w:t xml:space="preserve">une </w:t>
      </w:r>
      <w:r w:rsidRPr="00D62C23">
        <w:rPr>
          <w:rFonts w:eastAsia="Times New Roman"/>
        </w:rPr>
        <w:t xml:space="preserve">intégration en continu dans les développements et dans chaque « </w:t>
      </w:r>
      <w:proofErr w:type="spellStart"/>
      <w:r w:rsidRPr="00F91F85">
        <w:rPr>
          <w:rFonts w:eastAsia="Times New Roman"/>
          <w:i/>
          <w:iCs/>
        </w:rPr>
        <w:t>users</w:t>
      </w:r>
      <w:proofErr w:type="spellEnd"/>
      <w:r w:rsidRPr="00F91F85">
        <w:rPr>
          <w:rFonts w:eastAsia="Times New Roman"/>
          <w:i/>
          <w:iCs/>
        </w:rPr>
        <w:t xml:space="preserve"> story</w:t>
      </w:r>
      <w:r w:rsidRPr="00D62C23">
        <w:rPr>
          <w:rFonts w:eastAsia="Times New Roman"/>
        </w:rPr>
        <w:t xml:space="preserve"> »</w:t>
      </w:r>
      <w:r w:rsidR="00AE75A3">
        <w:rPr>
          <w:rFonts w:eastAsia="Times New Roman"/>
        </w:rPr>
        <w:t>,</w:t>
      </w:r>
      <w:r w:rsidRPr="00D62C23">
        <w:rPr>
          <w:rFonts w:eastAsia="Times New Roman"/>
        </w:rPr>
        <w:t xml:space="preserve"> </w:t>
      </w:r>
      <w:r w:rsidR="00426E81">
        <w:rPr>
          <w:rFonts w:eastAsia="Times New Roman"/>
        </w:rPr>
        <w:t>que ce soit</w:t>
      </w:r>
      <w:r w:rsidRPr="00D62C23">
        <w:rPr>
          <w:rFonts w:eastAsia="Times New Roman"/>
        </w:rPr>
        <w:t xml:space="preserve"> pour les tâches </w:t>
      </w:r>
      <w:proofErr w:type="spellStart"/>
      <w:r w:rsidRPr="00D62C23">
        <w:rPr>
          <w:rFonts w:eastAsia="Times New Roman"/>
          <w:i/>
          <w:iCs/>
        </w:rPr>
        <w:t>front-end</w:t>
      </w:r>
      <w:proofErr w:type="spellEnd"/>
      <w:r w:rsidRPr="00D62C23">
        <w:rPr>
          <w:rFonts w:eastAsia="Times New Roman"/>
        </w:rPr>
        <w:t xml:space="preserve"> (interface visible) </w:t>
      </w:r>
      <w:r w:rsidR="00C56DCA">
        <w:rPr>
          <w:rFonts w:eastAsia="Times New Roman"/>
        </w:rPr>
        <w:t>ou</w:t>
      </w:r>
      <w:r w:rsidRPr="00D62C23">
        <w:rPr>
          <w:rFonts w:eastAsia="Times New Roman"/>
        </w:rPr>
        <w:t xml:space="preserve"> </w:t>
      </w:r>
      <w:proofErr w:type="spellStart"/>
      <w:r w:rsidRPr="00D62C23">
        <w:rPr>
          <w:rFonts w:eastAsia="Times New Roman"/>
          <w:i/>
          <w:iCs/>
        </w:rPr>
        <w:t>back-end</w:t>
      </w:r>
      <w:proofErr w:type="spellEnd"/>
      <w:r w:rsidR="00AE75A3">
        <w:rPr>
          <w:rFonts w:eastAsia="Times New Roman"/>
          <w:i/>
          <w:iCs/>
        </w:rPr>
        <w:t>.</w:t>
      </w:r>
      <w:r w:rsidRPr="00D62C23">
        <w:rPr>
          <w:rFonts w:eastAsia="Times New Roman"/>
        </w:rPr>
        <w:t xml:space="preserve"> </w:t>
      </w:r>
    </w:p>
    <w:p w14:paraId="31BCFE25" w14:textId="391558E7" w:rsidR="00D62C23" w:rsidRDefault="00D62C23" w:rsidP="00D62C23">
      <w:pPr>
        <w:rPr>
          <w:rFonts w:eastAsia="Times New Roman"/>
        </w:rPr>
      </w:pPr>
      <w:r w:rsidRPr="00D62C23">
        <w:rPr>
          <w:rFonts w:eastAsia="Times New Roman"/>
        </w:rPr>
        <w:t>Pour traiter du cycle de vie des projets de manière exhaustive, trois</w:t>
      </w:r>
      <w:r w:rsidR="00F91F85">
        <w:rPr>
          <w:rFonts w:eastAsia="Times New Roman"/>
        </w:rPr>
        <w:t xml:space="preserve"> dimensions </w:t>
      </w:r>
      <w:r w:rsidRPr="00D62C23">
        <w:rPr>
          <w:rFonts w:eastAsia="Times New Roman"/>
        </w:rPr>
        <w:t>sont donc à considérer</w:t>
      </w:r>
      <w:r w:rsidR="00A50699">
        <w:rPr>
          <w:rFonts w:eastAsia="Times New Roman"/>
        </w:rPr>
        <w:t> </w:t>
      </w:r>
      <w:r w:rsidRPr="00D62C23">
        <w:rPr>
          <w:rFonts w:eastAsia="Times New Roman"/>
        </w:rPr>
        <w:t>: la gestion d</w:t>
      </w:r>
      <w:r w:rsidR="00426E81">
        <w:rPr>
          <w:rFonts w:eastAsia="Times New Roman"/>
        </w:rPr>
        <w:t>e l’existant</w:t>
      </w:r>
      <w:r w:rsidRPr="00D62C23">
        <w:rPr>
          <w:rFonts w:eastAsia="Times New Roman"/>
        </w:rPr>
        <w:t xml:space="preserve"> « </w:t>
      </w:r>
      <w:proofErr w:type="spellStart"/>
      <w:r w:rsidRPr="00F91F85">
        <w:rPr>
          <w:rFonts w:eastAsia="Times New Roman"/>
          <w:b/>
          <w:bCs/>
          <w:i/>
          <w:iCs/>
        </w:rPr>
        <w:t>legacy</w:t>
      </w:r>
      <w:proofErr w:type="spellEnd"/>
      <w:r w:rsidRPr="00D62C23">
        <w:rPr>
          <w:rFonts w:eastAsia="Times New Roman"/>
        </w:rPr>
        <w:t xml:space="preserve"> », l’intégration </w:t>
      </w:r>
      <w:r w:rsidR="00426E81">
        <w:rPr>
          <w:rFonts w:eastAsia="Times New Roman"/>
        </w:rPr>
        <w:t xml:space="preserve">par conception </w:t>
      </w:r>
      <w:r w:rsidRPr="00D62C23">
        <w:rPr>
          <w:rFonts w:eastAsia="Times New Roman"/>
        </w:rPr>
        <w:t xml:space="preserve">« </w:t>
      </w:r>
      <w:r w:rsidRPr="00F91F85">
        <w:rPr>
          <w:rFonts w:eastAsia="Times New Roman"/>
          <w:b/>
          <w:bCs/>
          <w:i/>
          <w:iCs/>
        </w:rPr>
        <w:t>by design</w:t>
      </w:r>
      <w:r w:rsidRPr="00D62C23">
        <w:rPr>
          <w:rFonts w:eastAsia="Times New Roman"/>
        </w:rPr>
        <w:t xml:space="preserve"> » et le pilotage </w:t>
      </w:r>
      <w:r w:rsidRPr="00D62C23">
        <w:rPr>
          <w:rFonts w:eastAsia="Times New Roman"/>
          <w:b/>
          <w:bCs/>
        </w:rPr>
        <w:t>dans la durée</w:t>
      </w:r>
      <w:r w:rsidRPr="00D62C23">
        <w:rPr>
          <w:rFonts w:eastAsia="Times New Roman"/>
        </w:rPr>
        <w:t>.</w:t>
      </w:r>
      <w:r>
        <w:rPr>
          <w:rFonts w:eastAsia="Times New Roman"/>
        </w:rPr>
        <w:t xml:space="preserve"> </w:t>
      </w:r>
    </w:p>
    <w:p w14:paraId="785C8E23" w14:textId="77777777" w:rsidR="00D62C23" w:rsidRDefault="00D62C23" w:rsidP="00D62C23">
      <w:pPr>
        <w:pStyle w:val="Titre3"/>
      </w:pPr>
      <w:bookmarkStart w:id="57" w:name="_Toc230077021"/>
      <w:r>
        <w:t xml:space="preserve">Gestion du </w:t>
      </w:r>
      <w:r w:rsidRPr="002A1235">
        <w:t>legacy</w:t>
      </w:r>
      <w:bookmarkEnd w:id="57"/>
    </w:p>
    <w:p w14:paraId="217306BF" w14:textId="08CD0B95" w:rsidR="00D62C23" w:rsidRPr="00D62C23" w:rsidRDefault="00D62C23" w:rsidP="00D62C23">
      <w:pPr>
        <w:rPr>
          <w:rFonts w:eastAsia="Times New Roman"/>
        </w:rPr>
      </w:pPr>
      <w:r w:rsidRPr="00D62C23">
        <w:rPr>
          <w:rFonts w:eastAsia="Times New Roman"/>
        </w:rPr>
        <w:t xml:space="preserve">Le déploiement de la gouvernance dédiée à l’accessibilité numérique doit </w:t>
      </w:r>
      <w:r w:rsidR="00AE75A3">
        <w:rPr>
          <w:rFonts w:eastAsia="Times New Roman"/>
        </w:rPr>
        <w:t>être à la fois</w:t>
      </w:r>
      <w:r w:rsidRPr="00D62C23">
        <w:rPr>
          <w:rFonts w:eastAsia="Times New Roman"/>
        </w:rPr>
        <w:t xml:space="preserve"> global et transverse au sein de l’organisation. L’harmonisation du niveau d’accessibilité des actifs numériques </w:t>
      </w:r>
      <w:r w:rsidR="00914DEC">
        <w:rPr>
          <w:rFonts w:eastAsia="Times New Roman"/>
        </w:rPr>
        <w:t>nécessite d’intégrer au</w:t>
      </w:r>
      <w:r w:rsidR="00914DEC" w:rsidRPr="00D62C23">
        <w:rPr>
          <w:rFonts w:eastAsia="Times New Roman"/>
        </w:rPr>
        <w:t xml:space="preserve"> schéma pluriannuel </w:t>
      </w:r>
      <w:r w:rsidRPr="00D62C23">
        <w:rPr>
          <w:rFonts w:eastAsia="Times New Roman"/>
        </w:rPr>
        <w:t>une gestion propre au</w:t>
      </w:r>
      <w:r w:rsidR="00A50699">
        <w:rPr>
          <w:rFonts w:eastAsia="Times New Roman"/>
        </w:rPr>
        <w:t>x</w:t>
      </w:r>
      <w:r w:rsidRPr="00D62C23">
        <w:rPr>
          <w:rFonts w:eastAsia="Times New Roman"/>
        </w:rPr>
        <w:t xml:space="preserve"> </w:t>
      </w:r>
      <w:r w:rsidR="00A50699" w:rsidRPr="00A50699">
        <w:rPr>
          <w:rFonts w:eastAsia="Times New Roman"/>
        </w:rPr>
        <w:t xml:space="preserve">systèmes existants </w:t>
      </w:r>
      <w:r w:rsidR="00A50699">
        <w:rPr>
          <w:rFonts w:eastAsia="Times New Roman"/>
        </w:rPr>
        <w:t xml:space="preserve">ou </w:t>
      </w:r>
      <w:proofErr w:type="spellStart"/>
      <w:r w:rsidRPr="00F91F85">
        <w:rPr>
          <w:rFonts w:eastAsia="Times New Roman"/>
          <w:i/>
          <w:iCs/>
        </w:rPr>
        <w:t>legacy</w:t>
      </w:r>
      <w:proofErr w:type="spellEnd"/>
      <w:r w:rsidRPr="00D62C23">
        <w:rPr>
          <w:rFonts w:eastAsia="Times New Roman"/>
        </w:rPr>
        <w:t xml:space="preserve">, prenant en compte le cycle de vie des projets. </w:t>
      </w:r>
    </w:p>
    <w:p w14:paraId="10E30C8F" w14:textId="2CF414D3" w:rsidR="00D62C23" w:rsidRDefault="00D62C23" w:rsidP="00D62C23">
      <w:pPr>
        <w:rPr>
          <w:rFonts w:eastAsia="Times New Roman"/>
        </w:rPr>
      </w:pPr>
      <w:r w:rsidRPr="00D62C23">
        <w:rPr>
          <w:rFonts w:eastAsia="Times New Roman"/>
        </w:rPr>
        <w:t xml:space="preserve">L'intégration de l'accessibilité dans les systèmes existants, nécessite de plonger dans l’architecture des systèmes pour identifier les points d’achoppement : documentations manquantes ou </w:t>
      </w:r>
      <w:proofErr w:type="spellStart"/>
      <w:r w:rsidRPr="00F91F85">
        <w:rPr>
          <w:rFonts w:eastAsia="Times New Roman"/>
          <w:i/>
          <w:iCs/>
        </w:rPr>
        <w:t>frameworks</w:t>
      </w:r>
      <w:proofErr w:type="spellEnd"/>
      <w:r w:rsidRPr="00F91F85">
        <w:rPr>
          <w:rFonts w:eastAsia="Times New Roman"/>
          <w:i/>
          <w:iCs/>
        </w:rPr>
        <w:t xml:space="preserve"> </w:t>
      </w:r>
      <w:r w:rsidRPr="00D62C23">
        <w:rPr>
          <w:rFonts w:eastAsia="Times New Roman"/>
        </w:rPr>
        <w:t>obsolètes, flux de données et processus métiers critiques</w:t>
      </w:r>
      <w:r w:rsidR="002A1235">
        <w:rPr>
          <w:rFonts w:eastAsia="Times New Roman"/>
        </w:rPr>
        <w:t>, etc.</w:t>
      </w:r>
      <w:r w:rsidRPr="00D62C23">
        <w:rPr>
          <w:rFonts w:eastAsia="Times New Roman"/>
        </w:rPr>
        <w:t xml:space="preserve"> Toute la difficulté est de trouver le </w:t>
      </w:r>
      <w:r w:rsidRPr="00D62C23">
        <w:rPr>
          <w:rFonts w:eastAsia="Times New Roman"/>
          <w:b/>
          <w:bCs/>
        </w:rPr>
        <w:t>juste arbitrage</w:t>
      </w:r>
      <w:r w:rsidRPr="00D62C23">
        <w:rPr>
          <w:rFonts w:eastAsia="Times New Roman"/>
        </w:rPr>
        <w:t xml:space="preserve"> entre une </w:t>
      </w:r>
      <w:r w:rsidRPr="00D62C23">
        <w:rPr>
          <w:rFonts w:eastAsia="Times New Roman"/>
          <w:b/>
          <w:bCs/>
        </w:rPr>
        <w:t>maintenance corrective</w:t>
      </w:r>
      <w:r w:rsidRPr="00D62C23">
        <w:rPr>
          <w:rFonts w:eastAsia="Times New Roman"/>
        </w:rPr>
        <w:t xml:space="preserve">, qui permettrait d’assurer un certain degré de conformité grâce à des patchs et correctifs minimaux et réguliers, et une </w:t>
      </w:r>
      <w:r w:rsidRPr="00D62C23">
        <w:rPr>
          <w:rFonts w:eastAsia="Times New Roman"/>
          <w:b/>
          <w:bCs/>
        </w:rPr>
        <w:t>refonte complète</w:t>
      </w:r>
      <w:r w:rsidRPr="00D62C23">
        <w:rPr>
          <w:rFonts w:eastAsia="Times New Roman"/>
        </w:rPr>
        <w:t xml:space="preserve"> qui permettrait d’intégrer nativement et plus facilement les critères d'accessibilité. La première solution</w:t>
      </w:r>
      <w:r w:rsidR="00800C40">
        <w:rPr>
          <w:rFonts w:eastAsia="Times New Roman"/>
        </w:rPr>
        <w:t>,</w:t>
      </w:r>
      <w:r w:rsidRPr="00D62C23">
        <w:rPr>
          <w:rFonts w:eastAsia="Times New Roman"/>
        </w:rPr>
        <w:t xml:space="preserve"> moins coûteuse à court terme</w:t>
      </w:r>
      <w:r w:rsidR="00800C40">
        <w:rPr>
          <w:rFonts w:eastAsia="Times New Roman"/>
        </w:rPr>
        <w:t>,</w:t>
      </w:r>
      <w:r w:rsidRPr="00D62C23">
        <w:rPr>
          <w:rFonts w:eastAsia="Times New Roman"/>
        </w:rPr>
        <w:t xml:space="preserve"> </w:t>
      </w:r>
      <w:r w:rsidR="002A1235">
        <w:rPr>
          <w:rFonts w:eastAsia="Times New Roman"/>
        </w:rPr>
        <w:t xml:space="preserve">risque de </w:t>
      </w:r>
      <w:r w:rsidR="00426E81">
        <w:rPr>
          <w:rFonts w:eastAsia="Times New Roman"/>
        </w:rPr>
        <w:t>le devenir</w:t>
      </w:r>
      <w:r w:rsidRPr="00D62C23">
        <w:rPr>
          <w:rFonts w:eastAsia="Times New Roman"/>
        </w:rPr>
        <w:t xml:space="preserve"> à long terme, tandis que la deuxième nécessite un investissement </w:t>
      </w:r>
      <w:r w:rsidR="002A1235">
        <w:rPr>
          <w:rFonts w:eastAsia="Times New Roman"/>
        </w:rPr>
        <w:t>de départ conséquent</w:t>
      </w:r>
      <w:r w:rsidRPr="00D62C23">
        <w:rPr>
          <w:rFonts w:eastAsia="Times New Roman"/>
        </w:rPr>
        <w:t xml:space="preserve">, mais qui </w:t>
      </w:r>
      <w:r w:rsidR="002A1235">
        <w:rPr>
          <w:rFonts w:eastAsia="Times New Roman"/>
        </w:rPr>
        <w:t>peut être</w:t>
      </w:r>
      <w:r w:rsidR="002A1235" w:rsidRPr="00D62C23">
        <w:rPr>
          <w:rFonts w:eastAsia="Times New Roman"/>
        </w:rPr>
        <w:t xml:space="preserve"> </w:t>
      </w:r>
      <w:r w:rsidRPr="00D62C23">
        <w:rPr>
          <w:rFonts w:eastAsia="Times New Roman"/>
        </w:rPr>
        <w:t xml:space="preserve">rentabilisé sur le moyen-long terme, et </w:t>
      </w:r>
      <w:r w:rsidR="00426E81">
        <w:rPr>
          <w:rFonts w:eastAsia="Times New Roman"/>
        </w:rPr>
        <w:t xml:space="preserve">faire </w:t>
      </w:r>
      <w:r w:rsidRPr="00D62C23">
        <w:rPr>
          <w:rFonts w:eastAsia="Times New Roman"/>
        </w:rPr>
        <w:t>diminuer</w:t>
      </w:r>
      <w:r w:rsidR="00F91F85">
        <w:rPr>
          <w:rFonts w:eastAsia="Times New Roman"/>
        </w:rPr>
        <w:t xml:space="preserve"> </w:t>
      </w:r>
      <w:r w:rsidRPr="00D62C23">
        <w:rPr>
          <w:rFonts w:eastAsia="Times New Roman"/>
        </w:rPr>
        <w:t>rapidement les coûts de production. Le choix entre ces deux solutions dépendra des contextes organisationnels et de la criticité des services.</w:t>
      </w: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D62C23" w:rsidRPr="00C43137" w14:paraId="3B39C7C8" w14:textId="77777777" w:rsidTr="007A2D60">
        <w:trPr>
          <w:jc w:val="center"/>
        </w:trPr>
        <w:tc>
          <w:tcPr>
            <w:tcW w:w="9047" w:type="dxa"/>
            <w:tcBorders>
              <w:left w:val="single" w:sz="18" w:space="0" w:color="155E48"/>
            </w:tcBorders>
            <w:shd w:val="clear" w:color="auto" w:fill="F2F2F2" w:themeFill="background1" w:themeFillShade="F2"/>
          </w:tcPr>
          <w:p w14:paraId="3DED02AB" w14:textId="77777777" w:rsidR="00D62C23" w:rsidRPr="00D62C23" w:rsidRDefault="00D62C23" w:rsidP="00D62C23">
            <w:pPr>
              <w:pStyle w:val="TitreEncart"/>
            </w:pPr>
            <w:bookmarkStart w:id="58" w:name="_Toc230257732"/>
            <w:r w:rsidRPr="00D62C23">
              <w:rPr>
                <w:bCs/>
              </w:rPr>
              <w:lastRenderedPageBreak/>
              <w:t>REX Direction du numérique des Ministères de la Transition écologique et Aménagement des territoires</w:t>
            </w:r>
            <w:bookmarkEnd w:id="58"/>
          </w:p>
          <w:p w14:paraId="488C2D37" w14:textId="77777777" w:rsidR="00D62C23" w:rsidRPr="00D62C23" w:rsidRDefault="00D62C23" w:rsidP="0033608D">
            <w:pPr>
              <w:pStyle w:val="TitreencartREX"/>
            </w:pPr>
            <w:r w:rsidRPr="00D62C23">
              <w:t>Quelques actions prioritaires pour la refonte d’un site</w:t>
            </w:r>
          </w:p>
          <w:p w14:paraId="6A350142" w14:textId="65AB4E67" w:rsidR="00D62C23" w:rsidRPr="00D62C23" w:rsidRDefault="00F755EB" w:rsidP="00D62C23">
            <w:pPr>
              <w:rPr>
                <w:lang w:eastAsia="fr-FR"/>
              </w:rPr>
            </w:pPr>
            <w:r>
              <w:rPr>
                <w:lang w:eastAsia="fr-FR"/>
              </w:rPr>
              <w:t xml:space="preserve">« </w:t>
            </w:r>
            <w:r w:rsidR="00D62C23" w:rsidRPr="00D62C23">
              <w:rPr>
                <w:lang w:eastAsia="fr-FR"/>
              </w:rPr>
              <w:t xml:space="preserve">Dans l’éventualité où </w:t>
            </w:r>
            <w:r w:rsidR="00B23DCE">
              <w:rPr>
                <w:lang w:eastAsia="fr-FR"/>
              </w:rPr>
              <w:t>la</w:t>
            </w:r>
            <w:r w:rsidR="00B23DCE" w:rsidRPr="00D62C23">
              <w:rPr>
                <w:lang w:eastAsia="fr-FR"/>
              </w:rPr>
              <w:t xml:space="preserve"> </w:t>
            </w:r>
            <w:r w:rsidR="00D62C23" w:rsidRPr="00D62C23">
              <w:rPr>
                <w:lang w:eastAsia="fr-FR"/>
              </w:rPr>
              <w:t>refonte d</w:t>
            </w:r>
            <w:r w:rsidR="00B23DCE">
              <w:rPr>
                <w:lang w:eastAsia="fr-FR"/>
              </w:rPr>
              <w:t>’</w:t>
            </w:r>
            <w:r w:rsidR="002A1235">
              <w:rPr>
                <w:lang w:eastAsia="fr-FR"/>
              </w:rPr>
              <w:t>un</w:t>
            </w:r>
            <w:r w:rsidR="00D62C23" w:rsidRPr="00D62C23">
              <w:rPr>
                <w:lang w:eastAsia="fr-FR"/>
              </w:rPr>
              <w:t xml:space="preserve"> site ou d’une application est jugée nécessaire pour atteindre sa conformité, les agents de l’équipe </w:t>
            </w:r>
            <w:r w:rsidR="002A1235">
              <w:rPr>
                <w:lang w:eastAsia="fr-FR"/>
              </w:rPr>
              <w:t xml:space="preserve">« </w:t>
            </w:r>
            <w:r w:rsidR="00D62C23" w:rsidRPr="00D62C23">
              <w:rPr>
                <w:lang w:eastAsia="fr-FR"/>
              </w:rPr>
              <w:t>Handi &amp; numérique</w:t>
            </w:r>
            <w:r w:rsidR="002A1235">
              <w:rPr>
                <w:lang w:eastAsia="fr-FR"/>
              </w:rPr>
              <w:t xml:space="preserve"> »</w:t>
            </w:r>
            <w:r w:rsidR="00D62C23" w:rsidRPr="00D62C23">
              <w:rPr>
                <w:lang w:eastAsia="fr-FR"/>
              </w:rPr>
              <w:t xml:space="preserve"> engagent une démarche en trois axes, garantissant l'intégration de l'accessibilité dès la conception :</w:t>
            </w:r>
          </w:p>
          <w:p w14:paraId="2B00D8F2" w14:textId="0E3F8231" w:rsidR="00D62C23" w:rsidRDefault="00D62C23">
            <w:pPr>
              <w:pStyle w:val="Paragraphedeliste"/>
              <w:numPr>
                <w:ilvl w:val="0"/>
                <w:numId w:val="72"/>
              </w:numPr>
              <w:rPr>
                <w:lang w:eastAsia="fr-FR"/>
              </w:rPr>
            </w:pPr>
            <w:r w:rsidRPr="00D62C23">
              <w:rPr>
                <w:lang w:eastAsia="fr-FR"/>
              </w:rPr>
              <w:t xml:space="preserve">Commencer par une </w:t>
            </w:r>
            <w:r w:rsidRPr="00D62C23">
              <w:rPr>
                <w:b/>
                <w:bCs/>
                <w:lang w:eastAsia="fr-FR"/>
              </w:rPr>
              <w:t xml:space="preserve">étude stratégique avec une approche UX/UI, </w:t>
            </w:r>
            <w:r w:rsidRPr="00D62C23">
              <w:rPr>
                <w:lang w:eastAsia="fr-FR"/>
              </w:rPr>
              <w:t xml:space="preserve">en définissant des </w:t>
            </w:r>
            <w:r w:rsidRPr="00D62C23">
              <w:rPr>
                <w:i/>
                <w:iCs/>
                <w:lang w:eastAsia="fr-FR"/>
              </w:rPr>
              <w:t xml:space="preserve">personae </w:t>
            </w:r>
            <w:r w:rsidRPr="00D62C23">
              <w:rPr>
                <w:lang w:eastAsia="fr-FR"/>
              </w:rPr>
              <w:t>reflétant la diversité des utilisateurs et de leurs handicaps,</w:t>
            </w:r>
            <w:r w:rsidRPr="00D62C23">
              <w:rPr>
                <w:i/>
                <w:iCs/>
                <w:lang w:eastAsia="fr-FR"/>
              </w:rPr>
              <w:t xml:space="preserve"> </w:t>
            </w:r>
            <w:r w:rsidRPr="00D62C23">
              <w:rPr>
                <w:lang w:eastAsia="fr-FR"/>
              </w:rPr>
              <w:t>et les impacts sur les interfaces à concevoir (développement particulier des couleurs, des contrastes etc.)</w:t>
            </w:r>
            <w:r w:rsidR="00624E7E">
              <w:rPr>
                <w:lang w:eastAsia="fr-FR"/>
              </w:rPr>
              <w:t xml:space="preserve"> </w:t>
            </w:r>
            <w:r w:rsidRPr="00D62C23">
              <w:rPr>
                <w:lang w:eastAsia="fr-FR"/>
              </w:rPr>
              <w:t>;</w:t>
            </w:r>
          </w:p>
          <w:p w14:paraId="1E5749BA" w14:textId="77777777" w:rsidR="00C56DCA" w:rsidRPr="00D62C23" w:rsidRDefault="00C56DCA" w:rsidP="00C56DCA">
            <w:pPr>
              <w:pStyle w:val="Paragraphedeliste"/>
              <w:ind w:left="360"/>
              <w:rPr>
                <w:lang w:eastAsia="fr-FR"/>
              </w:rPr>
            </w:pPr>
          </w:p>
          <w:p w14:paraId="5A8F900F" w14:textId="65DDCD06" w:rsidR="00D62C23" w:rsidRDefault="00D62C23">
            <w:pPr>
              <w:pStyle w:val="Paragraphedeliste"/>
              <w:numPr>
                <w:ilvl w:val="0"/>
                <w:numId w:val="72"/>
              </w:numPr>
              <w:rPr>
                <w:lang w:eastAsia="fr-FR"/>
              </w:rPr>
            </w:pPr>
            <w:r w:rsidRPr="00D62C23">
              <w:rPr>
                <w:b/>
                <w:bCs/>
                <w:lang w:eastAsia="fr-FR"/>
              </w:rPr>
              <w:t xml:space="preserve">Utilisation du </w:t>
            </w:r>
            <w:r w:rsidRPr="00D62C23">
              <w:rPr>
                <w:b/>
                <w:bCs/>
                <w:i/>
                <w:iCs/>
                <w:lang w:eastAsia="fr-FR"/>
              </w:rPr>
              <w:t>Design System</w:t>
            </w:r>
            <w:r w:rsidRPr="00D62C23">
              <w:rPr>
                <w:b/>
                <w:bCs/>
                <w:lang w:eastAsia="fr-FR"/>
              </w:rPr>
              <w:t xml:space="preserve"> de l’</w:t>
            </w:r>
            <w:r w:rsidR="002D28EF">
              <w:rPr>
                <w:b/>
                <w:bCs/>
                <w:lang w:eastAsia="fr-FR"/>
              </w:rPr>
              <w:t>É</w:t>
            </w:r>
            <w:r w:rsidRPr="00D62C23">
              <w:rPr>
                <w:b/>
                <w:bCs/>
                <w:lang w:eastAsia="fr-FR"/>
              </w:rPr>
              <w:t>tat</w:t>
            </w:r>
            <w:r w:rsidR="00C56DCA">
              <w:rPr>
                <w:rStyle w:val="Appelnotedebasdep"/>
                <w:b/>
                <w:bCs/>
                <w:lang w:eastAsia="fr-FR"/>
              </w:rPr>
              <w:footnoteReference w:id="20"/>
            </w:r>
            <w:r w:rsidRPr="00D62C23">
              <w:rPr>
                <w:lang w:eastAsia="fr-FR"/>
              </w:rPr>
              <w:t xml:space="preserve">, gage de qualité et d’uniformité entre tous les sites en </w:t>
            </w:r>
            <w:proofErr w:type="gramStart"/>
            <w:r w:rsidR="00B23DCE">
              <w:rPr>
                <w:lang w:eastAsia="fr-FR"/>
              </w:rPr>
              <w:t>«</w:t>
            </w:r>
            <w:r w:rsidR="00B5346E">
              <w:rPr>
                <w:lang w:eastAsia="fr-FR"/>
              </w:rPr>
              <w:t> </w:t>
            </w:r>
            <w:r w:rsidRPr="00D62C23">
              <w:rPr>
                <w:i/>
                <w:iCs/>
                <w:lang w:eastAsia="fr-FR"/>
              </w:rPr>
              <w:t>.</w:t>
            </w:r>
            <w:proofErr w:type="spellStart"/>
            <w:r w:rsidRPr="00D62C23">
              <w:rPr>
                <w:i/>
                <w:iCs/>
                <w:lang w:eastAsia="fr-FR"/>
              </w:rPr>
              <w:t>gouv</w:t>
            </w:r>
            <w:proofErr w:type="spellEnd"/>
            <w:proofErr w:type="gramEnd"/>
            <w:r w:rsidR="00B23DCE">
              <w:rPr>
                <w:i/>
                <w:iCs/>
                <w:lang w:eastAsia="fr-FR"/>
              </w:rPr>
              <w:t xml:space="preserve"> »</w:t>
            </w:r>
            <w:r w:rsidRPr="00D62C23">
              <w:rPr>
                <w:lang w:eastAsia="fr-FR"/>
              </w:rPr>
              <w:t xml:space="preserve"> et certains opérateurs de l’État comme Pôle Emploi ou la CNSA. Les standards de ce </w:t>
            </w:r>
            <w:r w:rsidRPr="00D62C23">
              <w:rPr>
                <w:i/>
                <w:iCs/>
                <w:lang w:eastAsia="fr-FR"/>
              </w:rPr>
              <w:t>Design System</w:t>
            </w:r>
            <w:r w:rsidRPr="00D62C23">
              <w:rPr>
                <w:lang w:eastAsia="fr-FR"/>
              </w:rPr>
              <w:t xml:space="preserve"> int</w:t>
            </w:r>
            <w:r w:rsidR="00B5346E">
              <w:rPr>
                <w:lang w:eastAsia="fr-FR"/>
              </w:rPr>
              <w:t>è</w:t>
            </w:r>
            <w:r w:rsidRPr="00D62C23">
              <w:rPr>
                <w:lang w:eastAsia="fr-FR"/>
              </w:rPr>
              <w:t>gr</w:t>
            </w:r>
            <w:r w:rsidR="00800C40">
              <w:rPr>
                <w:lang w:eastAsia="fr-FR"/>
              </w:rPr>
              <w:t>e</w:t>
            </w:r>
            <w:r w:rsidRPr="00D62C23">
              <w:rPr>
                <w:lang w:eastAsia="fr-FR"/>
              </w:rPr>
              <w:t>nt l'accessibilité par défaut dans tous ses composants (boutons, formulaires, navigation, etc.), assur</w:t>
            </w:r>
            <w:r w:rsidR="00800C40">
              <w:rPr>
                <w:lang w:eastAsia="fr-FR"/>
              </w:rPr>
              <w:t>ant</w:t>
            </w:r>
            <w:r w:rsidRPr="00D62C23">
              <w:rPr>
                <w:lang w:eastAsia="fr-FR"/>
              </w:rPr>
              <w:t xml:space="preserve"> ainsi une note de conformité élevée dès le début du développement. C'est, en outre, l'outil le plus efficace pour industrialiser l'accessibilité et la déployer à l'échelle.</w:t>
            </w:r>
          </w:p>
          <w:p w14:paraId="3266155E" w14:textId="77777777" w:rsidR="00C56DCA" w:rsidRPr="00D62C23" w:rsidRDefault="00C56DCA" w:rsidP="00C56DCA">
            <w:pPr>
              <w:pStyle w:val="Paragraphedeliste"/>
              <w:ind w:left="360"/>
              <w:rPr>
                <w:lang w:eastAsia="fr-FR"/>
              </w:rPr>
            </w:pPr>
          </w:p>
          <w:p w14:paraId="5096689D" w14:textId="11583A63" w:rsidR="00D62C23" w:rsidRPr="00D62C23" w:rsidRDefault="00D62C23">
            <w:pPr>
              <w:pStyle w:val="Paragraphedeliste"/>
              <w:numPr>
                <w:ilvl w:val="0"/>
                <w:numId w:val="72"/>
              </w:numPr>
              <w:rPr>
                <w:lang w:eastAsia="fr-FR"/>
              </w:rPr>
            </w:pPr>
            <w:r w:rsidRPr="00D62C23">
              <w:rPr>
                <w:b/>
                <w:bCs/>
                <w:lang w:eastAsia="fr-FR"/>
              </w:rPr>
              <w:t>Évaluation continue par les utilisateurs en situation de handicap</w:t>
            </w:r>
            <w:r w:rsidRPr="00D62C23">
              <w:rPr>
                <w:lang w:eastAsia="fr-FR"/>
              </w:rPr>
              <w:t xml:space="preserve"> : dès les premières phases de conception et à chaque itération du produit, des personnes en situation de handicap sont activement sollicitées pour évaluer le service. Cette démarche est essentielle car elle révèle les difficultés d'usage qui ne sont pas toujours détectées par les audits de conformité basés sur le RGAA. </w:t>
            </w:r>
            <w:r w:rsidRPr="00D62C23">
              <w:rPr>
                <w:b/>
                <w:bCs/>
                <w:lang w:eastAsia="fr-FR"/>
              </w:rPr>
              <w:t>Un site peut être conforme techniquement, mais offrir une expérience utilisateur laborieuse</w:t>
            </w:r>
            <w:r w:rsidRPr="00D62C23">
              <w:rPr>
                <w:lang w:eastAsia="fr-FR"/>
              </w:rPr>
              <w:t xml:space="preserve"> (faiblement accessible en termes d’UX). C’est également une condition essentielle pour travailler avec des fournisseurs formés à l’accessibilité</w:t>
            </w:r>
            <w:r w:rsidR="00F755EB">
              <w:rPr>
                <w:lang w:eastAsia="fr-FR"/>
              </w:rPr>
              <w:t>. »</w:t>
            </w:r>
          </w:p>
          <w:p w14:paraId="57AC89FE" w14:textId="77777777" w:rsidR="00D62C23" w:rsidRDefault="00D62C23" w:rsidP="00064C74">
            <w:pPr>
              <w:jc w:val="right"/>
            </w:pPr>
          </w:p>
          <w:p w14:paraId="62B78079" w14:textId="775C3870" w:rsidR="00F671A3" w:rsidRDefault="00F671A3" w:rsidP="00F671A3">
            <w:pPr>
              <w:jc w:val="right"/>
            </w:pPr>
            <w:r w:rsidRPr="008A3CCC">
              <w:rPr>
                <w:b/>
                <w:bCs/>
              </w:rPr>
              <w:t>Marie-Laure Bouthière</w:t>
            </w:r>
            <w:r>
              <w:t xml:space="preserve">, Chargée de la direction du programme </w:t>
            </w:r>
            <w:r w:rsidR="00426E81">
              <w:t xml:space="preserve">« </w:t>
            </w:r>
            <w:r>
              <w:t>Handi &amp; Numérique</w:t>
            </w:r>
            <w:r w:rsidR="00426E81">
              <w:t xml:space="preserve"> »</w:t>
            </w:r>
            <w:r>
              <w:t>,</w:t>
            </w:r>
          </w:p>
          <w:p w14:paraId="34C89F2A" w14:textId="77777777" w:rsidR="00F671A3" w:rsidRDefault="00F671A3" w:rsidP="00F671A3">
            <w:pPr>
              <w:jc w:val="right"/>
            </w:pPr>
            <w:r>
              <w:t xml:space="preserve"> </w:t>
            </w:r>
            <w:r w:rsidRPr="008A3CCC">
              <w:rPr>
                <w:b/>
                <w:bCs/>
              </w:rPr>
              <w:t>Jean-Philippe Simonnet</w:t>
            </w:r>
            <w:r>
              <w:t xml:space="preserve">, Chargé de mission hospitalité numérique, </w:t>
            </w:r>
          </w:p>
          <w:p w14:paraId="0F8ED5BE" w14:textId="77777777" w:rsidR="00F671A3" w:rsidRDefault="00F671A3" w:rsidP="00F671A3">
            <w:pPr>
              <w:jc w:val="right"/>
            </w:pPr>
            <w:r w:rsidRPr="008A3CCC">
              <w:rPr>
                <w:b/>
                <w:bCs/>
              </w:rPr>
              <w:t>Geoffrey Arthaud</w:t>
            </w:r>
            <w:r>
              <w:t>, Chef du groupe « Méthodes »,</w:t>
            </w:r>
          </w:p>
          <w:p w14:paraId="75AA9870" w14:textId="77777777" w:rsidR="00F671A3" w:rsidRDefault="00F671A3" w:rsidP="00F671A3">
            <w:pPr>
              <w:jc w:val="right"/>
            </w:pPr>
            <w:r>
              <w:t xml:space="preserve"> </w:t>
            </w:r>
            <w:r w:rsidRPr="008A3CCC">
              <w:rPr>
                <w:b/>
                <w:bCs/>
              </w:rPr>
              <w:t>Laetitia Legrand</w:t>
            </w:r>
            <w:r>
              <w:t>, UX/UI designer,</w:t>
            </w:r>
          </w:p>
          <w:p w14:paraId="5C4AC378" w14:textId="2CA6E64B" w:rsidR="00D62C23" w:rsidRPr="00F755EB" w:rsidRDefault="00F671A3" w:rsidP="00F671A3">
            <w:pPr>
              <w:jc w:val="right"/>
              <w:rPr>
                <w:b/>
                <w:bCs/>
              </w:rPr>
            </w:pPr>
            <w:r w:rsidRPr="00F755EB">
              <w:rPr>
                <w:b/>
                <w:bCs/>
              </w:rPr>
              <w:t>Secrétariat général, Direction du numérique, ministères la Transition écologique, de l’Aménagement des territoires, des Transports, de la Ville et du logement</w:t>
            </w:r>
          </w:p>
        </w:tc>
      </w:tr>
    </w:tbl>
    <w:p w14:paraId="528494F0" w14:textId="77777777" w:rsidR="009A5EA7" w:rsidRDefault="009A5EA7" w:rsidP="00D62C23">
      <w:pPr>
        <w:rPr>
          <w:rFonts w:eastAsia="Times New Roman"/>
        </w:rPr>
      </w:pPr>
    </w:p>
    <w:p w14:paraId="1A40B604" w14:textId="5FBB02E7" w:rsidR="00D62C23" w:rsidRPr="00D62C23" w:rsidRDefault="00D62C23" w:rsidP="00D62C23">
      <w:pPr>
        <w:pStyle w:val="Titre3"/>
      </w:pPr>
      <w:bookmarkStart w:id="59" w:name="_Toc230077022"/>
      <w:r w:rsidRPr="00D62C23">
        <w:lastRenderedPageBreak/>
        <w:t>Int</w:t>
      </w:r>
      <w:r w:rsidR="00F9394E">
        <w:t>é</w:t>
      </w:r>
      <w:r w:rsidRPr="00D62C23">
        <w:t>gration by-design</w:t>
      </w:r>
      <w:bookmarkEnd w:id="59"/>
    </w:p>
    <w:p w14:paraId="6DF15CFC" w14:textId="27E4475D" w:rsidR="00D62C23" w:rsidRPr="00D62C23" w:rsidRDefault="00D62C23" w:rsidP="00D62C23">
      <w:pPr>
        <w:rPr>
          <w:rFonts w:eastAsia="Times New Roman"/>
        </w:rPr>
      </w:pPr>
      <w:r w:rsidRPr="00D62C23">
        <w:rPr>
          <w:rFonts w:eastAsia="Times New Roman"/>
        </w:rPr>
        <w:t xml:space="preserve">Pour s'assurer un bon niveau de conformité et </w:t>
      </w:r>
      <w:r w:rsidR="009F5E7E">
        <w:rPr>
          <w:rFonts w:eastAsia="Times New Roman"/>
        </w:rPr>
        <w:t xml:space="preserve">le maintenir tout en </w:t>
      </w:r>
      <w:r w:rsidRPr="00D62C23">
        <w:rPr>
          <w:rFonts w:eastAsia="Times New Roman"/>
        </w:rPr>
        <w:t>rédui</w:t>
      </w:r>
      <w:r w:rsidR="009F5E7E">
        <w:rPr>
          <w:rFonts w:eastAsia="Times New Roman"/>
        </w:rPr>
        <w:t xml:space="preserve">sant </w:t>
      </w:r>
      <w:r w:rsidRPr="00D62C23">
        <w:rPr>
          <w:rFonts w:eastAsia="Times New Roman"/>
        </w:rPr>
        <w:t xml:space="preserve">les coûts de remédiation, l'accessibilité doit être intégrée dès le cadrage des projets (ou </w:t>
      </w:r>
      <w:r w:rsidRPr="00F91F85">
        <w:rPr>
          <w:rFonts w:eastAsia="Times New Roman"/>
          <w:i/>
          <w:iCs/>
        </w:rPr>
        <w:t>by design</w:t>
      </w:r>
      <w:r w:rsidRPr="00D62C23">
        <w:rPr>
          <w:rFonts w:eastAsia="Times New Roman"/>
        </w:rPr>
        <w:t>)</w:t>
      </w:r>
      <w:r w:rsidR="00CC1505">
        <w:rPr>
          <w:rFonts w:eastAsia="Times New Roman"/>
        </w:rPr>
        <w:t>,</w:t>
      </w:r>
      <w:r w:rsidRPr="00D62C23">
        <w:rPr>
          <w:rFonts w:eastAsia="Times New Roman"/>
        </w:rPr>
        <w:t xml:space="preserve"> et non comme une surcouche en fin de développement. Dans ces conditions, le budget accessibilité échappe au statut de variable d’ajustement et </w:t>
      </w:r>
      <w:r w:rsidR="00CC1505">
        <w:rPr>
          <w:rFonts w:eastAsia="Times New Roman"/>
        </w:rPr>
        <w:t xml:space="preserve">il </w:t>
      </w:r>
      <w:r w:rsidRPr="00D62C23">
        <w:rPr>
          <w:rFonts w:eastAsia="Times New Roman"/>
        </w:rPr>
        <w:t>intègre</w:t>
      </w:r>
      <w:r w:rsidR="00CC1505">
        <w:rPr>
          <w:rFonts w:eastAsia="Times New Roman"/>
        </w:rPr>
        <w:t>,</w:t>
      </w:r>
      <w:r w:rsidRPr="00D62C23">
        <w:rPr>
          <w:rFonts w:eastAsia="Times New Roman"/>
        </w:rPr>
        <w:t xml:space="preserve"> au sein de tout projet numérique initié</w:t>
      </w:r>
      <w:r w:rsidR="00CC1505">
        <w:rPr>
          <w:rFonts w:eastAsia="Times New Roman"/>
        </w:rPr>
        <w:t>,</w:t>
      </w:r>
      <w:r w:rsidRPr="00D62C23">
        <w:rPr>
          <w:rFonts w:eastAsia="Times New Roman"/>
        </w:rPr>
        <w:t xml:space="preserve"> les audits et les jours hommes d'accompagnement hors développement. Selon une organisation participante, cela ne représente pas plus de 15 jours d’intervention en tant qu’expert.</w:t>
      </w:r>
    </w:p>
    <w:p w14:paraId="5F89185F" w14:textId="24B687C8" w:rsidR="00D62C23" w:rsidRPr="00D62C23" w:rsidRDefault="00D62C23" w:rsidP="00D62C23">
      <w:pPr>
        <w:rPr>
          <w:rFonts w:eastAsia="Times New Roman"/>
        </w:rPr>
      </w:pPr>
      <w:r w:rsidRPr="00D62C23">
        <w:rPr>
          <w:rFonts w:eastAsia="Times New Roman"/>
        </w:rPr>
        <w:t xml:space="preserve">Dès le lancement d’un projet, le recours à un référent </w:t>
      </w:r>
      <w:r w:rsidR="00F91F85">
        <w:rPr>
          <w:rFonts w:eastAsia="Times New Roman"/>
        </w:rPr>
        <w:t>accessibilité numérique</w:t>
      </w:r>
      <w:r w:rsidRPr="00D62C23">
        <w:rPr>
          <w:rFonts w:eastAsia="Times New Roman"/>
        </w:rPr>
        <w:t xml:space="preserve"> ou la désignation d’un référent ponctuel est crucial. Sa mission sera d’accompagner les équipes (UX/UI, MOA, développeurs) à chaque étape du projet (conception, développement, tests, mise en production)</w:t>
      </w:r>
      <w:r w:rsidR="00F91F85">
        <w:rPr>
          <w:rFonts w:eastAsia="Times New Roman"/>
        </w:rPr>
        <w:t>.</w:t>
      </w:r>
      <w:r w:rsidR="00F91F85" w:rsidRPr="00D62C23">
        <w:rPr>
          <w:rFonts w:eastAsia="Times New Roman"/>
        </w:rPr>
        <w:t xml:space="preserve"> </w:t>
      </w:r>
    </w:p>
    <w:p w14:paraId="64FF4780" w14:textId="41906A7E" w:rsidR="00D62C23" w:rsidRDefault="00D62C23" w:rsidP="00D62C23">
      <w:pPr>
        <w:rPr>
          <w:rFonts w:eastAsia="Times New Roman"/>
        </w:rPr>
      </w:pPr>
      <w:r w:rsidRPr="00D62C23">
        <w:rPr>
          <w:rFonts w:eastAsia="Times New Roman"/>
        </w:rPr>
        <w:t>D’une part, le partage de bonnes pratiques et d’un outillage adapté permettr</w:t>
      </w:r>
      <w:r w:rsidR="001E440D">
        <w:rPr>
          <w:rFonts w:eastAsia="Times New Roman"/>
        </w:rPr>
        <w:t>a</w:t>
      </w:r>
      <w:r w:rsidRPr="00D62C23">
        <w:rPr>
          <w:rFonts w:eastAsia="Times New Roman"/>
        </w:rPr>
        <w:t xml:space="preserve"> d’intégrer </w:t>
      </w:r>
      <w:r w:rsidR="00CC1505" w:rsidRPr="00D62C23">
        <w:rPr>
          <w:rFonts w:eastAsia="Times New Roman"/>
        </w:rPr>
        <w:t xml:space="preserve">l’accessibilité </w:t>
      </w:r>
      <w:r w:rsidR="00F91F85">
        <w:rPr>
          <w:rFonts w:eastAsia="Times New Roman"/>
        </w:rPr>
        <w:t xml:space="preserve">numérique </w:t>
      </w:r>
      <w:r w:rsidRPr="00D62C23">
        <w:rPr>
          <w:rFonts w:eastAsia="Times New Roman"/>
        </w:rPr>
        <w:t xml:space="preserve">au mieux </w:t>
      </w:r>
      <w:r w:rsidR="00CC1505">
        <w:rPr>
          <w:rFonts w:eastAsia="Times New Roman"/>
        </w:rPr>
        <w:t xml:space="preserve">et </w:t>
      </w:r>
      <w:r w:rsidR="00CC1505" w:rsidRPr="00D62C23">
        <w:rPr>
          <w:rFonts w:eastAsia="Times New Roman"/>
        </w:rPr>
        <w:t>de manière systématique</w:t>
      </w:r>
      <w:r w:rsidRPr="00D62C23">
        <w:rPr>
          <w:rFonts w:eastAsia="Times New Roman"/>
        </w:rPr>
        <w:t xml:space="preserve">. D’autre part, le recours à des indicateurs clairement définis permettra </w:t>
      </w:r>
      <w:r w:rsidR="00CC1505">
        <w:rPr>
          <w:rFonts w:eastAsia="Times New Roman"/>
        </w:rPr>
        <w:t>de la déployer</w:t>
      </w:r>
      <w:r w:rsidRPr="00D62C23">
        <w:rPr>
          <w:rFonts w:eastAsia="Times New Roman"/>
        </w:rPr>
        <w:t xml:space="preserve"> de manière industrielle, pour favoriser le passage à l’échelle.</w:t>
      </w:r>
    </w:p>
    <w:p w14:paraId="67A7C3E0" w14:textId="12D3C4F1" w:rsidR="00B5346E" w:rsidRDefault="002F6E9E" w:rsidP="002F6E9E">
      <w:pPr>
        <w:rPr>
          <w:rFonts w:eastAsia="Times New Roman"/>
        </w:rPr>
      </w:pPr>
      <w:r w:rsidRPr="002F6E9E">
        <w:rPr>
          <w:rFonts w:eastAsia="Times New Roman"/>
        </w:rPr>
        <w:t>Intégrer l'accessibilité en amont permet</w:t>
      </w:r>
      <w:r>
        <w:rPr>
          <w:rFonts w:eastAsia="Times New Roman"/>
        </w:rPr>
        <w:t xml:space="preserve"> </w:t>
      </w:r>
      <w:r w:rsidRPr="002F6E9E">
        <w:rPr>
          <w:rFonts w:eastAsia="Times New Roman"/>
        </w:rPr>
        <w:t xml:space="preserve">d'éviter les goulots d'étranglement en fin de parcours. </w:t>
      </w:r>
      <w:r>
        <w:rPr>
          <w:rFonts w:eastAsia="Times New Roman"/>
        </w:rPr>
        <w:t>Si c</w:t>
      </w:r>
      <w:r w:rsidRPr="002F6E9E">
        <w:rPr>
          <w:rFonts w:eastAsia="Times New Roman"/>
        </w:rPr>
        <w:t xml:space="preserve">haque </w:t>
      </w:r>
      <w:r>
        <w:rPr>
          <w:rFonts w:eastAsia="Times New Roman"/>
        </w:rPr>
        <w:t>métier</w:t>
      </w:r>
      <w:r w:rsidRPr="002F6E9E">
        <w:rPr>
          <w:rFonts w:eastAsia="Times New Roman"/>
        </w:rPr>
        <w:t xml:space="preserve"> (designer, développeur, rédacteur) connaît sa partition</w:t>
      </w:r>
      <w:r>
        <w:rPr>
          <w:rFonts w:eastAsia="Times New Roman"/>
        </w:rPr>
        <w:t>, l</w:t>
      </w:r>
      <w:r w:rsidRPr="002F6E9E">
        <w:rPr>
          <w:rFonts w:eastAsia="Times New Roman"/>
        </w:rPr>
        <w:t>'accessibilité n'est plus le problème d'un seul expert en fin de chaîne</w:t>
      </w:r>
      <w:r w:rsidR="00624E7E">
        <w:rPr>
          <w:rFonts w:eastAsia="Times New Roman"/>
        </w:rPr>
        <w:t xml:space="preserve"> et l’on peut</w:t>
      </w:r>
      <w:r>
        <w:rPr>
          <w:rFonts w:eastAsia="Times New Roman"/>
        </w:rPr>
        <w:t xml:space="preserve"> ainsi d’</w:t>
      </w:r>
      <w:r w:rsidRPr="002F6E9E">
        <w:rPr>
          <w:rFonts w:eastAsia="Times New Roman"/>
        </w:rPr>
        <w:t>évite</w:t>
      </w:r>
      <w:r>
        <w:rPr>
          <w:rFonts w:eastAsia="Times New Roman"/>
        </w:rPr>
        <w:t>r</w:t>
      </w:r>
      <w:r w:rsidRPr="002F6E9E">
        <w:rPr>
          <w:rFonts w:eastAsia="Times New Roman"/>
        </w:rPr>
        <w:t xml:space="preserve"> </w:t>
      </w:r>
      <w:r w:rsidR="00624E7E" w:rsidRPr="002F6E9E">
        <w:rPr>
          <w:rFonts w:eastAsia="Times New Roman"/>
        </w:rPr>
        <w:t>qu'un audit de dernière minute révèle des blocages critiques</w:t>
      </w:r>
      <w:r w:rsidR="00624E7E">
        <w:rPr>
          <w:rFonts w:eastAsia="Times New Roman"/>
        </w:rPr>
        <w:t xml:space="preserve"> et </w:t>
      </w:r>
      <w:r w:rsidRPr="002F6E9E">
        <w:rPr>
          <w:rFonts w:eastAsia="Times New Roman"/>
        </w:rPr>
        <w:t>décale une mise en production.</w:t>
      </w:r>
    </w:p>
    <w:p w14:paraId="20108C92" w14:textId="004C58DD" w:rsidR="00D62C23" w:rsidRPr="00F91F85" w:rsidRDefault="00D62C23" w:rsidP="00D62C23">
      <w:pPr>
        <w:pStyle w:val="Titre3"/>
        <w:rPr>
          <w:lang w:val="fr-FR"/>
        </w:rPr>
      </w:pPr>
      <w:bookmarkStart w:id="60" w:name="_Toc230077023"/>
      <w:r w:rsidRPr="00F91F85">
        <w:rPr>
          <w:lang w:val="fr-FR"/>
        </w:rPr>
        <w:t>Pilotage et suivi dans la durée</w:t>
      </w:r>
      <w:bookmarkEnd w:id="60"/>
      <w:r w:rsidRPr="00F91F85">
        <w:rPr>
          <w:lang w:val="fr-FR"/>
        </w:rPr>
        <w:t xml:space="preserve"> </w:t>
      </w:r>
    </w:p>
    <w:p w14:paraId="37487FCD" w14:textId="3B6C07D6" w:rsidR="00800C40" w:rsidRDefault="00D62C23" w:rsidP="00D62C23">
      <w:pPr>
        <w:rPr>
          <w:rFonts w:eastAsia="Times New Roman"/>
        </w:rPr>
      </w:pPr>
      <w:r>
        <w:rPr>
          <w:rFonts w:eastAsia="Times New Roman"/>
        </w:rPr>
        <w:t>T</w:t>
      </w:r>
      <w:r w:rsidRPr="00D62C23">
        <w:rPr>
          <w:rFonts w:eastAsia="Times New Roman"/>
        </w:rPr>
        <w:t>out au long du cycle de vie d’un service, les exigences d’accessibilité doivent être intégrées directement dans les spécifications fonctionnelles et techniques des produits ou services développés</w:t>
      </w:r>
      <w:r w:rsidR="00800C40">
        <w:rPr>
          <w:rFonts w:eastAsia="Times New Roman"/>
        </w:rPr>
        <w:t>,</w:t>
      </w:r>
      <w:r w:rsidR="006D62C7">
        <w:rPr>
          <w:rFonts w:eastAsia="Times New Roman"/>
        </w:rPr>
        <w:t xml:space="preserve"> au fur et à mesure des besoins</w:t>
      </w:r>
      <w:r w:rsidRPr="00D62C23">
        <w:rPr>
          <w:rFonts w:eastAsia="Times New Roman"/>
        </w:rPr>
        <w:t xml:space="preserve">. Par exemple, pour un formulaire de contact, les spécifications devront mentionner la présence de libellés clairement associés aux champs, de messages d’erreurs explicites et d’une navigation au clavier fluide. </w:t>
      </w:r>
      <w:r w:rsidR="00D37CCB">
        <w:rPr>
          <w:rFonts w:eastAsia="Times New Roman"/>
        </w:rPr>
        <w:t xml:space="preserve"> </w:t>
      </w:r>
    </w:p>
    <w:p w14:paraId="77BF12A6" w14:textId="50B25BB4" w:rsidR="00D62C23" w:rsidRDefault="00C56DCA" w:rsidP="00D62C23">
      <w:pPr>
        <w:rPr>
          <w:rFonts w:eastAsia="Times New Roman"/>
        </w:rPr>
      </w:pPr>
      <w:r>
        <w:rPr>
          <w:rFonts w:eastAsia="Times New Roman"/>
        </w:rPr>
        <w:t>Lors du</w:t>
      </w:r>
      <w:r w:rsidR="00D62C23" w:rsidRPr="00D62C23">
        <w:rPr>
          <w:rFonts w:eastAsia="Times New Roman"/>
        </w:rPr>
        <w:t xml:space="preserve"> développement, et plus particulièrement </w:t>
      </w:r>
      <w:r>
        <w:rPr>
          <w:rFonts w:eastAsia="Times New Roman"/>
        </w:rPr>
        <w:t xml:space="preserve">lors </w:t>
      </w:r>
      <w:r w:rsidR="00D62C23" w:rsidRPr="00D62C23">
        <w:rPr>
          <w:rFonts w:eastAsia="Times New Roman"/>
        </w:rPr>
        <w:t>d</w:t>
      </w:r>
      <w:r>
        <w:rPr>
          <w:rFonts w:eastAsia="Times New Roman"/>
        </w:rPr>
        <w:t>e la conception d</w:t>
      </w:r>
      <w:r w:rsidR="00D62C23" w:rsidRPr="00D62C23">
        <w:rPr>
          <w:rFonts w:eastAsia="Times New Roman"/>
        </w:rPr>
        <w:t>’interface,</w:t>
      </w:r>
      <w:r>
        <w:rPr>
          <w:rFonts w:eastAsia="Times New Roman"/>
        </w:rPr>
        <w:t xml:space="preserve"> certains critères comme</w:t>
      </w:r>
      <w:r w:rsidR="00D62C23" w:rsidRPr="00D62C23">
        <w:rPr>
          <w:rFonts w:eastAsia="Times New Roman"/>
        </w:rPr>
        <w:t xml:space="preserve"> </w:t>
      </w:r>
      <w:r>
        <w:rPr>
          <w:rFonts w:eastAsia="Times New Roman"/>
        </w:rPr>
        <w:t xml:space="preserve">les </w:t>
      </w:r>
      <w:r w:rsidR="00D62C23" w:rsidRPr="00D62C23">
        <w:rPr>
          <w:rFonts w:eastAsia="Times New Roman"/>
        </w:rPr>
        <w:t>contrastes</w:t>
      </w:r>
      <w:r>
        <w:rPr>
          <w:rFonts w:eastAsia="Times New Roman"/>
        </w:rPr>
        <w:t xml:space="preserve"> de couleur</w:t>
      </w:r>
      <w:r w:rsidR="00D62C23" w:rsidRPr="00D62C23">
        <w:rPr>
          <w:rFonts w:eastAsia="Times New Roman"/>
        </w:rPr>
        <w:t xml:space="preserve"> </w:t>
      </w:r>
      <w:r>
        <w:rPr>
          <w:rFonts w:eastAsia="Times New Roman"/>
        </w:rPr>
        <w:t>ou l’intégration d’un</w:t>
      </w:r>
      <w:r w:rsidR="00D62C23" w:rsidRPr="00D62C23">
        <w:rPr>
          <w:rFonts w:eastAsia="Times New Roman"/>
        </w:rPr>
        <w:t xml:space="preserve"> parcours utilisateur simple</w:t>
      </w:r>
      <w:r>
        <w:rPr>
          <w:rFonts w:eastAsia="Times New Roman"/>
        </w:rPr>
        <w:t>,</w:t>
      </w:r>
      <w:r w:rsidR="00D62C23" w:rsidRPr="00D62C23">
        <w:rPr>
          <w:rFonts w:eastAsia="Times New Roman"/>
        </w:rPr>
        <w:t xml:space="preserve"> </w:t>
      </w:r>
      <w:r w:rsidR="00633837" w:rsidRPr="00D62C23">
        <w:rPr>
          <w:rFonts w:eastAsia="Times New Roman"/>
        </w:rPr>
        <w:t>doi</w:t>
      </w:r>
      <w:r>
        <w:rPr>
          <w:rFonts w:eastAsia="Times New Roman"/>
        </w:rPr>
        <w:t>vent tenir</w:t>
      </w:r>
      <w:r w:rsidR="00633837">
        <w:rPr>
          <w:rFonts w:eastAsia="Times New Roman"/>
        </w:rPr>
        <w:t xml:space="preserve"> compte</w:t>
      </w:r>
      <w:r w:rsidR="006D62C7">
        <w:rPr>
          <w:rFonts w:eastAsia="Times New Roman"/>
        </w:rPr>
        <w:t xml:space="preserve"> </w:t>
      </w:r>
      <w:r>
        <w:rPr>
          <w:rFonts w:eastAsia="Times New Roman"/>
        </w:rPr>
        <w:t xml:space="preserve">de </w:t>
      </w:r>
      <w:r w:rsidR="006D62C7">
        <w:rPr>
          <w:rFonts w:eastAsia="Times New Roman"/>
        </w:rPr>
        <w:t>l</w:t>
      </w:r>
      <w:r w:rsidR="00D62C23" w:rsidRPr="00D62C23">
        <w:rPr>
          <w:rFonts w:eastAsia="Times New Roman"/>
        </w:rPr>
        <w:t xml:space="preserve">’interopérabilité </w:t>
      </w:r>
      <w:r w:rsidR="006D62C7">
        <w:rPr>
          <w:rFonts w:eastAsia="Times New Roman"/>
        </w:rPr>
        <w:t>pour permettre</w:t>
      </w:r>
      <w:r w:rsidR="00D62C23" w:rsidRPr="00D62C23">
        <w:rPr>
          <w:rFonts w:eastAsia="Times New Roman"/>
        </w:rPr>
        <w:t xml:space="preserve"> aux utilisateurs de naviguer efficacement </w:t>
      </w:r>
      <w:r w:rsidR="00633837">
        <w:rPr>
          <w:rFonts w:eastAsia="Times New Roman"/>
        </w:rPr>
        <w:t xml:space="preserve">entre </w:t>
      </w:r>
      <w:r w:rsidR="006D62C7">
        <w:rPr>
          <w:rFonts w:eastAsia="Times New Roman"/>
        </w:rPr>
        <w:t>l</w:t>
      </w:r>
      <w:r w:rsidR="00D62C23" w:rsidRPr="00D62C23">
        <w:rPr>
          <w:rFonts w:eastAsia="Times New Roman"/>
        </w:rPr>
        <w:t xml:space="preserve">es </w:t>
      </w:r>
      <w:r w:rsidR="006D62C7">
        <w:rPr>
          <w:rFonts w:eastAsia="Times New Roman"/>
        </w:rPr>
        <w:t xml:space="preserve">différentes </w:t>
      </w:r>
      <w:r w:rsidR="00D62C23" w:rsidRPr="00D62C23">
        <w:rPr>
          <w:rFonts w:eastAsia="Times New Roman"/>
        </w:rPr>
        <w:t>technologies d'assistance (lecteurs d'écran, logiciels de grossissement, etc.).</w:t>
      </w:r>
    </w:p>
    <w:p w14:paraId="46ECB461" w14:textId="3771DB7D" w:rsidR="00F9394E" w:rsidRPr="00F9394E" w:rsidRDefault="00F9394E" w:rsidP="00D62C23">
      <w:r>
        <w:rPr>
          <w:rFonts w:eastAsia="Times New Roman"/>
        </w:rPr>
        <w:t>Rappelons ici que l</w:t>
      </w:r>
      <w:r w:rsidRPr="00E66311">
        <w:rPr>
          <w:rFonts w:eastAsia="Times New Roman"/>
        </w:rPr>
        <w:t xml:space="preserve">'accessibilité bénéficie à l'ensemble des utilisateurs bien au-delà du seul public en situation de handicap. </w:t>
      </w:r>
      <w:r>
        <w:rPr>
          <w:rFonts w:eastAsia="Times New Roman"/>
        </w:rPr>
        <w:t>Ainsi</w:t>
      </w:r>
      <w:r w:rsidRPr="00E66311">
        <w:rPr>
          <w:rFonts w:eastAsia="Times New Roman"/>
        </w:rPr>
        <w:t xml:space="preserve">, une interface conçue pour être compatible avec les lecteurs d'écran impose une clarté et une hiérarchisation de l'information qui rendent la navigation plus fluide et intuitive pour tous. Cette approche renforce </w:t>
      </w:r>
      <w:r>
        <w:rPr>
          <w:rFonts w:eastAsia="Times New Roman"/>
        </w:rPr>
        <w:t xml:space="preserve">donc </w:t>
      </w:r>
      <w:r w:rsidRPr="00E66311">
        <w:rPr>
          <w:rFonts w:eastAsia="Times New Roman"/>
        </w:rPr>
        <w:t xml:space="preserve">également le confort d'usage dans de nombreux contextes de handicap </w:t>
      </w:r>
      <w:r>
        <w:rPr>
          <w:rFonts w:eastAsia="Times New Roman"/>
        </w:rPr>
        <w:t>dits « </w:t>
      </w:r>
      <w:r w:rsidRPr="00E66311">
        <w:rPr>
          <w:rFonts w:eastAsia="Times New Roman"/>
        </w:rPr>
        <w:t>situationnel</w:t>
      </w:r>
      <w:r w:rsidR="00633837">
        <w:rPr>
          <w:rFonts w:eastAsia="Times New Roman"/>
        </w:rPr>
        <w:t>s</w:t>
      </w:r>
      <w:r>
        <w:rPr>
          <w:rFonts w:eastAsia="Times New Roman"/>
        </w:rPr>
        <w:t> »</w:t>
      </w:r>
      <w:r w:rsidRPr="00E66311">
        <w:rPr>
          <w:rFonts w:eastAsia="Times New Roman"/>
        </w:rPr>
        <w:t>, comme la consultation d'un appareil en plein soleil, dans un environnement bruyant ou lors de périodes de fatigue visuelle.</w:t>
      </w:r>
    </w:p>
    <w:p w14:paraId="5843F0FE" w14:textId="01266757" w:rsidR="00D62C23" w:rsidRDefault="00D62C23" w:rsidP="00D62C23">
      <w:pPr>
        <w:rPr>
          <w:rFonts w:eastAsia="Times New Roman"/>
        </w:rPr>
      </w:pPr>
      <w:r w:rsidRPr="00D62C23">
        <w:rPr>
          <w:rFonts w:eastAsia="Times New Roman"/>
        </w:rPr>
        <w:t>Une fois la phase de conception validée, les exigences d’accessibilité doivent être vérifiées, voir auditée</w:t>
      </w:r>
      <w:r w:rsidR="006D62C7">
        <w:rPr>
          <w:rFonts w:eastAsia="Times New Roman"/>
        </w:rPr>
        <w:t>s</w:t>
      </w:r>
      <w:r w:rsidRPr="00D62C23">
        <w:rPr>
          <w:rFonts w:eastAsia="Times New Roman"/>
        </w:rPr>
        <w:t xml:space="preserve"> tout au long du développement :</w:t>
      </w:r>
    </w:p>
    <w:p w14:paraId="23D4E5E8" w14:textId="75F18726" w:rsidR="00D62C23" w:rsidRPr="00D62C23" w:rsidRDefault="00D62C23">
      <w:pPr>
        <w:numPr>
          <w:ilvl w:val="0"/>
          <w:numId w:val="27"/>
        </w:numPr>
        <w:rPr>
          <w:rFonts w:eastAsia="Times New Roman"/>
          <w:b/>
          <w:bCs/>
        </w:rPr>
      </w:pPr>
      <w:r w:rsidRPr="00D62C23">
        <w:rPr>
          <w:rFonts w:eastAsia="Times New Roman"/>
          <w:b/>
          <w:bCs/>
        </w:rPr>
        <w:t>Pré-audits et audits</w:t>
      </w:r>
      <w:r w:rsidRPr="00D62C23">
        <w:rPr>
          <w:rFonts w:eastAsia="Times New Roman"/>
        </w:rPr>
        <w:t xml:space="preserve"> : </w:t>
      </w:r>
      <w:r w:rsidR="0094688E" w:rsidRPr="00D62C23">
        <w:rPr>
          <w:rFonts w:eastAsia="Times New Roman"/>
        </w:rPr>
        <w:t xml:space="preserve">dès le début de la phase projet </w:t>
      </w:r>
      <w:r w:rsidR="0094688E">
        <w:rPr>
          <w:rFonts w:eastAsia="Times New Roman"/>
        </w:rPr>
        <w:t xml:space="preserve">et </w:t>
      </w:r>
      <w:r w:rsidRPr="00D62C23">
        <w:rPr>
          <w:rFonts w:eastAsia="Times New Roman"/>
        </w:rPr>
        <w:t>afin d’intégrer le mieux possible l’</w:t>
      </w:r>
      <w:r w:rsidR="00D37CCB">
        <w:rPr>
          <w:rFonts w:eastAsia="Times New Roman"/>
        </w:rPr>
        <w:t>accessibilité numérique</w:t>
      </w:r>
      <w:r w:rsidR="0094688E">
        <w:rPr>
          <w:rFonts w:eastAsia="Times New Roman"/>
        </w:rPr>
        <w:t>,</w:t>
      </w:r>
      <w:r w:rsidRPr="00D62C23">
        <w:rPr>
          <w:rFonts w:eastAsia="Times New Roman"/>
        </w:rPr>
        <w:t xml:space="preserve"> il convient de prévoir des pré-audits en amont</w:t>
      </w:r>
      <w:r w:rsidR="00CC3540">
        <w:rPr>
          <w:rFonts w:eastAsia="Times New Roman"/>
        </w:rPr>
        <w:t>,</w:t>
      </w:r>
      <w:r w:rsidRPr="00D62C23">
        <w:rPr>
          <w:rFonts w:eastAsia="Times New Roman"/>
        </w:rPr>
        <w:t xml:space="preserve"> pour éviter les </w:t>
      </w:r>
      <w:r w:rsidRPr="00D62C23">
        <w:rPr>
          <w:rFonts w:eastAsia="Times New Roman"/>
        </w:rPr>
        <w:lastRenderedPageBreak/>
        <w:t>surcoûts</w:t>
      </w:r>
      <w:r w:rsidR="0094688E">
        <w:rPr>
          <w:rFonts w:eastAsia="Times New Roman"/>
        </w:rPr>
        <w:t>,</w:t>
      </w:r>
      <w:r w:rsidRPr="00D62C23">
        <w:rPr>
          <w:rFonts w:eastAsia="Times New Roman"/>
        </w:rPr>
        <w:t xml:space="preserve"> </w:t>
      </w:r>
      <w:r w:rsidR="00C328FA">
        <w:rPr>
          <w:rFonts w:eastAsia="Times New Roman"/>
        </w:rPr>
        <w:t>puis</w:t>
      </w:r>
      <w:r w:rsidR="00C328FA" w:rsidRPr="00D62C23">
        <w:rPr>
          <w:rFonts w:eastAsia="Times New Roman"/>
        </w:rPr>
        <w:t xml:space="preserve"> </w:t>
      </w:r>
      <w:r w:rsidRPr="00D62C23">
        <w:rPr>
          <w:rFonts w:eastAsia="Times New Roman"/>
        </w:rPr>
        <w:t>des audits finaux</w:t>
      </w:r>
      <w:r w:rsidR="00CC3540">
        <w:rPr>
          <w:rFonts w:eastAsia="Times New Roman"/>
        </w:rPr>
        <w:t>,</w:t>
      </w:r>
      <w:r w:rsidRPr="00D62C23">
        <w:rPr>
          <w:rFonts w:eastAsia="Times New Roman"/>
        </w:rPr>
        <w:t xml:space="preserve"> pour valider la conformité</w:t>
      </w:r>
      <w:r w:rsidR="00633837">
        <w:rPr>
          <w:rFonts w:eastAsia="Times New Roman"/>
        </w:rPr>
        <w:t xml:space="preserve"> du projet</w:t>
      </w:r>
      <w:r w:rsidRPr="00D62C23">
        <w:rPr>
          <w:rFonts w:eastAsia="Times New Roman"/>
        </w:rPr>
        <w:t xml:space="preserve">. </w:t>
      </w:r>
      <w:r w:rsidR="002F6E9E" w:rsidRPr="00D62C23">
        <w:rPr>
          <w:rFonts w:eastAsia="Times New Roman"/>
        </w:rPr>
        <w:t xml:space="preserve">Le recours à des agences spécialisées est </w:t>
      </w:r>
      <w:r w:rsidR="002F6E9E">
        <w:rPr>
          <w:rFonts w:eastAsia="Times New Roman"/>
        </w:rPr>
        <w:t>possible</w:t>
      </w:r>
      <w:r w:rsidR="002F6E9E" w:rsidRPr="00D62C23">
        <w:rPr>
          <w:rFonts w:eastAsia="Times New Roman"/>
        </w:rPr>
        <w:t xml:space="preserve">, </w:t>
      </w:r>
      <w:r w:rsidR="002F6E9E">
        <w:rPr>
          <w:rFonts w:eastAsia="Times New Roman"/>
        </w:rPr>
        <w:t xml:space="preserve">mais il </w:t>
      </w:r>
      <w:r w:rsidR="002F6E9E" w:rsidRPr="001E440D">
        <w:rPr>
          <w:rFonts w:eastAsia="Times New Roman"/>
        </w:rPr>
        <w:t xml:space="preserve">est également </w:t>
      </w:r>
      <w:r w:rsidR="00C328FA">
        <w:rPr>
          <w:rFonts w:eastAsia="Times New Roman"/>
        </w:rPr>
        <w:t>envisageable</w:t>
      </w:r>
      <w:r w:rsidR="002F6E9E" w:rsidRPr="001E440D">
        <w:rPr>
          <w:rFonts w:eastAsia="Times New Roman"/>
        </w:rPr>
        <w:t xml:space="preserve"> de former un collaborateur pour réaliser ces audits, ceci afin de diminuer les coûts et d’internaliser la compétence</w:t>
      </w:r>
      <w:r w:rsidR="002F6E9E">
        <w:rPr>
          <w:rFonts w:eastAsia="Times New Roman"/>
        </w:rPr>
        <w:t>.</w:t>
      </w:r>
    </w:p>
    <w:p w14:paraId="3984CD06" w14:textId="72482E79" w:rsidR="00D62C23" w:rsidRPr="00D62C23" w:rsidRDefault="00D62C23">
      <w:pPr>
        <w:numPr>
          <w:ilvl w:val="0"/>
          <w:numId w:val="27"/>
        </w:numPr>
        <w:rPr>
          <w:rFonts w:eastAsia="Times New Roman"/>
          <w:b/>
          <w:bCs/>
        </w:rPr>
      </w:pPr>
      <w:r w:rsidRPr="00D62C23">
        <w:rPr>
          <w:rFonts w:eastAsia="Times New Roman"/>
          <w:b/>
          <w:bCs/>
        </w:rPr>
        <w:t>Intégration aux processus de test</w:t>
      </w:r>
      <w:r w:rsidR="00633837">
        <w:rPr>
          <w:rFonts w:eastAsia="Times New Roman"/>
          <w:b/>
          <w:bCs/>
        </w:rPr>
        <w:t>s</w:t>
      </w:r>
      <w:r w:rsidRPr="00D62C23">
        <w:rPr>
          <w:rFonts w:eastAsia="Times New Roman"/>
        </w:rPr>
        <w:t xml:space="preserve"> : les tests d'accessibilité doivent faire partie intégrante du plan de recette. </w:t>
      </w:r>
      <w:r w:rsidR="00633837">
        <w:rPr>
          <w:rFonts w:eastAsia="Times New Roman"/>
        </w:rPr>
        <w:t>Notamment, d</w:t>
      </w:r>
      <w:r w:rsidRPr="00D62C23">
        <w:rPr>
          <w:rFonts w:eastAsia="Times New Roman"/>
        </w:rPr>
        <w:t xml:space="preserve">es tests peuvent être </w:t>
      </w:r>
      <w:r w:rsidR="00D37CCB">
        <w:rPr>
          <w:rFonts w:eastAsia="Times New Roman"/>
        </w:rPr>
        <w:t>automatisés</w:t>
      </w:r>
      <w:r w:rsidRPr="00D62C23">
        <w:rPr>
          <w:rFonts w:eastAsia="Times New Roman"/>
        </w:rPr>
        <w:t xml:space="preserve"> </w:t>
      </w:r>
      <w:r w:rsidR="00D37CCB">
        <w:rPr>
          <w:rFonts w:eastAsia="Times New Roman"/>
        </w:rPr>
        <w:t>dans</w:t>
      </w:r>
      <w:r w:rsidRPr="00D62C23">
        <w:rPr>
          <w:rFonts w:eastAsia="Times New Roman"/>
        </w:rPr>
        <w:t xml:space="preserve"> la chaîne d'intégration continue (CI/CD</w:t>
      </w:r>
      <w:r w:rsidR="00C56DCA">
        <w:rPr>
          <w:rStyle w:val="Appelnotedebasdep"/>
          <w:rFonts w:eastAsia="Times New Roman"/>
        </w:rPr>
        <w:footnoteReference w:id="21"/>
      </w:r>
      <w:r w:rsidRPr="00D62C23">
        <w:rPr>
          <w:rFonts w:eastAsia="Times New Roman"/>
        </w:rPr>
        <w:t>) pour détecter les régressions d'accessibilité dès le déploiement de nouvelles fonctionnalités.</w:t>
      </w:r>
    </w:p>
    <w:p w14:paraId="36BA2D8E" w14:textId="3A8512EC" w:rsidR="00D62C23" w:rsidRPr="00D62C23" w:rsidRDefault="00D62C23">
      <w:pPr>
        <w:numPr>
          <w:ilvl w:val="0"/>
          <w:numId w:val="27"/>
        </w:numPr>
        <w:rPr>
          <w:rFonts w:eastAsia="Times New Roman"/>
          <w:b/>
          <w:bCs/>
        </w:rPr>
      </w:pPr>
      <w:r w:rsidRPr="00D62C23">
        <w:rPr>
          <w:rFonts w:eastAsia="Times New Roman"/>
          <w:b/>
          <w:bCs/>
        </w:rPr>
        <w:t>Recours à l'expertise externe</w:t>
      </w:r>
      <w:r w:rsidRPr="00D62C23">
        <w:rPr>
          <w:rFonts w:eastAsia="Times New Roman"/>
        </w:rPr>
        <w:t xml:space="preserve"> : pour une validation finale et officielle, le recours à des agences spécialisées en accessibilité est</w:t>
      </w:r>
      <w:r w:rsidR="00800C40">
        <w:rPr>
          <w:rFonts w:eastAsia="Times New Roman"/>
        </w:rPr>
        <w:t xml:space="preserve"> </w:t>
      </w:r>
      <w:r w:rsidR="002F6E9E">
        <w:rPr>
          <w:rFonts w:eastAsia="Times New Roman"/>
        </w:rPr>
        <w:t>également possible</w:t>
      </w:r>
      <w:r w:rsidRPr="00D62C23">
        <w:rPr>
          <w:rFonts w:eastAsia="Times New Roman"/>
        </w:rPr>
        <w:t>. Ces experts mènent des audits complets conformes aux référentiels en vigueur.</w:t>
      </w:r>
    </w:p>
    <w:p w14:paraId="555AAF1E" w14:textId="2D51BAAD" w:rsidR="001E440D" w:rsidRPr="002F6E9E" w:rsidRDefault="00D62C23">
      <w:pPr>
        <w:numPr>
          <w:ilvl w:val="0"/>
          <w:numId w:val="27"/>
        </w:numPr>
        <w:rPr>
          <w:rFonts w:eastAsia="Times New Roman"/>
          <w:b/>
          <w:bCs/>
        </w:rPr>
      </w:pPr>
      <w:r w:rsidRPr="00D62C23">
        <w:rPr>
          <w:rFonts w:eastAsia="Times New Roman"/>
          <w:b/>
          <w:bCs/>
        </w:rPr>
        <w:t>Tests avec des utilisateurs finaux</w:t>
      </w:r>
      <w:r w:rsidRPr="00D62C23">
        <w:rPr>
          <w:rFonts w:eastAsia="Times New Roman"/>
        </w:rPr>
        <w:t xml:space="preserve"> : l'approche la plus pertinente pour valider l'expérience utilisateur reste le test avec des personnes en situation de handicap. Ces tests révèlent des problèmes d'usage qui peuvent échapper aux audits techniques et permettent de valider la conception des interfaces de manière concrète et inclusive. La gestion des signalements utilisateurs doit d’ailleurs être l’occasion</w:t>
      </w:r>
      <w:r w:rsidR="00710FC2">
        <w:rPr>
          <w:rFonts w:eastAsia="Times New Roman"/>
        </w:rPr>
        <w:t xml:space="preserve"> </w:t>
      </w:r>
      <w:r w:rsidR="00710FC2" w:rsidRPr="00710FC2">
        <w:rPr>
          <w:rFonts w:eastAsia="Times New Roman"/>
        </w:rPr>
        <w:t>d’une priorisation des correctifs pour les non-conformité</w:t>
      </w:r>
      <w:r w:rsidR="00CA46A4">
        <w:rPr>
          <w:rFonts w:eastAsia="Times New Roman"/>
        </w:rPr>
        <w:t>s</w:t>
      </w:r>
      <w:r w:rsidR="00710FC2" w:rsidRPr="00710FC2">
        <w:rPr>
          <w:rFonts w:eastAsia="Times New Roman"/>
        </w:rPr>
        <w:t xml:space="preserve"> bloquantes</w:t>
      </w:r>
      <w:r w:rsidR="00710FC2">
        <w:rPr>
          <w:rFonts w:eastAsia="Times New Roman"/>
        </w:rPr>
        <w:t xml:space="preserve"> et</w:t>
      </w:r>
      <w:r w:rsidRPr="00D62C23">
        <w:rPr>
          <w:rFonts w:eastAsia="Times New Roman"/>
        </w:rPr>
        <w:t xml:space="preserve"> d’un contre-audit effectué par les référents accessibilité, avec mise à jour de la déclaration accessibilité. </w:t>
      </w:r>
    </w:p>
    <w:p w14:paraId="14970E50" w14:textId="77777777" w:rsidR="0024012F" w:rsidRDefault="0024012F" w:rsidP="0024012F">
      <w:pPr>
        <w:jc w:val="center"/>
        <w:rPr>
          <w:rFonts w:eastAsia="Times New Roman"/>
          <w:b/>
          <w:bCs/>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24012F" w:rsidRPr="00C43137" w14:paraId="4637A47C" w14:textId="77777777" w:rsidTr="009C4CC3">
        <w:trPr>
          <w:jc w:val="center"/>
        </w:trPr>
        <w:tc>
          <w:tcPr>
            <w:tcW w:w="9047" w:type="dxa"/>
            <w:tcBorders>
              <w:left w:val="single" w:sz="18" w:space="0" w:color="155E48"/>
            </w:tcBorders>
            <w:shd w:val="clear" w:color="auto" w:fill="F2F2F2" w:themeFill="background1" w:themeFillShade="F2"/>
          </w:tcPr>
          <w:p w14:paraId="4239B5A2" w14:textId="10AB409A" w:rsidR="0024012F" w:rsidRPr="00D62C23" w:rsidRDefault="0024012F" w:rsidP="006C25DE">
            <w:pPr>
              <w:pStyle w:val="TitreEncart"/>
            </w:pPr>
            <w:bookmarkStart w:id="61" w:name="_Toc230257733"/>
            <w:r w:rsidRPr="00D62C23">
              <w:rPr>
                <w:bCs/>
              </w:rPr>
              <w:lastRenderedPageBreak/>
              <w:t>REX</w:t>
            </w:r>
            <w:r>
              <w:rPr>
                <w:bCs/>
              </w:rPr>
              <w:t xml:space="preserve"> </w:t>
            </w:r>
            <w:r w:rsidR="00CA46A4">
              <w:rPr>
                <w:bCs/>
              </w:rPr>
              <w:t>M</w:t>
            </w:r>
            <w:r>
              <w:rPr>
                <w:bCs/>
              </w:rPr>
              <w:t>inistère de l’</w:t>
            </w:r>
            <w:r w:rsidR="00CA46A4">
              <w:rPr>
                <w:bCs/>
              </w:rPr>
              <w:t>I</w:t>
            </w:r>
            <w:r>
              <w:rPr>
                <w:bCs/>
              </w:rPr>
              <w:t>ntérieur</w:t>
            </w:r>
            <w:bookmarkEnd w:id="61"/>
          </w:p>
          <w:p w14:paraId="3AF9F03A" w14:textId="503D965F" w:rsidR="0024012F" w:rsidRPr="00D62C23" w:rsidRDefault="0024012F" w:rsidP="00005161">
            <w:pPr>
              <w:pStyle w:val="TitreencartREX"/>
            </w:pPr>
            <w:bookmarkStart w:id="62" w:name="_Toc230257734"/>
            <w:r>
              <w:t>Standardiser les tests utilisateurs</w:t>
            </w:r>
            <w:bookmarkEnd w:id="62"/>
            <w:r>
              <w:t xml:space="preserve"> </w:t>
            </w:r>
          </w:p>
          <w:p w14:paraId="2F5456E0" w14:textId="73948C9F" w:rsidR="0024012F" w:rsidRDefault="0024012F">
            <w:pPr>
              <w:pStyle w:val="Paragraphedeliste"/>
              <w:numPr>
                <w:ilvl w:val="0"/>
                <w:numId w:val="73"/>
              </w:numPr>
            </w:pPr>
            <w:r w:rsidRPr="0024012F">
              <w:t>Dans de nombreux cas, des services déclarés conformes restent difficilement utilisables en conditions réelles</w:t>
            </w:r>
            <w:r w:rsidR="007463B2">
              <w:t>.</w:t>
            </w:r>
            <w:r w:rsidRPr="0024012F">
              <w:t xml:space="preserve"> </w:t>
            </w:r>
            <w:r>
              <w:t xml:space="preserve">C’est pourquoi </w:t>
            </w:r>
            <w:r w:rsidR="00E32FC6">
              <w:t>l</w:t>
            </w:r>
            <w:r>
              <w:t xml:space="preserve">es </w:t>
            </w:r>
            <w:r w:rsidRPr="00633837">
              <w:rPr>
                <w:b/>
                <w:bCs/>
              </w:rPr>
              <w:t>tests utilisateurs constituent un levier indispensable pour garantir une accessibilité effective</w:t>
            </w:r>
            <w:r>
              <w:t>.</w:t>
            </w:r>
          </w:p>
          <w:p w14:paraId="51958B8B" w14:textId="257A55B6" w:rsidR="0024012F" w:rsidRDefault="00633837" w:rsidP="000302F6">
            <w:pPr>
              <w:ind w:left="360"/>
            </w:pPr>
            <w:r>
              <w:t>Ces tests</w:t>
            </w:r>
            <w:r w:rsidR="0024012F">
              <w:t xml:space="preserve"> doivent être :</w:t>
            </w:r>
          </w:p>
          <w:p w14:paraId="71173EDE" w14:textId="1CC36E5A" w:rsidR="0024012F" w:rsidRDefault="0024012F">
            <w:pPr>
              <w:pStyle w:val="Paragraphedeliste"/>
              <w:numPr>
                <w:ilvl w:val="0"/>
                <w:numId w:val="66"/>
              </w:numPr>
            </w:pPr>
            <w:proofErr w:type="gramStart"/>
            <w:r>
              <w:t>systématiques</w:t>
            </w:r>
            <w:proofErr w:type="gramEnd"/>
            <w:r>
              <w:t xml:space="preserve"> ;</w:t>
            </w:r>
          </w:p>
          <w:p w14:paraId="23D3AFA7" w14:textId="5AAC6F5B" w:rsidR="0024012F" w:rsidRDefault="0024012F">
            <w:pPr>
              <w:pStyle w:val="Paragraphedeliste"/>
              <w:numPr>
                <w:ilvl w:val="0"/>
                <w:numId w:val="66"/>
              </w:numPr>
            </w:pPr>
            <w:proofErr w:type="gramStart"/>
            <w:r>
              <w:t>réalisés</w:t>
            </w:r>
            <w:proofErr w:type="gramEnd"/>
            <w:r>
              <w:t xml:space="preserve"> à chaque étape clé du projet ;</w:t>
            </w:r>
          </w:p>
          <w:p w14:paraId="0B066DD1" w14:textId="40656D55" w:rsidR="0024012F" w:rsidRDefault="0024012F">
            <w:pPr>
              <w:pStyle w:val="Paragraphedeliste"/>
              <w:numPr>
                <w:ilvl w:val="0"/>
                <w:numId w:val="66"/>
              </w:numPr>
            </w:pPr>
            <w:proofErr w:type="gramStart"/>
            <w:r>
              <w:t>construits</w:t>
            </w:r>
            <w:proofErr w:type="gramEnd"/>
            <w:r>
              <w:t xml:space="preserve"> à partir de panels diversifiés (visuel, moteur, cognitif, auditif).</w:t>
            </w:r>
          </w:p>
          <w:p w14:paraId="10AF9DBB" w14:textId="77777777" w:rsidR="0024012F" w:rsidRDefault="0024012F" w:rsidP="000302F6">
            <w:pPr>
              <w:ind w:left="360"/>
            </w:pPr>
            <w:r>
              <w:t>Ces tests permettent :</w:t>
            </w:r>
          </w:p>
          <w:p w14:paraId="3C42C841" w14:textId="274A618B" w:rsidR="0024012F" w:rsidRDefault="0024012F">
            <w:pPr>
              <w:pStyle w:val="Paragraphedeliste"/>
              <w:numPr>
                <w:ilvl w:val="0"/>
                <w:numId w:val="66"/>
              </w:numPr>
            </w:pPr>
            <w:proofErr w:type="gramStart"/>
            <w:r>
              <w:t>d’identifier</w:t>
            </w:r>
            <w:proofErr w:type="gramEnd"/>
            <w:r>
              <w:t xml:space="preserve"> des irritants invisibles dans les audits techniques ;</w:t>
            </w:r>
          </w:p>
          <w:p w14:paraId="69093DBA" w14:textId="38BE4531" w:rsidR="0024012F" w:rsidRDefault="0024012F">
            <w:pPr>
              <w:pStyle w:val="Paragraphedeliste"/>
              <w:numPr>
                <w:ilvl w:val="0"/>
                <w:numId w:val="66"/>
              </w:numPr>
            </w:pPr>
            <w:proofErr w:type="gramStart"/>
            <w:r>
              <w:t>de</w:t>
            </w:r>
            <w:proofErr w:type="gramEnd"/>
            <w:r>
              <w:t xml:space="preserve"> valider la pertinence des choix de conception ;</w:t>
            </w:r>
          </w:p>
          <w:p w14:paraId="3EA2BEE8" w14:textId="4A8E751F" w:rsidR="00C814C0" w:rsidRDefault="0024012F">
            <w:pPr>
              <w:pStyle w:val="Paragraphedeliste"/>
              <w:numPr>
                <w:ilvl w:val="0"/>
                <w:numId w:val="66"/>
              </w:numPr>
            </w:pPr>
            <w:proofErr w:type="gramStart"/>
            <w:r>
              <w:t>d’acculturer</w:t>
            </w:r>
            <w:proofErr w:type="gramEnd"/>
            <w:r>
              <w:t xml:space="preserve"> les équipes.</w:t>
            </w:r>
          </w:p>
          <w:p w14:paraId="75FF85D0" w14:textId="77777777" w:rsidR="00C814C0" w:rsidRDefault="00C814C0" w:rsidP="000302F6">
            <w:pPr>
              <w:pStyle w:val="Paragraphedeliste"/>
            </w:pPr>
          </w:p>
          <w:p w14:paraId="384954AA" w14:textId="77777777" w:rsidR="00633837" w:rsidRDefault="007463B2">
            <w:pPr>
              <w:pStyle w:val="Paragraphedeliste"/>
              <w:numPr>
                <w:ilvl w:val="0"/>
                <w:numId w:val="73"/>
              </w:numPr>
            </w:pPr>
            <w:r w:rsidRPr="007463B2">
              <w:t xml:space="preserve">Considérant que les tests utilisateurs doivent devenir un </w:t>
            </w:r>
            <w:r w:rsidRPr="00C814C0">
              <w:rPr>
                <w:b/>
                <w:bCs/>
              </w:rPr>
              <w:t>standard au même titre que les tests de sécurité ou de performance</w:t>
            </w:r>
            <w:r w:rsidRPr="007463B2">
              <w:t xml:space="preserve">, le Ministère de l'Intérieur, comme de nombreuses organisations, a ainsi décidé de systématiser l'intégration de ces tests dans une logique </w:t>
            </w:r>
            <w:r w:rsidR="00CA46A4">
              <w:t>« </w:t>
            </w:r>
            <w:r w:rsidRPr="007463B2">
              <w:t>produit</w:t>
            </w:r>
            <w:r w:rsidR="00CA46A4">
              <w:t> »</w:t>
            </w:r>
            <w:r w:rsidR="00633837">
              <w:t>.</w:t>
            </w:r>
          </w:p>
          <w:p w14:paraId="739588F9" w14:textId="47DED26C" w:rsidR="007463B2" w:rsidRDefault="00633837" w:rsidP="000302F6">
            <w:pPr>
              <w:ind w:left="360"/>
            </w:pPr>
            <w:r>
              <w:t>Ces tests s’appu</w:t>
            </w:r>
            <w:r w:rsidR="00C814C0">
              <w:t>i</w:t>
            </w:r>
            <w:r>
              <w:t>ent donc sur :</w:t>
            </w:r>
          </w:p>
          <w:p w14:paraId="0DAEE435" w14:textId="46E8FF43" w:rsidR="0024012F" w:rsidRDefault="0024012F">
            <w:pPr>
              <w:pStyle w:val="Paragraphedeliste"/>
              <w:numPr>
                <w:ilvl w:val="0"/>
                <w:numId w:val="66"/>
              </w:numPr>
            </w:pPr>
            <w:proofErr w:type="gramStart"/>
            <w:r>
              <w:t>des</w:t>
            </w:r>
            <w:proofErr w:type="gramEnd"/>
            <w:r>
              <w:t xml:space="preserve"> panels permanents ;</w:t>
            </w:r>
          </w:p>
          <w:p w14:paraId="09756EEB" w14:textId="4DB8D81D" w:rsidR="0024012F" w:rsidRDefault="0024012F">
            <w:pPr>
              <w:pStyle w:val="Paragraphedeliste"/>
              <w:numPr>
                <w:ilvl w:val="0"/>
                <w:numId w:val="66"/>
              </w:numPr>
            </w:pPr>
            <w:proofErr w:type="gramStart"/>
            <w:r>
              <w:t>des</w:t>
            </w:r>
            <w:proofErr w:type="gramEnd"/>
            <w:r>
              <w:t xml:space="preserve"> partenariats avec des associations ;</w:t>
            </w:r>
          </w:p>
          <w:p w14:paraId="792CE08B" w14:textId="142532B1" w:rsidR="0024012F" w:rsidRDefault="0024012F">
            <w:pPr>
              <w:pStyle w:val="Paragraphedeliste"/>
              <w:numPr>
                <w:ilvl w:val="0"/>
                <w:numId w:val="66"/>
              </w:numPr>
            </w:pPr>
            <w:proofErr w:type="gramStart"/>
            <w:r>
              <w:t>des</w:t>
            </w:r>
            <w:proofErr w:type="gramEnd"/>
            <w:r>
              <w:t xml:space="preserve"> dispositifs internes impliquant des agents concernés.</w:t>
            </w:r>
          </w:p>
          <w:p w14:paraId="2C120650" w14:textId="77777777" w:rsidR="00646CD1" w:rsidRDefault="00646CD1" w:rsidP="00646CD1"/>
          <w:p w14:paraId="7B5D529F" w14:textId="5CB797BF" w:rsidR="0024012F" w:rsidRPr="0024012F" w:rsidRDefault="0024012F" w:rsidP="0024012F">
            <w:pPr>
              <w:jc w:val="right"/>
              <w:rPr>
                <w:b/>
                <w:bCs/>
              </w:rPr>
            </w:pPr>
            <w:r w:rsidRPr="0024012F">
              <w:rPr>
                <w:b/>
                <w:bCs/>
              </w:rPr>
              <w:t>Johanna DANIEL</w:t>
            </w:r>
            <w:r w:rsidR="00B262F4" w:rsidRPr="00B262F4">
              <w:t xml:space="preserve">, Cheffe du bureau des politiques numériques ministérielles, </w:t>
            </w:r>
            <w:r w:rsidR="00CA46A4">
              <w:br/>
            </w:r>
            <w:r w:rsidR="00B262F4" w:rsidRPr="000302F6">
              <w:rPr>
                <w:b/>
                <w:bCs/>
              </w:rPr>
              <w:t>Ministère de l’Intérieur</w:t>
            </w:r>
          </w:p>
        </w:tc>
      </w:tr>
    </w:tbl>
    <w:p w14:paraId="7FAACB9B" w14:textId="77777777" w:rsidR="0024012F" w:rsidRDefault="0024012F" w:rsidP="001E440D">
      <w:pPr>
        <w:rPr>
          <w:rFonts w:eastAsia="Times New Roman"/>
        </w:rPr>
      </w:pPr>
    </w:p>
    <w:p w14:paraId="28583B23" w14:textId="77777777" w:rsidR="001E440D" w:rsidRPr="001E440D" w:rsidRDefault="001E440D" w:rsidP="001E440D">
      <w:pPr>
        <w:rPr>
          <w:rFonts w:eastAsia="Times New Roman"/>
        </w:rPr>
      </w:pPr>
    </w:p>
    <w:p w14:paraId="3B6FD6CA" w14:textId="51EC9D50" w:rsidR="00D702F6" w:rsidRDefault="00D702F6" w:rsidP="00BC6B82">
      <w:pPr>
        <w:rPr>
          <w:rFonts w:eastAsia="Times New Roman"/>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D62C23" w:rsidRPr="00C43137" w14:paraId="53710714" w14:textId="77777777" w:rsidTr="002329FF">
        <w:trPr>
          <w:jc w:val="center"/>
        </w:trPr>
        <w:tc>
          <w:tcPr>
            <w:tcW w:w="9047" w:type="dxa"/>
            <w:tcBorders>
              <w:left w:val="single" w:sz="18" w:space="0" w:color="155E48"/>
            </w:tcBorders>
            <w:shd w:val="clear" w:color="auto" w:fill="F2F2F2" w:themeFill="background1" w:themeFillShade="F2"/>
          </w:tcPr>
          <w:p w14:paraId="07A850F9" w14:textId="08509142" w:rsidR="00D62C23" w:rsidRPr="00D62C23" w:rsidRDefault="00D62C23" w:rsidP="00D62C23">
            <w:pPr>
              <w:pStyle w:val="TitreEncart"/>
              <w:rPr>
                <w:bCs/>
              </w:rPr>
            </w:pPr>
            <w:bookmarkStart w:id="63" w:name="_Toc230257735"/>
            <w:r w:rsidRPr="00D62C23">
              <w:rPr>
                <w:bCs/>
              </w:rPr>
              <w:lastRenderedPageBreak/>
              <w:t>REX CACD2 (Crédit Agricole Conseil et Développement Digital)</w:t>
            </w:r>
            <w:bookmarkEnd w:id="63"/>
            <w:r w:rsidRPr="00D62C23">
              <w:rPr>
                <w:bCs/>
              </w:rPr>
              <w:t xml:space="preserve"> </w:t>
            </w:r>
          </w:p>
          <w:p w14:paraId="5B039235" w14:textId="30624665" w:rsidR="00D62C23" w:rsidRPr="00D62C23" w:rsidRDefault="00D62C23" w:rsidP="0033608D">
            <w:pPr>
              <w:pStyle w:val="TitreencartREX"/>
            </w:pPr>
            <w:r w:rsidRPr="00D62C23">
              <w:t>Méthodologie d'intégration opérationnelle de l'accessibilité numérique dans un projet</w:t>
            </w:r>
            <w:r>
              <w:t xml:space="preserve"> </w:t>
            </w:r>
          </w:p>
          <w:p w14:paraId="2017BDD4" w14:textId="3F0217D3" w:rsidR="00F671A3" w:rsidRDefault="00F755EB" w:rsidP="00F671A3">
            <w:pPr>
              <w:rPr>
                <w:lang w:eastAsia="fr-FR"/>
              </w:rPr>
            </w:pPr>
            <w:r>
              <w:rPr>
                <w:lang w:eastAsia="fr-FR"/>
              </w:rPr>
              <w:t xml:space="preserve">« </w:t>
            </w:r>
            <w:r w:rsidR="00F671A3">
              <w:rPr>
                <w:lang w:eastAsia="fr-FR"/>
              </w:rPr>
              <w:t xml:space="preserve">Pour l'intégration opérationnelle de l'accessibilité dans les projets, CACD2 a privilégié le développement d'une </w:t>
            </w:r>
            <w:r w:rsidR="00F671A3" w:rsidRPr="00B5346E">
              <w:rPr>
                <w:b/>
                <w:bCs/>
                <w:lang w:eastAsia="fr-FR"/>
              </w:rPr>
              <w:t>expertise interne solide</w:t>
            </w:r>
            <w:r w:rsidR="00C814C0">
              <w:rPr>
                <w:b/>
                <w:bCs/>
                <w:lang w:eastAsia="fr-FR"/>
              </w:rPr>
              <w:t>,</w:t>
            </w:r>
            <w:r w:rsidR="00F671A3">
              <w:rPr>
                <w:lang w:eastAsia="fr-FR"/>
              </w:rPr>
              <w:t xml:space="preserve"> afin de soutenir et d'encadrer les équipes du groupe. Cette stratégie s'est concrétisée par la création d'un </w:t>
            </w:r>
            <w:r w:rsidR="00F671A3" w:rsidRPr="00B5346E">
              <w:rPr>
                <w:b/>
                <w:bCs/>
                <w:lang w:eastAsia="fr-FR"/>
              </w:rPr>
              <w:t>pôle de référents pluridisciplinaire</w:t>
            </w:r>
            <w:r w:rsidR="00B5346E">
              <w:rPr>
                <w:b/>
                <w:bCs/>
                <w:lang w:eastAsia="fr-FR"/>
              </w:rPr>
              <w:t>s</w:t>
            </w:r>
            <w:r w:rsidR="00F671A3">
              <w:rPr>
                <w:lang w:eastAsia="fr-FR"/>
              </w:rPr>
              <w:t xml:space="preserve"> (PO, UX/UI, développeurs, …)</w:t>
            </w:r>
            <w:r w:rsidR="00C814C0">
              <w:rPr>
                <w:lang w:eastAsia="fr-FR"/>
              </w:rPr>
              <w:t>,</w:t>
            </w:r>
            <w:r w:rsidR="00F671A3">
              <w:rPr>
                <w:lang w:eastAsia="fr-FR"/>
              </w:rPr>
              <w:t xml:space="preserve"> ayant une expertise dans l’accessibilité numérique, </w:t>
            </w:r>
            <w:r w:rsidR="00C814C0">
              <w:rPr>
                <w:lang w:eastAsia="fr-FR"/>
              </w:rPr>
              <w:t xml:space="preserve">et </w:t>
            </w:r>
            <w:r w:rsidR="00F671A3">
              <w:rPr>
                <w:lang w:eastAsia="fr-FR"/>
              </w:rPr>
              <w:t xml:space="preserve">dont la mission première est </w:t>
            </w:r>
            <w:r w:rsidR="00F671A3" w:rsidRPr="00B5346E">
              <w:rPr>
                <w:b/>
                <w:bCs/>
                <w:lang w:eastAsia="fr-FR"/>
              </w:rPr>
              <w:t>d'assurer l'accompagnement des équipes projet</w:t>
            </w:r>
            <w:r w:rsidR="00F671A3">
              <w:rPr>
                <w:lang w:eastAsia="fr-FR"/>
              </w:rPr>
              <w:t xml:space="preserve"> (en interne chez CACD2 et </w:t>
            </w:r>
            <w:r w:rsidR="00C814C0">
              <w:rPr>
                <w:lang w:eastAsia="fr-FR"/>
              </w:rPr>
              <w:t xml:space="preserve">les </w:t>
            </w:r>
            <w:r w:rsidR="00F671A3">
              <w:rPr>
                <w:lang w:eastAsia="fr-FR"/>
              </w:rPr>
              <w:t xml:space="preserve">entités du groupe), </w:t>
            </w:r>
            <w:r w:rsidR="00F671A3" w:rsidRPr="00B5346E">
              <w:rPr>
                <w:b/>
                <w:bCs/>
                <w:lang w:eastAsia="fr-FR"/>
              </w:rPr>
              <w:t>en amont et tout au long du cycle de vie</w:t>
            </w:r>
            <w:r w:rsidR="00F671A3">
              <w:rPr>
                <w:lang w:eastAsia="fr-FR"/>
              </w:rPr>
              <w:t xml:space="preserve">, et de </w:t>
            </w:r>
            <w:r w:rsidR="00F671A3" w:rsidRPr="00B5346E">
              <w:rPr>
                <w:b/>
                <w:bCs/>
                <w:lang w:eastAsia="fr-FR"/>
              </w:rPr>
              <w:t>diffuser les bonnes pratiques</w:t>
            </w:r>
            <w:r w:rsidR="00F671A3">
              <w:rPr>
                <w:lang w:eastAsia="fr-FR"/>
              </w:rPr>
              <w:t xml:space="preserve"> au sein du Groupe Crédit Agricole.</w:t>
            </w:r>
          </w:p>
          <w:p w14:paraId="49DA3379" w14:textId="01A6337A" w:rsidR="00F671A3" w:rsidRDefault="00F671A3" w:rsidP="00F671A3">
            <w:pPr>
              <w:rPr>
                <w:lang w:eastAsia="fr-FR"/>
              </w:rPr>
            </w:pPr>
            <w:r>
              <w:rPr>
                <w:lang w:eastAsia="fr-FR"/>
              </w:rPr>
              <w:t xml:space="preserve">En parallèle, CACD2 développe des </w:t>
            </w:r>
            <w:r w:rsidRPr="00B5346E">
              <w:rPr>
                <w:b/>
                <w:bCs/>
                <w:lang w:eastAsia="fr-FR"/>
              </w:rPr>
              <w:t>partenariats avec des agences spécialisées</w:t>
            </w:r>
            <w:r>
              <w:rPr>
                <w:lang w:eastAsia="fr-FR"/>
              </w:rPr>
              <w:t xml:space="preserve"> dans l’accessibilité numérique pour rester à l’état de l’art et s’appuyer sur des experts reconnus du marché : depuis 2024, c’est </w:t>
            </w:r>
            <w:proofErr w:type="spellStart"/>
            <w:r w:rsidRPr="00B5346E">
              <w:rPr>
                <w:b/>
                <w:bCs/>
                <w:i/>
                <w:iCs/>
                <w:lang w:eastAsia="fr-FR"/>
              </w:rPr>
              <w:t>Ethic</w:t>
            </w:r>
            <w:proofErr w:type="spellEnd"/>
            <w:r w:rsidRPr="00B5346E">
              <w:rPr>
                <w:b/>
                <w:bCs/>
                <w:i/>
                <w:iCs/>
                <w:lang w:eastAsia="fr-FR"/>
              </w:rPr>
              <w:t xml:space="preserve"> First</w:t>
            </w:r>
            <w:r>
              <w:rPr>
                <w:lang w:eastAsia="fr-FR"/>
              </w:rPr>
              <w:t xml:space="preserve"> qui collabore avec CACD2 pour la réalisation de prestations d’accessibilité numérique, notamment pour répondre aux obligations légales en la matière et combiner leurs expertises pour offrir une solution globale et intégrée d'accessibilité numérique.</w:t>
            </w:r>
          </w:p>
          <w:p w14:paraId="52F59168" w14:textId="77777777" w:rsidR="00F671A3" w:rsidRDefault="00F671A3" w:rsidP="00F671A3">
            <w:pPr>
              <w:rPr>
                <w:lang w:eastAsia="fr-FR"/>
              </w:rPr>
            </w:pPr>
            <w:r>
              <w:rPr>
                <w:lang w:eastAsia="fr-FR"/>
              </w:rPr>
              <w:t xml:space="preserve">CACD2 a fait de </w:t>
            </w:r>
            <w:r w:rsidRPr="00B5346E">
              <w:rPr>
                <w:b/>
                <w:bCs/>
                <w:lang w:eastAsia="fr-FR"/>
              </w:rPr>
              <w:t>l’acculturation et de la formation</w:t>
            </w:r>
            <w:r>
              <w:rPr>
                <w:lang w:eastAsia="fr-FR"/>
              </w:rPr>
              <w:t xml:space="preserve"> de l’ensemble de ses collaborateurs un axe fort. L’entité veille notamment à renforcer la prise en compte des enjeux d’accessibilité dans toutes les pratiques digitales.</w:t>
            </w:r>
          </w:p>
          <w:p w14:paraId="12EC96A1" w14:textId="2AA30C37" w:rsidR="00D62C23" w:rsidRDefault="00F671A3" w:rsidP="00F671A3">
            <w:pPr>
              <w:jc w:val="left"/>
              <w:rPr>
                <w:lang w:eastAsia="fr-FR"/>
              </w:rPr>
            </w:pPr>
            <w:r>
              <w:rPr>
                <w:lang w:eastAsia="fr-FR"/>
              </w:rPr>
              <w:t xml:space="preserve">Voici en synthèse la timeline méthodologique de l’intégration de l’accessibilité numérique dans un projet </w:t>
            </w:r>
            <w:r w:rsidR="00D62C23">
              <w:rPr>
                <w:lang w:eastAsia="fr-FR"/>
              </w:rPr>
              <w:t>:</w:t>
            </w:r>
            <w:r w:rsidR="00D62C23" w:rsidRPr="00D62C23">
              <w:rPr>
                <w:lang w:eastAsia="fr-FR"/>
              </w:rPr>
              <w:t xml:space="preserve"> </w:t>
            </w:r>
            <w:r w:rsidR="006E1221">
              <w:rPr>
                <w:rFonts w:ascii="Calibri" w:hAnsi="Calibri" w:cs="Calibri"/>
                <w:noProof/>
                <w:color w:val="4B5943"/>
                <w:bdr w:val="none" w:sz="0" w:space="0" w:color="auto" w:frame="1"/>
              </w:rPr>
              <w:drawing>
                <wp:inline distT="0" distB="0" distL="0" distR="0" wp14:anchorId="0633EEBF" wp14:editId="5B4815E1">
                  <wp:extent cx="5382895" cy="3021330"/>
                  <wp:effectExtent l="0" t="0" r="8255" b="7620"/>
                  <wp:docPr id="2065298580" name="Image 4" descr="Ce schéma, intitulé « L’accessibilité, le sujet de tous dès le Kick off », détaille l'intégration de l'accessibilité tout au long du cycle de vie d'un projet agile (du lancement à l'audit final) en répartissant les responsabilités par métier : &#10;- Référent·es : Accompagnent les équipes transverses sur toute la durée du projet.&#10;- Agence d'experts (Ethic First) : Intervient lors du Sprint 0 (pré-audit maquettes sur Figma) et durant le Déroulé (pré-audit du code et création de tickets).&#10;- Product Owner (PO) : Porte le sujet dès le lancement, rédige les User Stories avec critères d'accessibilité et pilote la correction du backlog.&#10;- Designers : Intègrent les recommandations dès la conception et corrigent les maquettes après les audits.&#10;- Développeurs : Prennent en compte les normes dans leurs réalisations et appliquent les correctifs suite aux pré-audits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8580" name="Image 4" descr="Ce schéma, intitulé « L’accessibilité, le sujet de tous dès le Kick off », détaille l'intégration de l'accessibilité tout au long du cycle de vie d'un projet agile (du lancement à l'audit final) en répartissant les responsabilités par métier : &#10;- Référent·es : Accompagnent les équipes transverses sur toute la durée du projet.&#10;- Agence d'experts (Ethic First) : Intervient lors du Sprint 0 (pré-audit maquettes sur Figma) et durant le Déroulé (pré-audit du code et création de tickets).&#10;- Product Owner (PO) : Porte le sujet dès le lancement, rédige les User Stories avec critères d'accessibilité et pilote la correction du backlog.&#10;- Designers : Intègrent les recommandations dès la conception et corrigent les maquettes après les audits.&#10;- Développeurs : Prennent en compte les normes dans leurs réalisations et appliquent les correctifs suite aux pré-audits techniq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2895" cy="3021330"/>
                          </a:xfrm>
                          <a:prstGeom prst="rect">
                            <a:avLst/>
                          </a:prstGeom>
                          <a:noFill/>
                          <a:ln>
                            <a:noFill/>
                          </a:ln>
                        </pic:spPr>
                      </pic:pic>
                    </a:graphicData>
                  </a:graphic>
                </wp:inline>
              </w:drawing>
            </w:r>
          </w:p>
          <w:p w14:paraId="38273035" w14:textId="7ACB6085" w:rsidR="006E1221" w:rsidRPr="00D62C23" w:rsidRDefault="006E1221" w:rsidP="006E1221">
            <w:pPr>
              <w:jc w:val="left"/>
              <w:rPr>
                <w:lang w:eastAsia="fr-FR"/>
              </w:rPr>
            </w:pPr>
            <w:r>
              <w:rPr>
                <w:rFonts w:ascii="Calibri" w:hAnsi="Calibri" w:cs="Calibri"/>
                <w:noProof/>
                <w:color w:val="4B5943"/>
                <w:bdr w:val="none" w:sz="0" w:space="0" w:color="auto" w:frame="1"/>
              </w:rPr>
              <w:lastRenderedPageBreak/>
              <w:drawing>
                <wp:inline distT="0" distB="0" distL="0" distR="0" wp14:anchorId="4A0DFAA2" wp14:editId="0E87EE2B">
                  <wp:extent cx="5382895" cy="3005455"/>
                  <wp:effectExtent l="0" t="0" r="8255" b="4445"/>
                  <wp:docPr id="1903249373" name="Image 5" descr="Ce schéma présente une méthodologie en 5 étapes pour intégrer l’accessibilité tout au long du cycle de vie d’un projet :&#10;- Kick off (Sensibilisation) : Accompagnement des équipes par les référents et mise à disposition d'outils (playbook, guidelines).&#10;- Démarrage projet (Conception) : Utilisation des référentiels (WCAG, RGAA) et d'outils de tests automatiques pour établir les recommandations amonts.&#10;- Pilotage des Pré-audits : Contrôles réguliers de l'accessibilité, de la phase de conception jusqu'au développement.&#10;- Correctifs projet : Recommandations sur Figma et intégration de tickets d'accessibilité priorisés dans le backlog JIRA.&#10;- Livraison : Réalisation de l'audit d'accessibilité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49373" name="Image 5" descr="Ce schéma présente une méthodologie en 5 étapes pour intégrer l’accessibilité tout au long du cycle de vie d’un projet :&#10;- Kick off (Sensibilisation) : Accompagnement des équipes par les référents et mise à disposition d'outils (playbook, guidelines).&#10;- Démarrage projet (Conception) : Utilisation des référentiels (WCAG, RGAA) et d'outils de tests automatiques pour établir les recommandations amonts.&#10;- Pilotage des Pré-audits : Contrôles réguliers de l'accessibilité, de la phase de conception jusqu'au développement.&#10;- Correctifs projet : Recommandations sur Figma et intégration de tickets d'accessibilité priorisés dans le backlog JIRA.&#10;- Livraison : Réalisation de l'audit d'accessibilité fi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895" cy="3005455"/>
                          </a:xfrm>
                          <a:prstGeom prst="rect">
                            <a:avLst/>
                          </a:prstGeom>
                          <a:noFill/>
                          <a:ln>
                            <a:noFill/>
                          </a:ln>
                        </pic:spPr>
                      </pic:pic>
                    </a:graphicData>
                  </a:graphic>
                </wp:inline>
              </w:drawing>
            </w:r>
          </w:p>
          <w:p w14:paraId="66B0063D" w14:textId="77777777" w:rsidR="00F671A3" w:rsidRPr="006E1221" w:rsidRDefault="00F671A3" w:rsidP="00F671A3">
            <w:pPr>
              <w:jc w:val="left"/>
            </w:pPr>
            <w:r w:rsidRPr="006E1221">
              <w:t>Le bilan de ces premières actions est positif : </w:t>
            </w:r>
          </w:p>
          <w:p w14:paraId="09EC3A9D" w14:textId="77777777" w:rsidR="00F671A3" w:rsidRPr="006E1221" w:rsidRDefault="00F671A3">
            <w:pPr>
              <w:numPr>
                <w:ilvl w:val="0"/>
                <w:numId w:val="28"/>
              </w:numPr>
            </w:pPr>
            <w:r w:rsidRPr="006E1221">
              <w:t xml:space="preserve">Les formations, l’apprentissage continu et la démarche </w:t>
            </w:r>
            <w:proofErr w:type="spellStart"/>
            <w:r w:rsidRPr="006E1221">
              <w:rPr>
                <w:i/>
                <w:iCs/>
              </w:rPr>
              <w:t>accessibility</w:t>
            </w:r>
            <w:proofErr w:type="spellEnd"/>
            <w:r w:rsidRPr="006E1221">
              <w:rPr>
                <w:i/>
                <w:iCs/>
              </w:rPr>
              <w:t xml:space="preserve"> by design</w:t>
            </w:r>
            <w:r w:rsidRPr="006E1221">
              <w:t xml:space="preserve"> ont permis de </w:t>
            </w:r>
            <w:r w:rsidRPr="00B5346E">
              <w:rPr>
                <w:b/>
                <w:bCs/>
              </w:rPr>
              <w:t>réduire significativement les temps de gestion de projets, de développement et de conception UX/UI</w:t>
            </w:r>
            <w:r w:rsidRPr="006E1221">
              <w:t xml:space="preserve"> ;</w:t>
            </w:r>
          </w:p>
          <w:p w14:paraId="46915474" w14:textId="586DA388" w:rsidR="00F671A3" w:rsidRPr="006E1221" w:rsidRDefault="00F671A3">
            <w:pPr>
              <w:numPr>
                <w:ilvl w:val="0"/>
                <w:numId w:val="28"/>
              </w:numPr>
            </w:pPr>
            <w:r w:rsidRPr="006E1221">
              <w:t xml:space="preserve">CACD2 mise sur la montée en compétence continue de ses collaborateurs : les développeurs par exemple sont </w:t>
            </w:r>
            <w:r w:rsidRPr="00B5346E">
              <w:rPr>
                <w:b/>
                <w:bCs/>
              </w:rPr>
              <w:t>régulièrement formés et accompagnés pour renforcer leur expertise</w:t>
            </w:r>
            <w:r w:rsidRPr="006E1221">
              <w:t xml:space="preserve">, notamment à travers la </w:t>
            </w:r>
            <w:r w:rsidRPr="00B5346E">
              <w:rPr>
                <w:b/>
                <w:bCs/>
              </w:rPr>
              <w:t>certification Access42</w:t>
            </w:r>
            <w:r w:rsidRPr="006E1221">
              <w:t>, reconnue pour son niveau d’exigence et son rôle clé dans la promotion de l’accessibilité numérique ;</w:t>
            </w:r>
          </w:p>
          <w:p w14:paraId="5061C18D" w14:textId="77777777" w:rsidR="00F671A3" w:rsidRPr="006E1221" w:rsidRDefault="00F671A3">
            <w:pPr>
              <w:numPr>
                <w:ilvl w:val="0"/>
                <w:numId w:val="28"/>
              </w:numPr>
            </w:pPr>
            <w:r w:rsidRPr="006E1221">
              <w:t>L’engagement des collaborateurs autour du pôle A11y (</w:t>
            </w:r>
            <w:proofErr w:type="spellStart"/>
            <w:r w:rsidRPr="006E1221">
              <w:rPr>
                <w:i/>
                <w:iCs/>
              </w:rPr>
              <w:t>Accessibility</w:t>
            </w:r>
            <w:proofErr w:type="spellEnd"/>
            <w:r w:rsidRPr="006E1221">
              <w:t xml:space="preserve">) illustre la </w:t>
            </w:r>
            <w:r w:rsidRPr="00B5346E">
              <w:rPr>
                <w:b/>
                <w:bCs/>
              </w:rPr>
              <w:t>mobilisation collective</w:t>
            </w:r>
            <w:r w:rsidRPr="006E1221">
              <w:t xml:space="preserve"> de CACD2 pour intégrer durablement l’accessibilité numérique dans ses pratiques ;</w:t>
            </w:r>
          </w:p>
          <w:p w14:paraId="514B2F24" w14:textId="77777777" w:rsidR="00F671A3" w:rsidRPr="006E1221" w:rsidRDefault="00F671A3">
            <w:pPr>
              <w:numPr>
                <w:ilvl w:val="0"/>
                <w:numId w:val="28"/>
              </w:numPr>
            </w:pPr>
            <w:r w:rsidRPr="006E1221">
              <w:t xml:space="preserve">Grâce à l’accompagnement et aux formations, le </w:t>
            </w:r>
            <w:r w:rsidRPr="00B5346E">
              <w:rPr>
                <w:b/>
                <w:bCs/>
              </w:rPr>
              <w:t xml:space="preserve">nombre de pré-audits nécessaires a été divisé par trois </w:t>
            </w:r>
            <w:r w:rsidRPr="006E1221">
              <w:t>; </w:t>
            </w:r>
          </w:p>
          <w:p w14:paraId="4C5C47A7" w14:textId="77777777" w:rsidR="00F671A3" w:rsidRPr="006E1221" w:rsidRDefault="00F671A3">
            <w:pPr>
              <w:numPr>
                <w:ilvl w:val="0"/>
                <w:numId w:val="28"/>
              </w:numPr>
            </w:pPr>
            <w:r w:rsidRPr="006E1221">
              <w:t xml:space="preserve">Le site vitrine est </w:t>
            </w:r>
            <w:r w:rsidRPr="00B5346E">
              <w:rPr>
                <w:b/>
                <w:bCs/>
              </w:rPr>
              <w:t>100% conforme au RGAA</w:t>
            </w:r>
            <w:r w:rsidRPr="006E1221">
              <w:t xml:space="preserve"> (cacd2.fr certifié</w:t>
            </w:r>
            <w:r>
              <w:rPr>
                <w:rStyle w:val="Appelnotedebasdep"/>
              </w:rPr>
              <w:footnoteReference w:id="22"/>
            </w:r>
            <w:r w:rsidRPr="006E1221">
              <w:t>) ;</w:t>
            </w:r>
          </w:p>
          <w:p w14:paraId="18A7B5EC" w14:textId="460FC8EB" w:rsidR="00646CD1" w:rsidRPr="006E1221" w:rsidRDefault="00F671A3" w:rsidP="00F671A3">
            <w:r w:rsidRPr="006E1221">
              <w:t>L’accessibilité numérique ne doit plus être perçue comme une contrainte budgétaire, mais comme un pilier essentiel à prendre en compte au même titre que la sécurité ou le ROI.</w:t>
            </w:r>
            <w:r w:rsidR="00F755EB">
              <w:t xml:space="preserve"> »</w:t>
            </w:r>
          </w:p>
          <w:p w14:paraId="308402ED" w14:textId="4F78C601" w:rsidR="00D62C23" w:rsidRPr="00C43137" w:rsidRDefault="00F671A3" w:rsidP="00F671A3">
            <w:pPr>
              <w:jc w:val="right"/>
            </w:pPr>
            <w:r w:rsidRPr="006E1221">
              <w:rPr>
                <w:b/>
                <w:bCs/>
              </w:rPr>
              <w:t>Elodie Vuarchex</w:t>
            </w:r>
            <w:r w:rsidRPr="006E1221">
              <w:t xml:space="preserve">, Référente Accessibilité Numérique et Product Owner </w:t>
            </w:r>
            <w:r w:rsidRPr="006E1221">
              <w:br/>
              <w:t xml:space="preserve">chez </w:t>
            </w:r>
            <w:r w:rsidRPr="000302F6">
              <w:rPr>
                <w:b/>
                <w:bCs/>
              </w:rPr>
              <w:t>CACD2</w:t>
            </w:r>
          </w:p>
        </w:tc>
      </w:tr>
    </w:tbl>
    <w:p w14:paraId="0AF33B58" w14:textId="77777777" w:rsidR="00D62C23" w:rsidRPr="00744FAB" w:rsidRDefault="00D62C23" w:rsidP="00D62C23">
      <w:pPr>
        <w:rPr>
          <w:rFonts w:eastAsia="Times New Roman"/>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C70D0D" w:rsidRPr="00C43137" w14:paraId="7DAAA3ED" w14:textId="77777777" w:rsidTr="00F1649B">
        <w:trPr>
          <w:jc w:val="center"/>
        </w:trPr>
        <w:tc>
          <w:tcPr>
            <w:tcW w:w="9047" w:type="dxa"/>
            <w:tcBorders>
              <w:left w:val="single" w:sz="18" w:space="0" w:color="155E48"/>
            </w:tcBorders>
            <w:shd w:val="clear" w:color="auto" w:fill="F2F2F2" w:themeFill="background1" w:themeFillShade="F2"/>
          </w:tcPr>
          <w:p w14:paraId="4DC87637" w14:textId="77777777" w:rsidR="00C70D0D" w:rsidRPr="002D2C27" w:rsidRDefault="00C70D0D" w:rsidP="0098335B">
            <w:pPr>
              <w:pStyle w:val="TitreEncart"/>
              <w:rPr>
                <w:bCs/>
              </w:rPr>
            </w:pPr>
            <w:bookmarkStart w:id="64" w:name="_Toc230257736"/>
            <w:r w:rsidRPr="00D62C23">
              <w:rPr>
                <w:bCs/>
              </w:rPr>
              <w:lastRenderedPageBreak/>
              <w:t xml:space="preserve">REX </w:t>
            </w:r>
            <w:r w:rsidRPr="002D2C27">
              <w:rPr>
                <w:bCs/>
              </w:rPr>
              <w:t>Caisse des dépôts</w:t>
            </w:r>
            <w:bookmarkEnd w:id="64"/>
          </w:p>
          <w:p w14:paraId="1E6C0B67" w14:textId="77777777" w:rsidR="00C70D0D" w:rsidRPr="002D2C27" w:rsidRDefault="00C70D0D" w:rsidP="0033608D">
            <w:pPr>
              <w:pStyle w:val="TitreencartREX"/>
            </w:pPr>
            <w:r>
              <w:t>C</w:t>
            </w:r>
            <w:r w:rsidRPr="002D2C27">
              <w:t>omment industrialiser la démarche d’accessibilité numérique ?</w:t>
            </w:r>
          </w:p>
          <w:p w14:paraId="31FE25B7" w14:textId="78F045FD" w:rsidR="00C70D0D" w:rsidRPr="002D2C27" w:rsidRDefault="00F755EB" w:rsidP="0098335B">
            <w:pPr>
              <w:rPr>
                <w:lang w:eastAsia="fr-FR"/>
              </w:rPr>
            </w:pPr>
            <w:r>
              <w:rPr>
                <w:lang w:eastAsia="fr-FR"/>
              </w:rPr>
              <w:t xml:space="preserve">« </w:t>
            </w:r>
            <w:r w:rsidR="00C70D0D" w:rsidRPr="002D2C27">
              <w:rPr>
                <w:lang w:eastAsia="fr-FR"/>
              </w:rPr>
              <w:t>Industrialiser la démarche d’accessibilité numérique permet d’accompagner les collaborateurs et prestataires à toutes les étapes clés de la chaîne de valeur du numérique.</w:t>
            </w:r>
          </w:p>
          <w:p w14:paraId="7DF9B944" w14:textId="77777777" w:rsidR="00C70D0D" w:rsidRDefault="00C70D0D" w:rsidP="0098335B">
            <w:pPr>
              <w:rPr>
                <w:lang w:eastAsia="fr-FR"/>
              </w:rPr>
            </w:pPr>
            <w:r>
              <w:rPr>
                <w:lang w:eastAsia="fr-FR"/>
              </w:rPr>
              <w:t>Un</w:t>
            </w:r>
            <w:r w:rsidRPr="002D2C27">
              <w:rPr>
                <w:lang w:eastAsia="fr-FR"/>
              </w:rPr>
              <w:t xml:space="preserve"> document de spécifications en matière d’accessibilité </w:t>
            </w:r>
            <w:r>
              <w:rPr>
                <w:lang w:eastAsia="fr-FR"/>
              </w:rPr>
              <w:t>est systématiquement mis à disposition des</w:t>
            </w:r>
            <w:r w:rsidRPr="002D2C27">
              <w:rPr>
                <w:lang w:eastAsia="fr-FR"/>
              </w:rPr>
              <w:t xml:space="preserve"> personnes intervenant dans la conception de services numériques (Maîtrise d’ouvrage, </w:t>
            </w:r>
            <w:r w:rsidRPr="000302F6">
              <w:rPr>
                <w:i/>
                <w:iCs/>
                <w:lang w:eastAsia="fr-FR"/>
              </w:rPr>
              <w:t xml:space="preserve">Business </w:t>
            </w:r>
            <w:proofErr w:type="spellStart"/>
            <w:r w:rsidRPr="000302F6">
              <w:rPr>
                <w:i/>
                <w:iCs/>
                <w:lang w:eastAsia="fr-FR"/>
              </w:rPr>
              <w:t>analyst</w:t>
            </w:r>
            <w:proofErr w:type="spellEnd"/>
            <w:r w:rsidRPr="000302F6">
              <w:rPr>
                <w:i/>
                <w:iCs/>
                <w:lang w:eastAsia="fr-FR"/>
              </w:rPr>
              <w:t>, UX Designer</w:t>
            </w:r>
            <w:r w:rsidRPr="002D2C27">
              <w:rPr>
                <w:lang w:eastAsia="fr-FR"/>
              </w:rPr>
              <w:t>, etc.), chargées de rédiger des règles décrivant le fonctionnement d’interfaces utilisateurs.</w:t>
            </w:r>
          </w:p>
          <w:p w14:paraId="70455319" w14:textId="77777777" w:rsidR="00C70D0D" w:rsidRDefault="00C70D0D" w:rsidP="0098335B">
            <w:pPr>
              <w:rPr>
                <w:lang w:eastAsia="fr-FR"/>
              </w:rPr>
            </w:pPr>
            <w:r>
              <w:rPr>
                <w:rFonts w:ascii="Calibri" w:hAnsi="Calibri" w:cs="Calibri"/>
                <w:noProof/>
                <w:color w:val="262626"/>
                <w:bdr w:val="none" w:sz="0" w:space="0" w:color="auto" w:frame="1"/>
              </w:rPr>
              <w:drawing>
                <wp:inline distT="0" distB="0" distL="0" distR="0" wp14:anchorId="165FBCE0" wp14:editId="71DDA7ED">
                  <wp:extent cx="5381625" cy="3133725"/>
                  <wp:effectExtent l="0" t="0" r="9525" b="9525"/>
                  <wp:docPr id="383345061" name="Image 6" descr="Ce schéma illustre l'interaction continue entre les différents corps de métiers d'un projet numérique et les référents accessibilité pour garantir la conformité du produit. Le processus débute par la conception des maquettes par les UX/UI Designers, qui sont ensuite traduites en spécifications et User Stories (US) par la MOA et les Business Analysts. Ces éléments sont transmis aux développeurs pour la production du code. Tout au long de ce cycle agile, symbolisé par une boucle centrale, les référents accessibilité interviennent de manière transversale pour assurer des échanges, des revues de spécifications et des recettes des interfaces développées, créant ainsi une boucle de rétroaction constante entre la conception, la documentation et la réalisation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45061" name="Image 6" descr="Ce schéma illustre l'interaction continue entre les différents corps de métiers d'un projet numérique et les référents accessibilité pour garantir la conformité du produit. Le processus débute par la conception des maquettes par les UX/UI Designers, qui sont ensuite traduites en spécifications et User Stories (US) par la MOA et les Business Analysts. Ces éléments sont transmis aux développeurs pour la production du code. Tout au long de ce cycle agile, symbolisé par une boucle centrale, les référents accessibilité interviennent de manière transversale pour assurer des échanges, des revues de spécifications et des recettes des interfaces développées, créant ainsi une boucle de rétroaction constante entre la conception, la documentation et la réalisation techniq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3133725"/>
                          </a:xfrm>
                          <a:prstGeom prst="rect">
                            <a:avLst/>
                          </a:prstGeom>
                          <a:noFill/>
                          <a:ln>
                            <a:noFill/>
                          </a:ln>
                        </pic:spPr>
                      </pic:pic>
                    </a:graphicData>
                  </a:graphic>
                </wp:inline>
              </w:drawing>
            </w:r>
          </w:p>
          <w:p w14:paraId="2E91C76A" w14:textId="77777777" w:rsidR="00C70D0D" w:rsidRDefault="00C70D0D" w:rsidP="0098335B">
            <w:pPr>
              <w:rPr>
                <w:lang w:eastAsia="fr-FR"/>
              </w:rPr>
            </w:pPr>
            <w:r>
              <w:rPr>
                <w:b/>
                <w:bCs/>
                <w:lang w:eastAsia="fr-FR"/>
              </w:rPr>
              <w:t>Voici comment a été pensée</w:t>
            </w:r>
            <w:r w:rsidRPr="002D2C27">
              <w:rPr>
                <w:b/>
                <w:bCs/>
                <w:lang w:eastAsia="fr-FR"/>
              </w:rPr>
              <w:t xml:space="preserve"> l’organisation</w:t>
            </w:r>
            <w:r>
              <w:rPr>
                <w:lang w:eastAsia="fr-FR"/>
              </w:rPr>
              <w:t xml:space="preserve"> autour du déploiement à l’échelle de l’accessibilité numérique :</w:t>
            </w:r>
          </w:p>
          <w:p w14:paraId="299C058D" w14:textId="77777777" w:rsidR="00C70D0D" w:rsidRDefault="00C70D0D">
            <w:pPr>
              <w:pStyle w:val="Paragraphedeliste"/>
              <w:numPr>
                <w:ilvl w:val="0"/>
                <w:numId w:val="40"/>
              </w:numPr>
            </w:pPr>
            <w:r>
              <w:t>Préalable : toutes les personnes impliquées dans la chaîne de création sont à minima prévenues, voire sensibilisées, ou mieux, formées à l’accessibilité et à son caractère obligatoire dans leurs travaux ;</w:t>
            </w:r>
          </w:p>
          <w:p w14:paraId="618DB61B" w14:textId="37350D69" w:rsidR="00C70D0D" w:rsidRDefault="00C70D0D">
            <w:pPr>
              <w:pStyle w:val="Paragraphedeliste"/>
              <w:numPr>
                <w:ilvl w:val="0"/>
                <w:numId w:val="40"/>
              </w:numPr>
            </w:pPr>
            <w:r>
              <w:t>La personne en charge de la conception des maquettes (</w:t>
            </w:r>
            <w:r w:rsidRPr="000302F6">
              <w:rPr>
                <w:i/>
                <w:iCs/>
              </w:rPr>
              <w:t>UX/UI Designer</w:t>
            </w:r>
            <w:r>
              <w:t>) conçoit des maquettes qui sont soumises aux référents et envoyées ensuite aux personnes en charge des spécifications fonctionnelles (</w:t>
            </w:r>
            <w:r w:rsidRPr="000302F6">
              <w:rPr>
                <w:i/>
                <w:iCs/>
              </w:rPr>
              <w:t>M</w:t>
            </w:r>
            <w:r w:rsidR="000302F6">
              <w:rPr>
                <w:i/>
                <w:iCs/>
              </w:rPr>
              <w:t>aîtrise d’ouvrage</w:t>
            </w:r>
            <w:r w:rsidRPr="000302F6">
              <w:rPr>
                <w:i/>
                <w:iCs/>
              </w:rPr>
              <w:t xml:space="preserve">/Business </w:t>
            </w:r>
            <w:proofErr w:type="spellStart"/>
            <w:r w:rsidRPr="000302F6">
              <w:rPr>
                <w:i/>
                <w:iCs/>
              </w:rPr>
              <w:t>analyst</w:t>
            </w:r>
            <w:r w:rsidR="000302F6">
              <w:rPr>
                <w:i/>
                <w:iCs/>
              </w:rPr>
              <w:t>s</w:t>
            </w:r>
            <w:proofErr w:type="spellEnd"/>
            <w:r>
              <w:t>) ;</w:t>
            </w:r>
          </w:p>
          <w:p w14:paraId="14901961" w14:textId="7C207E2B" w:rsidR="00C70D0D" w:rsidRDefault="00C70D0D">
            <w:pPr>
              <w:pStyle w:val="Paragraphedeliste"/>
              <w:numPr>
                <w:ilvl w:val="0"/>
                <w:numId w:val="40"/>
              </w:numPr>
            </w:pPr>
            <w:r>
              <w:t>Ces dernières produisent des spécifications fonctionnelles ou de la documentation produit</w:t>
            </w:r>
            <w:r w:rsidR="00C814C0">
              <w:t>,</w:t>
            </w:r>
            <w:r>
              <w:t xml:space="preserve"> en suivant la </w:t>
            </w:r>
            <w:r w:rsidRPr="00110AD0">
              <w:rPr>
                <w:i/>
                <w:iCs/>
              </w:rPr>
              <w:t>check-list</w:t>
            </w:r>
            <w:r>
              <w:t xml:space="preserve"> et le document de spécifications rédigé par les référents. Elles peuvent faire appel aux référents accessibilité pour tous compléments ou explications ;</w:t>
            </w:r>
          </w:p>
          <w:p w14:paraId="772A6378" w14:textId="77777777" w:rsidR="00C70D0D" w:rsidRDefault="00C70D0D">
            <w:pPr>
              <w:pStyle w:val="Paragraphedeliste"/>
              <w:numPr>
                <w:ilvl w:val="0"/>
                <w:numId w:val="40"/>
              </w:numPr>
            </w:pPr>
            <w:r>
              <w:t>Les spécifications fonctionnelles sont envoyées aux développeurs ;</w:t>
            </w:r>
          </w:p>
          <w:p w14:paraId="3036EC81" w14:textId="77777777" w:rsidR="00C70D0D" w:rsidRDefault="00C70D0D">
            <w:pPr>
              <w:pStyle w:val="Paragraphedeliste"/>
              <w:numPr>
                <w:ilvl w:val="0"/>
                <w:numId w:val="40"/>
              </w:numPr>
            </w:pPr>
            <w:r>
              <w:lastRenderedPageBreak/>
              <w:t>Les développeurs suivent les spécifications fonctionnelles et les spécifications techniques mises à disposition dans le développement des interfaces ;</w:t>
            </w:r>
          </w:p>
          <w:p w14:paraId="461BD8B8" w14:textId="77777777" w:rsidR="00C70D0D" w:rsidRDefault="00C70D0D">
            <w:pPr>
              <w:pStyle w:val="Paragraphedeliste"/>
              <w:numPr>
                <w:ilvl w:val="0"/>
                <w:numId w:val="40"/>
              </w:numPr>
            </w:pPr>
            <w:r>
              <w:t xml:space="preserve">Les personnes MOA </w:t>
            </w:r>
            <w:r w:rsidRPr="00F234C7">
              <w:t>et</w:t>
            </w:r>
            <w:r w:rsidRPr="00F234C7">
              <w:rPr>
                <w:i/>
                <w:iCs/>
              </w:rPr>
              <w:t xml:space="preserve"> business </w:t>
            </w:r>
            <w:proofErr w:type="spellStart"/>
            <w:r w:rsidRPr="00F234C7">
              <w:rPr>
                <w:i/>
                <w:iCs/>
              </w:rPr>
              <w:t>analyst</w:t>
            </w:r>
            <w:proofErr w:type="spellEnd"/>
            <w:r>
              <w:t xml:space="preserve"> font un premier niveau de recette afin de vérifier leurs spécifications en accessibilité ;</w:t>
            </w:r>
          </w:p>
          <w:p w14:paraId="3555EC1A" w14:textId="77777777" w:rsidR="00C70D0D" w:rsidRDefault="00C70D0D">
            <w:pPr>
              <w:pStyle w:val="Paragraphedeliste"/>
              <w:numPr>
                <w:ilvl w:val="0"/>
                <w:numId w:val="40"/>
              </w:numPr>
            </w:pPr>
            <w:r>
              <w:t>Les référents accessibilité font un 2ème niveau de recette et valident la conformité des développements.</w:t>
            </w:r>
          </w:p>
          <w:p w14:paraId="3C4F7271" w14:textId="756611E4" w:rsidR="00C70D0D" w:rsidRDefault="00C70D0D" w:rsidP="0098335B">
            <w:pPr>
              <w:rPr>
                <w:lang w:eastAsia="fr-FR"/>
              </w:rPr>
            </w:pPr>
            <w:r w:rsidRPr="002D2C27">
              <w:rPr>
                <w:b/>
                <w:bCs/>
                <w:lang w:eastAsia="fr-FR"/>
              </w:rPr>
              <w:t>NB</w:t>
            </w:r>
            <w:r>
              <w:rPr>
                <w:lang w:eastAsia="fr-FR"/>
              </w:rPr>
              <w:t xml:space="preserve"> : On notera que la relation entre les référents accessibilité, la MOA et les développeurs se passe de manière triangulaire et itérative au gré des sprints de développements.</w:t>
            </w:r>
            <w:r w:rsidR="00F755EB">
              <w:rPr>
                <w:lang w:eastAsia="fr-FR"/>
              </w:rPr>
              <w:t xml:space="preserve"> »</w:t>
            </w:r>
          </w:p>
          <w:p w14:paraId="4EE64074" w14:textId="77777777" w:rsidR="00C70D0D" w:rsidRDefault="00C70D0D" w:rsidP="0098335B">
            <w:pPr>
              <w:jc w:val="center"/>
              <w:rPr>
                <w:lang w:eastAsia="fr-FR"/>
              </w:rPr>
            </w:pPr>
            <w:r>
              <w:rPr>
                <w:rFonts w:ascii="Calibri" w:hAnsi="Calibri" w:cs="Calibri"/>
                <w:noProof/>
                <w:color w:val="262626"/>
                <w:bdr w:val="none" w:sz="0" w:space="0" w:color="auto" w:frame="1"/>
              </w:rPr>
              <w:drawing>
                <wp:inline distT="0" distB="0" distL="0" distR="0" wp14:anchorId="5F802508" wp14:editId="5219A083">
                  <wp:extent cx="5381625" cy="2695575"/>
                  <wp:effectExtent l="0" t="0" r="9525" b="9525"/>
                  <wp:docPr id="1210433383" name="Image 7" descr="Ce schéma, intitulé « 2022 : industrialisation de la démarche », illustre la trajectoire d'accompagnement proposée par le pôle accessibilité de la Caisse des Dépôts pour généraliser la prise en compte du handicap dans les projets numériques. Représentée sous la forme d'une ascension vers le succès (symbolisé par une fusée), cette démarche se décline en cinq étapes clés pour le collaborateur : se former à l'accessibilité, concevoir puis développer de manière accessible, tester ou faire tester les solutions, et enfin contribuer de façon durable à des services inclusifs. L'objectif global est de transformer les pratiques des équipes projet pour faire de l'accessibilité numérique un standard industriel, garantissant ainsi une transformation numérique de la société qui n'exclut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3383" name="Image 7" descr="Ce schéma, intitulé « 2022 : industrialisation de la démarche », illustre la trajectoire d'accompagnement proposée par le pôle accessibilité de la Caisse des Dépôts pour généraliser la prise en compte du handicap dans les projets numériques. Représentée sous la forme d'une ascension vers le succès (symbolisé par une fusée), cette démarche se décline en cinq étapes clés pour le collaborateur : se former à l'accessibilité, concevoir puis développer de manière accessible, tester ou faire tester les solutions, et enfin contribuer de façon durable à des services inclusifs. L'objectif global est de transformer les pratiques des équipes projet pour faire de l'accessibilité numérique un standard industriel, garantissant ainsi une transformation numérique de la société qui n'exclut person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1625" cy="2695575"/>
                          </a:xfrm>
                          <a:prstGeom prst="rect">
                            <a:avLst/>
                          </a:prstGeom>
                          <a:noFill/>
                          <a:ln>
                            <a:noFill/>
                          </a:ln>
                        </pic:spPr>
                      </pic:pic>
                    </a:graphicData>
                  </a:graphic>
                </wp:inline>
              </w:drawing>
            </w:r>
          </w:p>
          <w:p w14:paraId="72436F17" w14:textId="77777777" w:rsidR="00C70D0D" w:rsidRDefault="00C70D0D" w:rsidP="0098335B">
            <w:pPr>
              <w:jc w:val="right"/>
              <w:rPr>
                <w:b/>
                <w:bCs/>
                <w:lang w:eastAsia="fr-FR"/>
              </w:rPr>
            </w:pPr>
          </w:p>
          <w:p w14:paraId="2009B41A" w14:textId="77777777" w:rsidR="00C70D0D" w:rsidRPr="002D2C27" w:rsidRDefault="00C70D0D" w:rsidP="0098335B">
            <w:pPr>
              <w:jc w:val="right"/>
              <w:rPr>
                <w:lang w:eastAsia="fr-FR"/>
              </w:rPr>
            </w:pPr>
            <w:r w:rsidRPr="002D2C27">
              <w:rPr>
                <w:b/>
                <w:bCs/>
                <w:lang w:eastAsia="fr-FR"/>
              </w:rPr>
              <w:t>Yann Goupil</w:t>
            </w:r>
            <w:r w:rsidRPr="002D2C27">
              <w:rPr>
                <w:lang w:eastAsia="fr-FR"/>
              </w:rPr>
              <w:t xml:space="preserve">, Référent accessibilité numérique de l'Établissement Public </w:t>
            </w:r>
            <w:r w:rsidRPr="002D2C27">
              <w:rPr>
                <w:b/>
                <w:bCs/>
                <w:lang w:eastAsia="fr-FR"/>
              </w:rPr>
              <w:t>Caisse des dépôts</w:t>
            </w:r>
          </w:p>
          <w:p w14:paraId="06FB9C5F" w14:textId="2D5A23D6" w:rsidR="00C70D0D" w:rsidRPr="00C43137" w:rsidRDefault="00C70D0D" w:rsidP="00646CD1">
            <w:pPr>
              <w:jc w:val="center"/>
              <w:rPr>
                <w:lang w:eastAsia="fr-FR"/>
              </w:rPr>
            </w:pPr>
            <w:r>
              <w:rPr>
                <w:b/>
                <w:bCs/>
                <w:lang w:eastAsia="fr-FR"/>
              </w:rPr>
              <w:t xml:space="preserve">                                             </w:t>
            </w:r>
            <w:r w:rsidRPr="002D2C27">
              <w:rPr>
                <w:b/>
                <w:bCs/>
                <w:lang w:eastAsia="fr-FR"/>
              </w:rPr>
              <w:t>Délia Garbarini</w:t>
            </w:r>
            <w:r w:rsidRPr="002D2C27">
              <w:rPr>
                <w:lang w:eastAsia="fr-FR"/>
              </w:rPr>
              <w:t xml:space="preserve">, Référente accessibilité numérique </w:t>
            </w:r>
            <w:r w:rsidRPr="002D2C27">
              <w:rPr>
                <w:b/>
                <w:bCs/>
                <w:lang w:eastAsia="fr-FR"/>
              </w:rPr>
              <w:t>Informatique CDC</w:t>
            </w:r>
          </w:p>
        </w:tc>
      </w:tr>
    </w:tbl>
    <w:p w14:paraId="6726DC37" w14:textId="77777777" w:rsidR="00C70D0D" w:rsidRDefault="00C70D0D" w:rsidP="007B2E61">
      <w:pPr>
        <w:rPr>
          <w:rFonts w:eastAsia="Times New Roman"/>
        </w:rPr>
      </w:pPr>
    </w:p>
    <w:p w14:paraId="1B8573A1" w14:textId="4150A73E" w:rsidR="006E1221" w:rsidRDefault="006E1221" w:rsidP="007B2E61">
      <w:pPr>
        <w:rPr>
          <w:rFonts w:eastAsia="Times New Roman"/>
        </w:rPr>
      </w:pPr>
      <w:r w:rsidRPr="006E1221">
        <w:rPr>
          <w:rFonts w:eastAsia="Times New Roman"/>
        </w:rPr>
        <w:t xml:space="preserve">L’accessibilité numérique est une véritable démarche </w:t>
      </w:r>
      <w:r w:rsidRPr="006E1221">
        <w:rPr>
          <w:rFonts w:eastAsia="Times New Roman"/>
          <w:b/>
          <w:bCs/>
        </w:rPr>
        <w:t>centrée sur l’expérience</w:t>
      </w:r>
      <w:r w:rsidRPr="006E1221">
        <w:rPr>
          <w:rFonts w:eastAsia="Times New Roman"/>
        </w:rPr>
        <w:t xml:space="preserve"> (principalement l’UX) avec une participation de l’utilisateur en amont du projet, et des tests utilisateurs qui mettent au </w:t>
      </w:r>
      <w:r w:rsidR="000234FC">
        <w:rPr>
          <w:rFonts w:eastAsia="Times New Roman"/>
        </w:rPr>
        <w:t>cœur</w:t>
      </w:r>
      <w:r w:rsidRPr="006E1221">
        <w:rPr>
          <w:rFonts w:eastAsia="Times New Roman"/>
        </w:rPr>
        <w:t xml:space="preserve"> les personnes en situation de handicap.</w:t>
      </w:r>
      <w:r w:rsidR="007C3AC5">
        <w:rPr>
          <w:rFonts w:eastAsia="Times New Roman"/>
        </w:rPr>
        <w:t xml:space="preserve"> </w:t>
      </w:r>
      <w:r w:rsidRPr="006E1221">
        <w:rPr>
          <w:rFonts w:eastAsia="Times New Roman"/>
        </w:rPr>
        <w:t xml:space="preserve">Toutes ces </w:t>
      </w:r>
      <w:r w:rsidR="000234FC">
        <w:rPr>
          <w:rFonts w:eastAsia="Times New Roman"/>
        </w:rPr>
        <w:t>pratiques</w:t>
      </w:r>
      <w:r w:rsidRPr="006E1221">
        <w:rPr>
          <w:rFonts w:eastAsia="Times New Roman"/>
        </w:rPr>
        <w:t xml:space="preserve"> permettent de veiller à la véritable </w:t>
      </w:r>
      <w:r w:rsidRPr="006E1221">
        <w:rPr>
          <w:rFonts w:eastAsia="Times New Roman"/>
          <w:b/>
          <w:bCs/>
        </w:rPr>
        <w:t xml:space="preserve">utilisabilité </w:t>
      </w:r>
      <w:r w:rsidRPr="006E1221">
        <w:rPr>
          <w:rFonts w:eastAsia="Times New Roman"/>
        </w:rPr>
        <w:t>des sites et applications numériques, au-delà de leur simple conformité. En effet, il convient de rappeler qu’un site 100% conforme n’est pas systématiquement 100% accessible : les sujets de dyslexie ou de troubles mentaux par exemple ne sont pas pris en compte dans le RGAA. Et certains sites 100% accessibles ne seront pas forcément très praticables par les utilisateurs en situation de handicap, pour des questions parfois d’ergonomie. Les critères d’</w:t>
      </w:r>
      <w:r w:rsidR="001E440D">
        <w:rPr>
          <w:rFonts w:eastAsia="Times New Roman"/>
        </w:rPr>
        <w:t>accessibilité numérique</w:t>
      </w:r>
      <w:r w:rsidRPr="006E1221">
        <w:rPr>
          <w:rFonts w:eastAsia="Times New Roman"/>
        </w:rPr>
        <w:t xml:space="preserve">, sur le plan de la conformité, sont techniques et </w:t>
      </w:r>
      <w:r w:rsidR="004B3BB1">
        <w:rPr>
          <w:rFonts w:eastAsia="Times New Roman"/>
        </w:rPr>
        <w:t>«</w:t>
      </w:r>
      <w:r w:rsidR="007C3AC5">
        <w:rPr>
          <w:rFonts w:eastAsia="Times New Roman"/>
        </w:rPr>
        <w:t> </w:t>
      </w:r>
      <w:r w:rsidRPr="006E1221">
        <w:rPr>
          <w:rFonts w:eastAsia="Times New Roman"/>
        </w:rPr>
        <w:t>objectifs</w:t>
      </w:r>
      <w:r w:rsidR="004B3BB1">
        <w:rPr>
          <w:rFonts w:eastAsia="Times New Roman"/>
        </w:rPr>
        <w:t xml:space="preserve"> »</w:t>
      </w:r>
      <w:r w:rsidRPr="006E1221">
        <w:rPr>
          <w:rFonts w:eastAsia="Times New Roman"/>
        </w:rPr>
        <w:t>. Or, lors d’un test utilisateur, les résultats seront toujours subjectifs et dépendants du type d’utilisateur et de son handicap.</w:t>
      </w:r>
      <w:r>
        <w:rPr>
          <w:rFonts w:eastAsia="Times New Roman"/>
        </w:rPr>
        <w:t xml:space="preserve"> </w:t>
      </w:r>
    </w:p>
    <w:p w14:paraId="66849AF2" w14:textId="02EF7C0C" w:rsidR="006E1221" w:rsidRDefault="006E1221" w:rsidP="006E1221">
      <w:pPr>
        <w:pStyle w:val="Titre2"/>
      </w:pPr>
      <w:bookmarkStart w:id="65" w:name="_Toc230077024"/>
      <w:r w:rsidRPr="006E1221">
        <w:lastRenderedPageBreak/>
        <w:t>Outils et leviers techniques</w:t>
      </w:r>
      <w:bookmarkEnd w:id="65"/>
      <w:r>
        <w:t xml:space="preserve"> </w:t>
      </w:r>
    </w:p>
    <w:p w14:paraId="38762150" w14:textId="6C6F707F" w:rsidR="006E1221" w:rsidRPr="006E1221" w:rsidRDefault="006E1221" w:rsidP="006E1221">
      <w:pPr>
        <w:rPr>
          <w:rFonts w:eastAsia="Times New Roman"/>
        </w:rPr>
      </w:pPr>
      <w:r>
        <w:rPr>
          <w:rFonts w:eastAsia="Times New Roman"/>
        </w:rPr>
        <w:t>Le</w:t>
      </w:r>
      <w:r w:rsidRPr="006E1221">
        <w:rPr>
          <w:rFonts w:eastAsia="Times New Roman"/>
        </w:rPr>
        <w:t xml:space="preserve"> succès d'une démarche de déploiement de l'</w:t>
      </w:r>
      <w:r w:rsidR="000234FC">
        <w:rPr>
          <w:rFonts w:eastAsia="Times New Roman"/>
        </w:rPr>
        <w:t>a</w:t>
      </w:r>
      <w:r w:rsidRPr="006E1221">
        <w:rPr>
          <w:rFonts w:eastAsia="Times New Roman"/>
        </w:rPr>
        <w:t xml:space="preserve">ccessibilité </w:t>
      </w:r>
      <w:r w:rsidR="000234FC">
        <w:rPr>
          <w:rFonts w:eastAsia="Times New Roman"/>
        </w:rPr>
        <w:t>n</w:t>
      </w:r>
      <w:r w:rsidRPr="006E1221">
        <w:rPr>
          <w:rFonts w:eastAsia="Times New Roman"/>
        </w:rPr>
        <w:t>umérique</w:t>
      </w:r>
      <w:r w:rsidR="000234FC">
        <w:rPr>
          <w:rFonts w:eastAsia="Times New Roman"/>
        </w:rPr>
        <w:t xml:space="preserve"> </w:t>
      </w:r>
      <w:r w:rsidRPr="006E1221">
        <w:rPr>
          <w:rFonts w:eastAsia="Times New Roman"/>
        </w:rPr>
        <w:t>à l'échelle d'une grande organisation ne saurait se limiter à la simple application technique de référentiels, tel</w:t>
      </w:r>
      <w:r w:rsidR="004B3BB1">
        <w:rPr>
          <w:rFonts w:eastAsia="Times New Roman"/>
        </w:rPr>
        <w:t>s</w:t>
      </w:r>
      <w:r w:rsidRPr="006E1221">
        <w:rPr>
          <w:rFonts w:eastAsia="Times New Roman"/>
        </w:rPr>
        <w:t xml:space="preserve"> que le Référentiel Général d'Amélioration de l'Accessibilité (RGAA). Il repose intrinsèquement sur une </w:t>
      </w:r>
      <w:r w:rsidRPr="006E1221">
        <w:rPr>
          <w:rFonts w:eastAsia="Times New Roman"/>
          <w:b/>
          <w:bCs/>
        </w:rPr>
        <w:t>transformation culturelle profonde</w:t>
      </w:r>
      <w:r w:rsidRPr="006E1221">
        <w:rPr>
          <w:rFonts w:eastAsia="Times New Roman"/>
        </w:rPr>
        <w:t xml:space="preserve"> et sur la </w:t>
      </w:r>
      <w:r w:rsidRPr="006E1221">
        <w:rPr>
          <w:rFonts w:eastAsia="Times New Roman"/>
          <w:b/>
          <w:bCs/>
        </w:rPr>
        <w:t>mise à disposition d'outils et de méthodologies</w:t>
      </w:r>
      <w:r w:rsidRPr="006E1221">
        <w:rPr>
          <w:rFonts w:eastAsia="Times New Roman"/>
        </w:rPr>
        <w:t xml:space="preserve"> permettant à chaque corps de métier d'intégrer l'</w:t>
      </w:r>
      <w:r w:rsidR="00230C35" w:rsidRPr="00230C35">
        <w:rPr>
          <w:rFonts w:eastAsia="Times New Roman"/>
        </w:rPr>
        <w:t xml:space="preserve">accessibilité numérique </w:t>
      </w:r>
      <w:r w:rsidRPr="006E1221">
        <w:rPr>
          <w:rFonts w:eastAsia="Times New Roman"/>
        </w:rPr>
        <w:t>comme un critère de qualité fondamental, et non comme une contrainte additionnelle ou une correction tardive.</w:t>
      </w:r>
    </w:p>
    <w:p w14:paraId="0B2763B6" w14:textId="19E398C8" w:rsidR="006E1221" w:rsidRDefault="006E1221" w:rsidP="006E1221">
      <w:pPr>
        <w:pStyle w:val="Titre3"/>
      </w:pPr>
      <w:bookmarkStart w:id="66" w:name="_Toc230077025"/>
      <w:r w:rsidRPr="006E1221">
        <w:t>Méthodes et outils d’acculturation</w:t>
      </w:r>
      <w:bookmarkEnd w:id="66"/>
    </w:p>
    <w:p w14:paraId="0076DA3E" w14:textId="77777777" w:rsidR="006E1221" w:rsidRPr="006E1221" w:rsidRDefault="006E1221" w:rsidP="006E1221">
      <w:pPr>
        <w:rPr>
          <w:rFonts w:eastAsia="Times New Roman"/>
        </w:rPr>
      </w:pPr>
      <w:r w:rsidRPr="006E1221">
        <w:rPr>
          <w:rFonts w:eastAsia="Times New Roman"/>
        </w:rPr>
        <w:t>L'accessibilité numérique doit impliquer toutes les parties prenantes, des équipes métiers (garantes des besoins et des contenus) aux fournisseurs (via des clauses d'accessibilité strictes dans les marchés publics et privés). Pour ce faire, il est nécessaire de :</w:t>
      </w:r>
    </w:p>
    <w:p w14:paraId="6A9F2090" w14:textId="29D81126" w:rsidR="006E1221" w:rsidRPr="006E1221" w:rsidRDefault="006E1221">
      <w:pPr>
        <w:pStyle w:val="Paragraphedeliste"/>
        <w:numPr>
          <w:ilvl w:val="0"/>
          <w:numId w:val="29"/>
        </w:numPr>
        <w:rPr>
          <w:rFonts w:eastAsia="Times New Roman"/>
        </w:rPr>
      </w:pPr>
      <w:r w:rsidRPr="006E1221">
        <w:rPr>
          <w:rFonts w:eastAsia="Times New Roman"/>
          <w:b/>
          <w:bCs/>
        </w:rPr>
        <w:t>Formaliser l’</w:t>
      </w:r>
      <w:r w:rsidR="000234FC">
        <w:rPr>
          <w:rFonts w:eastAsia="Times New Roman"/>
          <w:b/>
          <w:bCs/>
        </w:rPr>
        <w:t>accessibilité numérique</w:t>
      </w:r>
      <w:r w:rsidRPr="006E1221">
        <w:rPr>
          <w:rFonts w:eastAsia="Times New Roman"/>
          <w:b/>
          <w:bCs/>
        </w:rPr>
        <w:t xml:space="preserve"> dans les processus internes en l’intégrant à la culture de l’organisation</w:t>
      </w:r>
      <w:r w:rsidRPr="006E1221">
        <w:rPr>
          <w:rFonts w:eastAsia="Times New Roman"/>
        </w:rPr>
        <w:t xml:space="preserve"> : inscrire dans le parcours d’</w:t>
      </w:r>
      <w:proofErr w:type="spellStart"/>
      <w:r w:rsidRPr="006E1221">
        <w:rPr>
          <w:rFonts w:eastAsia="Times New Roman"/>
          <w:i/>
          <w:iCs/>
        </w:rPr>
        <w:t>onboarding</w:t>
      </w:r>
      <w:proofErr w:type="spellEnd"/>
      <w:r w:rsidRPr="006E1221">
        <w:rPr>
          <w:rFonts w:eastAsia="Times New Roman"/>
        </w:rPr>
        <w:t xml:space="preserve"> </w:t>
      </w:r>
      <w:r w:rsidR="000302F6">
        <w:rPr>
          <w:rFonts w:eastAsia="Times New Roman"/>
        </w:rPr>
        <w:t>de</w:t>
      </w:r>
      <w:r w:rsidR="00C814C0" w:rsidRPr="006E1221">
        <w:rPr>
          <w:rFonts w:eastAsia="Times New Roman"/>
        </w:rPr>
        <w:t xml:space="preserve"> chaque collaborateur</w:t>
      </w:r>
      <w:r w:rsidR="00C814C0">
        <w:rPr>
          <w:rFonts w:eastAsia="Times New Roman"/>
        </w:rPr>
        <w:t>,</w:t>
      </w:r>
      <w:r w:rsidR="00C814C0" w:rsidRPr="006E1221">
        <w:rPr>
          <w:rFonts w:eastAsia="Times New Roman"/>
        </w:rPr>
        <w:t xml:space="preserve"> </w:t>
      </w:r>
      <w:r w:rsidRPr="006E1221">
        <w:rPr>
          <w:rFonts w:eastAsia="Times New Roman"/>
        </w:rPr>
        <w:t>une présentation à l’accessibilité (</w:t>
      </w:r>
      <w:r w:rsidR="000937C7">
        <w:rPr>
          <w:rFonts w:eastAsia="Times New Roman"/>
        </w:rPr>
        <w:t>« </w:t>
      </w:r>
      <w:proofErr w:type="spellStart"/>
      <w:r w:rsidRPr="006E1221">
        <w:rPr>
          <w:rFonts w:eastAsia="Times New Roman"/>
          <w:i/>
          <w:iCs/>
        </w:rPr>
        <w:t>accessibility</w:t>
      </w:r>
      <w:proofErr w:type="spellEnd"/>
      <w:r w:rsidRPr="006E1221">
        <w:rPr>
          <w:rFonts w:eastAsia="Times New Roman"/>
          <w:i/>
          <w:iCs/>
        </w:rPr>
        <w:t xml:space="preserve"> starter</w:t>
      </w:r>
      <w:r w:rsidR="000937C7">
        <w:rPr>
          <w:rFonts w:eastAsia="Times New Roman"/>
        </w:rPr>
        <w:t> »</w:t>
      </w:r>
      <w:r w:rsidRPr="006E1221">
        <w:rPr>
          <w:rFonts w:eastAsia="Times New Roman"/>
        </w:rPr>
        <w:t>) d’au moins une heure</w:t>
      </w:r>
      <w:r w:rsidR="00C814C0">
        <w:rPr>
          <w:rFonts w:eastAsia="Times New Roman"/>
        </w:rPr>
        <w:t>,</w:t>
      </w:r>
      <w:r w:rsidRPr="006E1221">
        <w:rPr>
          <w:rFonts w:eastAsia="Times New Roman"/>
        </w:rPr>
        <w:t xml:space="preserve"> portant sur les activités et projets du pôle accessibilité numérique, intégrant un questionnaire d’évaluation final.</w:t>
      </w:r>
    </w:p>
    <w:p w14:paraId="75B11C50" w14:textId="0E15D15A" w:rsidR="006E1221" w:rsidRPr="006E1221" w:rsidRDefault="006E1221">
      <w:pPr>
        <w:pStyle w:val="Paragraphedeliste"/>
        <w:numPr>
          <w:ilvl w:val="0"/>
          <w:numId w:val="29"/>
        </w:numPr>
        <w:rPr>
          <w:rFonts w:eastAsia="Times New Roman"/>
        </w:rPr>
      </w:pPr>
      <w:r w:rsidRPr="006E1221">
        <w:rPr>
          <w:rFonts w:eastAsia="Times New Roman"/>
          <w:b/>
          <w:bCs/>
        </w:rPr>
        <w:t xml:space="preserve">Mettre à </w:t>
      </w:r>
      <w:r w:rsidR="00C814C0">
        <w:rPr>
          <w:rFonts w:eastAsia="Times New Roman"/>
          <w:b/>
          <w:bCs/>
        </w:rPr>
        <w:t xml:space="preserve">la </w:t>
      </w:r>
      <w:r w:rsidRPr="006E1221">
        <w:rPr>
          <w:rFonts w:eastAsia="Times New Roman"/>
          <w:b/>
          <w:bCs/>
        </w:rPr>
        <w:t>disposition des achats des ressources</w:t>
      </w:r>
      <w:r w:rsidRPr="006E1221">
        <w:rPr>
          <w:rFonts w:eastAsia="Times New Roman"/>
        </w:rPr>
        <w:t xml:space="preserve"> telles que des clauses types d’accessibilité numérique, des cahiers des charges, comme décrit en détail dans la partie 2.3</w:t>
      </w:r>
      <w:r>
        <w:rPr>
          <w:rFonts w:eastAsia="Times New Roman"/>
        </w:rPr>
        <w:t>.</w:t>
      </w:r>
    </w:p>
    <w:p w14:paraId="269812DD" w14:textId="77777777" w:rsidR="006E1221" w:rsidRPr="006E1221" w:rsidRDefault="006E1221">
      <w:pPr>
        <w:pStyle w:val="Paragraphedeliste"/>
        <w:numPr>
          <w:ilvl w:val="0"/>
          <w:numId w:val="29"/>
        </w:numPr>
        <w:rPr>
          <w:rFonts w:eastAsia="Times New Roman"/>
        </w:rPr>
      </w:pPr>
      <w:r w:rsidRPr="006E1221">
        <w:rPr>
          <w:rFonts w:eastAsia="Times New Roman"/>
          <w:b/>
          <w:bCs/>
        </w:rPr>
        <w:t>Sensibiliser à l’échelle</w:t>
      </w:r>
      <w:r w:rsidRPr="006E1221">
        <w:rPr>
          <w:rFonts w:eastAsia="Times New Roman"/>
        </w:rPr>
        <w:t xml:space="preserve"> : </w:t>
      </w:r>
    </w:p>
    <w:p w14:paraId="33186E0B" w14:textId="62EC0D8B" w:rsidR="006E1221" w:rsidRPr="006E1221" w:rsidRDefault="006E1221">
      <w:pPr>
        <w:pStyle w:val="Paragraphedeliste"/>
        <w:numPr>
          <w:ilvl w:val="1"/>
          <w:numId w:val="29"/>
        </w:numPr>
        <w:rPr>
          <w:rFonts w:eastAsia="Times New Roman"/>
        </w:rPr>
      </w:pPr>
      <w:r w:rsidRPr="006E1221">
        <w:rPr>
          <w:rFonts w:eastAsia="Times New Roman"/>
        </w:rPr>
        <w:t>Mettre en place des actions pour sensibiliser l'ensemble des collaborateurs, et non seulement les équipes techniques</w:t>
      </w:r>
      <w:r w:rsidR="000234FC">
        <w:rPr>
          <w:rFonts w:eastAsia="Times New Roman"/>
        </w:rPr>
        <w:t> ;</w:t>
      </w:r>
    </w:p>
    <w:p w14:paraId="4B4279F5" w14:textId="69E323F0" w:rsidR="006E1221" w:rsidRPr="006E1221" w:rsidRDefault="006E1221">
      <w:pPr>
        <w:pStyle w:val="Paragraphedeliste"/>
        <w:numPr>
          <w:ilvl w:val="1"/>
          <w:numId w:val="29"/>
        </w:numPr>
        <w:rPr>
          <w:rFonts w:eastAsia="Times New Roman"/>
        </w:rPr>
      </w:pPr>
      <w:r w:rsidRPr="006E1221">
        <w:rPr>
          <w:rFonts w:eastAsia="Times New Roman"/>
        </w:rPr>
        <w:t>Proposer</w:t>
      </w:r>
      <w:r w:rsidR="001E440D">
        <w:rPr>
          <w:rFonts w:eastAsia="Times New Roman"/>
        </w:rPr>
        <w:t>,</w:t>
      </w:r>
      <w:r w:rsidRPr="006E1221">
        <w:rPr>
          <w:rFonts w:eastAsia="Times New Roman"/>
        </w:rPr>
        <w:t xml:space="preserve"> selon le profil et le plan de carrière du collaborateur, </w:t>
      </w:r>
      <w:r w:rsidR="001E440D" w:rsidRPr="001E440D">
        <w:rPr>
          <w:rFonts w:eastAsia="Times New Roman"/>
        </w:rPr>
        <w:t xml:space="preserve">des formations spécifiques, </w:t>
      </w:r>
      <w:r w:rsidR="001E440D">
        <w:rPr>
          <w:rFonts w:eastAsia="Times New Roman"/>
        </w:rPr>
        <w:t>c</w:t>
      </w:r>
      <w:r w:rsidR="000234FC">
        <w:rPr>
          <w:rFonts w:eastAsia="Times New Roman"/>
        </w:rPr>
        <w:t xml:space="preserve">omme par exemple des modules sur </w:t>
      </w:r>
      <w:r w:rsidR="000234FC" w:rsidRPr="000234FC">
        <w:rPr>
          <w:rFonts w:eastAsia="Times New Roman"/>
        </w:rPr>
        <w:t xml:space="preserve">la rédaction et </w:t>
      </w:r>
      <w:r w:rsidR="00C814C0">
        <w:rPr>
          <w:rFonts w:eastAsia="Times New Roman"/>
        </w:rPr>
        <w:t>la</w:t>
      </w:r>
      <w:r w:rsidR="000234FC" w:rsidRPr="000234FC">
        <w:rPr>
          <w:rFonts w:eastAsia="Times New Roman"/>
        </w:rPr>
        <w:t xml:space="preserve"> création de supports accessibles, prouvant qu'il est possible de concilier qualité éditoriale et conformité</w:t>
      </w:r>
      <w:r w:rsidRPr="006E1221">
        <w:rPr>
          <w:rFonts w:eastAsia="Times New Roman"/>
        </w:rPr>
        <w:t xml:space="preserve"> (mise en accessibilité des PDF, accessibilité des contenus éditoriaux, etc.)</w:t>
      </w:r>
      <w:r w:rsidR="000234FC">
        <w:rPr>
          <w:rFonts w:eastAsia="Times New Roman"/>
        </w:rPr>
        <w:t> ;</w:t>
      </w:r>
    </w:p>
    <w:p w14:paraId="504D7D4D" w14:textId="524F40A6" w:rsidR="006E1221" w:rsidRPr="006E1221" w:rsidRDefault="006E1221">
      <w:pPr>
        <w:pStyle w:val="Paragraphedeliste"/>
        <w:numPr>
          <w:ilvl w:val="1"/>
          <w:numId w:val="29"/>
        </w:numPr>
        <w:rPr>
          <w:rFonts w:eastAsia="Times New Roman"/>
        </w:rPr>
      </w:pPr>
      <w:r w:rsidRPr="006E1221">
        <w:rPr>
          <w:rFonts w:eastAsia="Times New Roman"/>
        </w:rPr>
        <w:t xml:space="preserve">Pour les développeurs en particulier, veiller </w:t>
      </w:r>
      <w:r w:rsidR="00C814C0">
        <w:rPr>
          <w:rFonts w:eastAsia="Times New Roman"/>
        </w:rPr>
        <w:t xml:space="preserve">avec exigence </w:t>
      </w:r>
      <w:r w:rsidRPr="006E1221">
        <w:rPr>
          <w:rFonts w:eastAsia="Times New Roman"/>
        </w:rPr>
        <w:t>à la formation aux outils de tests et à l’interprétation des résultats.</w:t>
      </w:r>
    </w:p>
    <w:p w14:paraId="47CCCFE2" w14:textId="1BC72212" w:rsidR="006E1221" w:rsidRPr="006E1221" w:rsidRDefault="006E1221">
      <w:pPr>
        <w:pStyle w:val="Paragraphedeliste"/>
        <w:numPr>
          <w:ilvl w:val="0"/>
          <w:numId w:val="29"/>
        </w:numPr>
        <w:rPr>
          <w:rFonts w:eastAsia="Times New Roman"/>
        </w:rPr>
      </w:pPr>
      <w:r w:rsidRPr="006E1221">
        <w:rPr>
          <w:rFonts w:eastAsia="Times New Roman"/>
          <w:b/>
          <w:bCs/>
        </w:rPr>
        <w:t>Former de manière progressive</w:t>
      </w:r>
      <w:r w:rsidRPr="006E1221">
        <w:rPr>
          <w:rFonts w:eastAsia="Times New Roman"/>
        </w:rPr>
        <w:t xml:space="preserve"> : proposer un catalogue de formations adaptées aux différents profils (développeurs, designers, chefs de projet, rédacteurs) et </w:t>
      </w:r>
      <w:r w:rsidR="003B1D74">
        <w:rPr>
          <w:rFonts w:eastAsia="Times New Roman"/>
        </w:rPr>
        <w:t xml:space="preserve">distribuer ces formations </w:t>
      </w:r>
      <w:r w:rsidRPr="006E1221">
        <w:rPr>
          <w:rFonts w:eastAsia="Times New Roman"/>
        </w:rPr>
        <w:t>sur le temps long.</w:t>
      </w:r>
    </w:p>
    <w:p w14:paraId="174FF3EF" w14:textId="5406D53B" w:rsidR="006E1221" w:rsidRPr="006E1221" w:rsidRDefault="006E1221">
      <w:pPr>
        <w:pStyle w:val="Paragraphedeliste"/>
        <w:numPr>
          <w:ilvl w:val="0"/>
          <w:numId w:val="29"/>
        </w:numPr>
        <w:rPr>
          <w:rFonts w:eastAsia="Times New Roman"/>
        </w:rPr>
      </w:pPr>
      <w:r w:rsidRPr="006E1221">
        <w:rPr>
          <w:rFonts w:eastAsia="Times New Roman"/>
          <w:b/>
          <w:bCs/>
        </w:rPr>
        <w:t>Accompagner la synergie entre les entités</w:t>
      </w:r>
      <w:r w:rsidRPr="006E1221">
        <w:rPr>
          <w:rFonts w:eastAsia="Times New Roman"/>
        </w:rPr>
        <w:t xml:space="preserve"> : chercher à optimiser de manière agile les synergies pluridisciplinaires des équipes produits</w:t>
      </w:r>
      <w:r w:rsidR="00C814C0">
        <w:rPr>
          <w:rFonts w:eastAsia="Times New Roman"/>
        </w:rPr>
        <w:t>. Ce point</w:t>
      </w:r>
      <w:r w:rsidRPr="006E1221">
        <w:rPr>
          <w:rFonts w:eastAsia="Times New Roman"/>
        </w:rPr>
        <w:t xml:space="preserve"> est crucial dans le cadre de l’</w:t>
      </w:r>
      <w:r w:rsidR="000234FC">
        <w:rPr>
          <w:rFonts w:eastAsia="Times New Roman"/>
        </w:rPr>
        <w:t>accessibilité numérique</w:t>
      </w:r>
      <w:r w:rsidR="00C814C0">
        <w:rPr>
          <w:rFonts w:eastAsia="Times New Roman"/>
        </w:rPr>
        <w:t xml:space="preserve"> et</w:t>
      </w:r>
      <w:r w:rsidRPr="006E1221">
        <w:rPr>
          <w:rFonts w:eastAsia="Times New Roman"/>
        </w:rPr>
        <w:t xml:space="preserve"> </w:t>
      </w:r>
      <w:r w:rsidR="00C814C0">
        <w:rPr>
          <w:rFonts w:eastAsia="Times New Roman"/>
        </w:rPr>
        <w:t>i</w:t>
      </w:r>
      <w:r w:rsidRPr="006E1221">
        <w:rPr>
          <w:rFonts w:eastAsia="Times New Roman"/>
        </w:rPr>
        <w:t>l est possible de tirer parti de points communs entre le design et l’accessibilité, l’accessibilité et l’éco-conception ou encore l'éco-conception et la sécurité</w:t>
      </w:r>
      <w:r w:rsidR="00F1730F">
        <w:rPr>
          <w:rFonts w:eastAsia="Times New Roman"/>
        </w:rPr>
        <w:t>,</w:t>
      </w:r>
      <w:r w:rsidRPr="006E1221">
        <w:rPr>
          <w:rFonts w:eastAsia="Times New Roman"/>
        </w:rPr>
        <w:t xml:space="preserve"> </w:t>
      </w:r>
      <w:r w:rsidR="00F1730F">
        <w:rPr>
          <w:rFonts w:eastAsia="Times New Roman"/>
        </w:rPr>
        <w:t>grâce à</w:t>
      </w:r>
      <w:r w:rsidR="00F1730F" w:rsidRPr="006E1221">
        <w:rPr>
          <w:rFonts w:eastAsia="Times New Roman"/>
        </w:rPr>
        <w:t xml:space="preserve"> </w:t>
      </w:r>
      <w:r w:rsidRPr="006E1221">
        <w:rPr>
          <w:rFonts w:eastAsia="Times New Roman"/>
        </w:rPr>
        <w:t>des ateliers communs ou des interventions réalisées par des personnes formées à ces différents aspects.</w:t>
      </w:r>
    </w:p>
    <w:p w14:paraId="2700833E" w14:textId="1F69EE7E" w:rsidR="006E1221" w:rsidRDefault="006E1221">
      <w:pPr>
        <w:pStyle w:val="Paragraphedeliste"/>
        <w:numPr>
          <w:ilvl w:val="0"/>
          <w:numId w:val="29"/>
        </w:numPr>
        <w:rPr>
          <w:rFonts w:eastAsia="Times New Roman"/>
        </w:rPr>
      </w:pPr>
      <w:r w:rsidRPr="006E1221">
        <w:rPr>
          <w:rFonts w:eastAsia="Times New Roman"/>
          <w:b/>
          <w:bCs/>
        </w:rPr>
        <w:t>Organiser la remontée de retours d’expérience</w:t>
      </w:r>
      <w:r w:rsidRPr="006E1221">
        <w:rPr>
          <w:rFonts w:eastAsia="Times New Roman"/>
        </w:rPr>
        <w:t xml:space="preserve"> en continu pour valoriser les projets d’</w:t>
      </w:r>
      <w:r w:rsidR="000234FC">
        <w:rPr>
          <w:rFonts w:eastAsia="Times New Roman"/>
        </w:rPr>
        <w:t>accessibilité numérique</w:t>
      </w:r>
      <w:r w:rsidRPr="006E1221">
        <w:rPr>
          <w:rFonts w:eastAsia="Times New Roman"/>
        </w:rPr>
        <w:t xml:space="preserve">, </w:t>
      </w:r>
      <w:r w:rsidR="00F1730F">
        <w:rPr>
          <w:rFonts w:eastAsia="Times New Roman"/>
        </w:rPr>
        <w:t xml:space="preserve">identifier </w:t>
      </w:r>
      <w:r w:rsidRPr="006E1221">
        <w:rPr>
          <w:rFonts w:eastAsia="Times New Roman"/>
        </w:rPr>
        <w:t>leurs difficultés et leurs réussites.</w:t>
      </w:r>
    </w:p>
    <w:p w14:paraId="1334294D" w14:textId="0B9BF287" w:rsidR="00C70D0D" w:rsidRDefault="006E1221">
      <w:pPr>
        <w:pStyle w:val="Paragraphedeliste"/>
        <w:numPr>
          <w:ilvl w:val="0"/>
          <w:numId w:val="29"/>
        </w:numPr>
        <w:rPr>
          <w:rFonts w:eastAsia="Times New Roman"/>
        </w:rPr>
      </w:pPr>
      <w:r w:rsidRPr="006E1221">
        <w:rPr>
          <w:rFonts w:eastAsia="Times New Roman"/>
          <w:b/>
          <w:bCs/>
        </w:rPr>
        <w:lastRenderedPageBreak/>
        <w:t>Créer des guides opérationnels intégrant des cas concrets adaptés à l’organisation</w:t>
      </w:r>
      <w:r w:rsidRPr="006E1221">
        <w:rPr>
          <w:rFonts w:eastAsia="Times New Roman"/>
        </w:rPr>
        <w:t>. Il est ici opportun de s’inspirer de ressources existantes, comme les fiches proposées par le RGAA</w:t>
      </w:r>
      <w:r>
        <w:rPr>
          <w:rStyle w:val="Appelnotedebasdep"/>
          <w:rFonts w:eastAsia="Times New Roman"/>
        </w:rPr>
        <w:footnoteReference w:id="23"/>
      </w:r>
      <w:r w:rsidRPr="006E1221">
        <w:rPr>
          <w:rFonts w:eastAsia="Times New Roman"/>
        </w:rPr>
        <w:t>, WCAG</w:t>
      </w:r>
      <w:r>
        <w:rPr>
          <w:rStyle w:val="Appelnotedebasdep"/>
          <w:rFonts w:eastAsia="Times New Roman"/>
        </w:rPr>
        <w:footnoteReference w:id="24"/>
      </w:r>
      <w:r w:rsidRPr="006E1221">
        <w:rPr>
          <w:rFonts w:eastAsia="Times New Roman"/>
        </w:rPr>
        <w:t>, Orange</w:t>
      </w:r>
      <w:r>
        <w:rPr>
          <w:rStyle w:val="Appelnotedebasdep"/>
          <w:rFonts w:eastAsia="Times New Roman"/>
        </w:rPr>
        <w:footnoteReference w:id="25"/>
      </w:r>
      <w:r w:rsidRPr="006E1221">
        <w:rPr>
          <w:rFonts w:eastAsia="Times New Roman"/>
        </w:rPr>
        <w:t xml:space="preserve">, ou la </w:t>
      </w:r>
      <w:proofErr w:type="spellStart"/>
      <w:r w:rsidRPr="006E1221">
        <w:rPr>
          <w:rFonts w:eastAsia="Times New Roman"/>
        </w:rPr>
        <w:t>Déque</w:t>
      </w:r>
      <w:proofErr w:type="spellEnd"/>
      <w:r w:rsidRPr="006E1221">
        <w:rPr>
          <w:rFonts w:eastAsia="Times New Roman"/>
        </w:rPr>
        <w:t xml:space="preserve"> </w:t>
      </w:r>
      <w:proofErr w:type="spellStart"/>
      <w:r w:rsidRPr="006E1221">
        <w:rPr>
          <w:rFonts w:eastAsia="Times New Roman"/>
        </w:rPr>
        <w:t>University</w:t>
      </w:r>
      <w:proofErr w:type="spellEnd"/>
      <w:r>
        <w:rPr>
          <w:rStyle w:val="Appelnotedebasdep"/>
          <w:rFonts w:eastAsia="Times New Roman"/>
        </w:rPr>
        <w:footnoteReference w:id="26"/>
      </w:r>
      <w:r w:rsidRPr="006E1221">
        <w:rPr>
          <w:rFonts w:eastAsia="Times New Roman"/>
        </w:rPr>
        <w:t xml:space="preserve">.  Orange a par exemple développé </w:t>
      </w:r>
      <w:proofErr w:type="gramStart"/>
      <w:r w:rsidRPr="006E1221">
        <w:rPr>
          <w:rFonts w:eastAsia="Times New Roman"/>
        </w:rPr>
        <w:t xml:space="preserve">un </w:t>
      </w:r>
      <w:r w:rsidRPr="006E1221">
        <w:rPr>
          <w:rFonts w:eastAsia="Times New Roman"/>
          <w:i/>
          <w:iCs/>
        </w:rPr>
        <w:t>escape</w:t>
      </w:r>
      <w:proofErr w:type="gramEnd"/>
      <w:r w:rsidRPr="006E1221">
        <w:rPr>
          <w:rFonts w:eastAsia="Times New Roman"/>
          <w:i/>
          <w:iCs/>
        </w:rPr>
        <w:t xml:space="preserve"> </w:t>
      </w:r>
      <w:proofErr w:type="spellStart"/>
      <w:r w:rsidRPr="006E1221">
        <w:rPr>
          <w:rFonts w:eastAsia="Times New Roman"/>
          <w:i/>
          <w:iCs/>
        </w:rPr>
        <w:t>game</w:t>
      </w:r>
      <w:proofErr w:type="spellEnd"/>
      <w:r w:rsidRPr="006E1221">
        <w:rPr>
          <w:rFonts w:eastAsia="Times New Roman"/>
        </w:rPr>
        <w:t xml:space="preserve"> immersif </w:t>
      </w:r>
      <w:r w:rsidR="000937C7">
        <w:rPr>
          <w:rFonts w:eastAsia="Times New Roman"/>
        </w:rPr>
        <w:t>« </w:t>
      </w:r>
      <w:r w:rsidRPr="006E1221">
        <w:rPr>
          <w:rFonts w:eastAsia="Times New Roman"/>
        </w:rPr>
        <w:t>Tota11ylost</w:t>
      </w:r>
      <w:r w:rsidR="000937C7">
        <w:rPr>
          <w:rFonts w:eastAsia="Times New Roman"/>
        </w:rPr>
        <w:t> »</w:t>
      </w:r>
      <w:r>
        <w:rPr>
          <w:rStyle w:val="Appelnotedebasdep"/>
          <w:rFonts w:eastAsia="Times New Roman"/>
        </w:rPr>
        <w:footnoteReference w:id="27"/>
      </w:r>
      <w:r w:rsidRPr="006E1221">
        <w:rPr>
          <w:rFonts w:eastAsia="Times New Roman"/>
        </w:rPr>
        <w:t xml:space="preserve">, qui a pour objectif de sensibiliser aux défis auxquels </w:t>
      </w:r>
      <w:r w:rsidR="00F1730F">
        <w:rPr>
          <w:rFonts w:eastAsia="Times New Roman"/>
        </w:rPr>
        <w:t>peuvent être</w:t>
      </w:r>
      <w:r w:rsidR="00F1730F" w:rsidRPr="006E1221">
        <w:rPr>
          <w:rFonts w:eastAsia="Times New Roman"/>
        </w:rPr>
        <w:t xml:space="preserve"> </w:t>
      </w:r>
      <w:r w:rsidRPr="006E1221">
        <w:rPr>
          <w:rFonts w:eastAsia="Times New Roman"/>
        </w:rPr>
        <w:t>confronté</w:t>
      </w:r>
      <w:r w:rsidR="00F1730F">
        <w:rPr>
          <w:rFonts w:eastAsia="Times New Roman"/>
        </w:rPr>
        <w:t>e</w:t>
      </w:r>
      <w:r w:rsidRPr="006E1221">
        <w:rPr>
          <w:rFonts w:eastAsia="Times New Roman"/>
        </w:rPr>
        <w:t>s les personnes en situation de handicap numérique</w:t>
      </w:r>
      <w:r>
        <w:rPr>
          <w:rStyle w:val="Appelnotedebasdep"/>
          <w:rFonts w:eastAsia="Times New Roman"/>
        </w:rPr>
        <w:footnoteReference w:id="28"/>
      </w:r>
      <w:r>
        <w:rPr>
          <w:rFonts w:eastAsia="Times New Roman"/>
        </w:rPr>
        <w:t>.</w:t>
      </w:r>
    </w:p>
    <w:p w14:paraId="5CC5064D" w14:textId="39D2CB46" w:rsidR="00C70D0D" w:rsidRDefault="00C70D0D" w:rsidP="00C70D0D">
      <w:pPr>
        <w:rPr>
          <w:rFonts w:eastAsia="Times New Roman"/>
        </w:rPr>
      </w:pPr>
      <w:r w:rsidRPr="00C70D0D">
        <w:rPr>
          <w:rFonts w:eastAsia="Times New Roman"/>
        </w:rPr>
        <w:t xml:space="preserve">Les retours d’expérience de Crédit Agricole S.A. et </w:t>
      </w:r>
      <w:r w:rsidR="00F1730F">
        <w:rPr>
          <w:rFonts w:eastAsia="Times New Roman"/>
        </w:rPr>
        <w:t xml:space="preserve">de </w:t>
      </w:r>
      <w:r w:rsidRPr="00C70D0D">
        <w:rPr>
          <w:rFonts w:eastAsia="Times New Roman"/>
        </w:rPr>
        <w:t>CA</w:t>
      </w:r>
      <w:r>
        <w:rPr>
          <w:rFonts w:eastAsia="Times New Roman"/>
        </w:rPr>
        <w:t>C</w:t>
      </w:r>
      <w:r w:rsidRPr="00C70D0D">
        <w:rPr>
          <w:rFonts w:eastAsia="Times New Roman"/>
        </w:rPr>
        <w:t xml:space="preserve">D2 </w:t>
      </w:r>
      <w:r w:rsidR="00F1730F">
        <w:rPr>
          <w:rFonts w:eastAsia="Times New Roman"/>
        </w:rPr>
        <w:t>suivants</w:t>
      </w:r>
      <w:r w:rsidRPr="00C70D0D">
        <w:rPr>
          <w:rFonts w:eastAsia="Times New Roman"/>
        </w:rPr>
        <w:t xml:space="preserve"> présentent leur</w:t>
      </w:r>
      <w:r w:rsidR="000302F6">
        <w:rPr>
          <w:rFonts w:eastAsia="Times New Roman"/>
        </w:rPr>
        <w:t>s</w:t>
      </w:r>
      <w:r w:rsidRPr="00C70D0D">
        <w:rPr>
          <w:rFonts w:eastAsia="Times New Roman"/>
        </w:rPr>
        <w:t xml:space="preserve"> démarche</w:t>
      </w:r>
      <w:r w:rsidR="000302F6">
        <w:rPr>
          <w:rFonts w:eastAsia="Times New Roman"/>
        </w:rPr>
        <w:t>s</w:t>
      </w:r>
      <w:r w:rsidRPr="00C70D0D">
        <w:rPr>
          <w:rFonts w:eastAsia="Times New Roman"/>
        </w:rPr>
        <w:t xml:space="preserve"> d’acculturation</w:t>
      </w:r>
      <w:r>
        <w:rPr>
          <w:rFonts w:eastAsia="Times New Roman"/>
        </w:rPr>
        <w:t xml:space="preserve"> et d’accompagnement</w:t>
      </w:r>
      <w:r w:rsidRPr="00C70D0D">
        <w:rPr>
          <w:rFonts w:eastAsia="Times New Roman"/>
        </w:rPr>
        <w:t xml:space="preserve"> à travers quelques outils</w:t>
      </w:r>
      <w:r>
        <w:rPr>
          <w:rFonts w:eastAsia="Times New Roman"/>
        </w:rPr>
        <w:t xml:space="preserve"> </w:t>
      </w:r>
      <w:r w:rsidRPr="00C70D0D">
        <w:rPr>
          <w:rFonts w:eastAsia="Times New Roman"/>
        </w:rPr>
        <w:t xml:space="preserve">et </w:t>
      </w:r>
      <w:r>
        <w:rPr>
          <w:rFonts w:eastAsia="Times New Roman"/>
        </w:rPr>
        <w:t>dispositifs</w:t>
      </w:r>
      <w:r w:rsidRPr="00C70D0D">
        <w:rPr>
          <w:rFonts w:eastAsia="Times New Roman"/>
        </w:rPr>
        <w:t xml:space="preserve"> concr</w:t>
      </w:r>
      <w:r>
        <w:rPr>
          <w:rFonts w:eastAsia="Times New Roman"/>
        </w:rPr>
        <w:t>e</w:t>
      </w:r>
      <w:r w:rsidRPr="00C70D0D">
        <w:rPr>
          <w:rFonts w:eastAsia="Times New Roman"/>
        </w:rPr>
        <w:t>ts</w:t>
      </w:r>
      <w:r w:rsidR="000302F6">
        <w:rPr>
          <w:rFonts w:eastAsia="Times New Roman"/>
        </w:rPr>
        <w:t>.</w:t>
      </w: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C70D0D" w:rsidRPr="00C43137" w14:paraId="33601633" w14:textId="77777777" w:rsidTr="006720AE">
        <w:trPr>
          <w:jc w:val="center"/>
        </w:trPr>
        <w:tc>
          <w:tcPr>
            <w:tcW w:w="9047" w:type="dxa"/>
            <w:tcBorders>
              <w:left w:val="single" w:sz="18" w:space="0" w:color="155E48"/>
            </w:tcBorders>
            <w:shd w:val="clear" w:color="auto" w:fill="F2F2F2" w:themeFill="background1" w:themeFillShade="F2"/>
          </w:tcPr>
          <w:p w14:paraId="601150C0" w14:textId="77777777" w:rsidR="00C70D0D" w:rsidRPr="00EF07F7" w:rsidRDefault="00C70D0D" w:rsidP="0098335B">
            <w:pPr>
              <w:pStyle w:val="TitreEncart"/>
              <w:spacing w:line="276" w:lineRule="auto"/>
              <w:rPr>
                <w:bCs/>
              </w:rPr>
            </w:pPr>
            <w:bookmarkStart w:id="67" w:name="_Toc230257737"/>
            <w:r w:rsidRPr="00EF07F7">
              <w:rPr>
                <w:bCs/>
              </w:rPr>
              <w:lastRenderedPageBreak/>
              <w:t>REX Crédit Agricole S</w:t>
            </w:r>
            <w:r>
              <w:rPr>
                <w:bCs/>
              </w:rPr>
              <w:t>.</w:t>
            </w:r>
            <w:r w:rsidRPr="00EF07F7">
              <w:rPr>
                <w:bCs/>
              </w:rPr>
              <w:t>A</w:t>
            </w:r>
            <w:r>
              <w:rPr>
                <w:bCs/>
              </w:rPr>
              <w:t>.</w:t>
            </w:r>
            <w:bookmarkEnd w:id="67"/>
            <w:r w:rsidRPr="00EF07F7">
              <w:rPr>
                <w:bCs/>
              </w:rPr>
              <w:t> </w:t>
            </w:r>
          </w:p>
          <w:p w14:paraId="1353BDC1" w14:textId="77777777" w:rsidR="00C70D0D" w:rsidRPr="00EF07F7" w:rsidRDefault="00C70D0D" w:rsidP="00F25788">
            <w:pPr>
              <w:pStyle w:val="TitreencartREX"/>
            </w:pPr>
            <w:r w:rsidRPr="00EF07F7">
              <w:t>Déploiement opérationnel et dispositif d’accompagnement pour les collaborateurs</w:t>
            </w:r>
          </w:p>
          <w:p w14:paraId="0EA34D17" w14:textId="6FEA7025" w:rsidR="00C70D0D" w:rsidRPr="000302F6" w:rsidRDefault="00F1730F">
            <w:pPr>
              <w:pStyle w:val="Paragraphedeliste"/>
              <w:keepNext/>
              <w:keepLines/>
              <w:numPr>
                <w:ilvl w:val="0"/>
                <w:numId w:val="73"/>
              </w:numPr>
              <w:tabs>
                <w:tab w:val="left" w:pos="6285"/>
              </w:tabs>
              <w:spacing w:before="100" w:after="200" w:line="276" w:lineRule="auto"/>
              <w:rPr>
                <w:rFonts w:ascii="Calibri" w:eastAsia="Calibri" w:hAnsi="Calibri" w:cs="Calibri"/>
                <w:b/>
                <w:color w:val="262626"/>
              </w:rPr>
            </w:pPr>
            <w:r>
              <w:rPr>
                <w:rFonts w:ascii="Calibri" w:eastAsia="Calibri" w:hAnsi="Calibri" w:cs="Calibri"/>
                <w:b/>
                <w:color w:val="262626"/>
              </w:rPr>
              <w:t>Les outils pour s</w:t>
            </w:r>
            <w:r w:rsidR="00C70D0D" w:rsidRPr="000302F6">
              <w:rPr>
                <w:rFonts w:ascii="Calibri" w:eastAsia="Calibri" w:hAnsi="Calibri" w:cs="Calibri"/>
                <w:b/>
                <w:color w:val="262626"/>
              </w:rPr>
              <w:t>ensibiliser tous les collaborateurs</w:t>
            </w:r>
          </w:p>
          <w:p w14:paraId="29D112C5" w14:textId="77777777" w:rsidR="00C70D0D" w:rsidRPr="00EF07F7" w:rsidRDefault="00C70D0D" w:rsidP="0098335B">
            <w:pPr>
              <w:keepNext/>
              <w:keepLines/>
              <w:tabs>
                <w:tab w:val="left" w:pos="6285"/>
              </w:tabs>
              <w:spacing w:before="100" w:after="200" w:line="276" w:lineRule="auto"/>
              <w:rPr>
                <w:rFonts w:ascii="Calibri" w:eastAsia="Calibri" w:hAnsi="Calibri" w:cs="Calibri"/>
                <w:color w:val="262626"/>
              </w:rPr>
            </w:pPr>
            <w:r w:rsidRPr="00EF07F7">
              <w:rPr>
                <w:rFonts w:ascii="Calibri" w:eastAsia="Calibri" w:hAnsi="Calibri" w:cs="Calibri"/>
                <w:color w:val="262626"/>
              </w:rPr>
              <w:t xml:space="preserve">La sensibilisation étant considérée comme centrale dans le déploiement de l’accessibilité numérique, le Crédit Agricole a mis en place un certain nombre d’outils et de ressources pour ancrer les pratiques dans le quotidien des collaborateurs : </w:t>
            </w:r>
          </w:p>
          <w:p w14:paraId="54C9D7DF" w14:textId="166C6B86" w:rsidR="00C70D0D" w:rsidRPr="00EF07F7" w:rsidRDefault="00C70D0D">
            <w:pPr>
              <w:keepNext/>
              <w:keepLines/>
              <w:numPr>
                <w:ilvl w:val="0"/>
                <w:numId w:val="38"/>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t xml:space="preserve">Une </w:t>
            </w:r>
            <w:r w:rsidRPr="007463B2">
              <w:rPr>
                <w:rFonts w:ascii="Calibri" w:eastAsia="Calibri" w:hAnsi="Calibri" w:cs="Calibri"/>
                <w:b/>
                <w:bCs/>
                <w:color w:val="262626"/>
              </w:rPr>
              <w:t>vidéo</w:t>
            </w:r>
            <w:r w:rsidRPr="00EF07F7">
              <w:rPr>
                <w:rFonts w:ascii="Calibri" w:eastAsia="Calibri" w:hAnsi="Calibri" w:cs="Calibri"/>
                <w:color w:val="262626"/>
              </w:rPr>
              <w:t xml:space="preserve"> destinée à l’ensemble des collaborateurs</w:t>
            </w:r>
            <w:r w:rsidR="00F1730F">
              <w:rPr>
                <w:rFonts w:ascii="Calibri" w:eastAsia="Calibri" w:hAnsi="Calibri" w:cs="Calibri"/>
                <w:color w:val="262626"/>
              </w:rPr>
              <w:t>,</w:t>
            </w:r>
            <w:r w:rsidRPr="00EF07F7">
              <w:rPr>
                <w:rFonts w:ascii="Calibri" w:eastAsia="Calibri" w:hAnsi="Calibri" w:cs="Calibri"/>
                <w:color w:val="262626"/>
              </w:rPr>
              <w:t xml:space="preserve"> avec pour objectif de les sensibiliser à l’accessibilité numérique (</w:t>
            </w:r>
            <w:r>
              <w:rPr>
                <w:rFonts w:ascii="Calibri" w:eastAsia="Calibri" w:hAnsi="Calibri" w:cs="Calibri"/>
                <w:color w:val="262626"/>
              </w:rPr>
              <w:t>présentant</w:t>
            </w:r>
            <w:r w:rsidRPr="00EF07F7">
              <w:rPr>
                <w:rFonts w:ascii="Calibri" w:eastAsia="Calibri" w:hAnsi="Calibri" w:cs="Calibri"/>
                <w:color w:val="262626"/>
              </w:rPr>
              <w:t xml:space="preserve"> les différents handicaps, les grands chiffres, un rappel de la réglementation, le lien avec le Projet sociétal et l’ADN du Groupe, ainsi que les pistes envisagées pour la suite</w:t>
            </w:r>
            <w:r>
              <w:rPr>
                <w:rFonts w:ascii="Calibri" w:eastAsia="Calibri" w:hAnsi="Calibri" w:cs="Calibri"/>
                <w:color w:val="262626"/>
              </w:rPr>
              <w:t>)</w:t>
            </w:r>
            <w:r w:rsidRPr="00EF07F7">
              <w:rPr>
                <w:rFonts w:ascii="Calibri" w:eastAsia="Calibri" w:hAnsi="Calibri" w:cs="Calibri"/>
                <w:color w:val="262626"/>
              </w:rPr>
              <w:t>.</w:t>
            </w:r>
          </w:p>
          <w:p w14:paraId="5E6B6AB7" w14:textId="31879053" w:rsidR="00C70D0D" w:rsidRPr="00EF07F7" w:rsidRDefault="00C70D0D">
            <w:pPr>
              <w:keepNext/>
              <w:keepLines/>
              <w:numPr>
                <w:ilvl w:val="0"/>
                <w:numId w:val="38"/>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t xml:space="preserve">4 </w:t>
            </w:r>
            <w:r w:rsidRPr="007463B2">
              <w:rPr>
                <w:rFonts w:ascii="Calibri" w:eastAsia="Calibri" w:hAnsi="Calibri" w:cs="Calibri"/>
                <w:b/>
                <w:bCs/>
                <w:color w:val="262626"/>
              </w:rPr>
              <w:t>capsules vidéo</w:t>
            </w:r>
            <w:r w:rsidRPr="00EF07F7">
              <w:rPr>
                <w:rFonts w:ascii="Calibri" w:eastAsia="Calibri" w:hAnsi="Calibri" w:cs="Calibri"/>
                <w:color w:val="262626"/>
              </w:rPr>
              <w:t xml:space="preserve"> aves un focus sur chaque typologie de handicap (visuel, auditif, cognitif, moteur), </w:t>
            </w:r>
            <w:r w:rsidR="00F1730F">
              <w:rPr>
                <w:rFonts w:ascii="Calibri" w:eastAsia="Calibri" w:hAnsi="Calibri" w:cs="Calibri"/>
                <w:color w:val="262626"/>
              </w:rPr>
              <w:t>et</w:t>
            </w:r>
            <w:r w:rsidR="00F1730F" w:rsidRPr="00EF07F7">
              <w:rPr>
                <w:rFonts w:ascii="Calibri" w:eastAsia="Calibri" w:hAnsi="Calibri" w:cs="Calibri"/>
                <w:color w:val="262626"/>
              </w:rPr>
              <w:t xml:space="preserve"> </w:t>
            </w:r>
            <w:r w:rsidRPr="00EF07F7">
              <w:rPr>
                <w:rFonts w:ascii="Calibri" w:eastAsia="Calibri" w:hAnsi="Calibri" w:cs="Calibri"/>
                <w:color w:val="262626"/>
              </w:rPr>
              <w:t>le partage des constats, des besoins et des solutions proposées aux collaborateurs</w:t>
            </w:r>
            <w:r>
              <w:rPr>
                <w:rFonts w:ascii="Calibri" w:eastAsia="Calibri" w:hAnsi="Calibri" w:cs="Calibri"/>
                <w:color w:val="262626"/>
              </w:rPr>
              <w:t>.</w:t>
            </w:r>
          </w:p>
          <w:p w14:paraId="59E9CD1D" w14:textId="77777777" w:rsidR="00C70D0D" w:rsidRDefault="00C70D0D">
            <w:pPr>
              <w:keepNext/>
              <w:keepLines/>
              <w:numPr>
                <w:ilvl w:val="0"/>
                <w:numId w:val="38"/>
              </w:numPr>
              <w:tabs>
                <w:tab w:val="left" w:pos="6285"/>
              </w:tabs>
              <w:spacing w:before="100" w:after="0" w:line="276" w:lineRule="auto"/>
              <w:rPr>
                <w:rFonts w:ascii="Calibri" w:eastAsia="Calibri" w:hAnsi="Calibri" w:cs="Calibri"/>
                <w:color w:val="262626"/>
              </w:rPr>
            </w:pPr>
            <w:r w:rsidRPr="007463B2">
              <w:rPr>
                <w:rFonts w:ascii="Calibri" w:eastAsia="Calibri" w:hAnsi="Calibri" w:cs="Calibri"/>
                <w:b/>
                <w:bCs/>
                <w:color w:val="262626"/>
              </w:rPr>
              <w:t>Un livret de sensibilisation à l’</w:t>
            </w:r>
            <w:r>
              <w:rPr>
                <w:rFonts w:ascii="Calibri" w:eastAsia="Calibri" w:hAnsi="Calibri" w:cs="Calibri"/>
                <w:b/>
                <w:bCs/>
                <w:color w:val="262626"/>
              </w:rPr>
              <w:t>accessibilité numérique</w:t>
            </w:r>
            <w:r w:rsidRPr="00EF07F7">
              <w:rPr>
                <w:rFonts w:ascii="Calibri" w:eastAsia="Calibri" w:hAnsi="Calibri" w:cs="Calibri"/>
                <w:color w:val="262626"/>
              </w:rPr>
              <w:t xml:space="preserve"> : </w:t>
            </w:r>
          </w:p>
          <w:p w14:paraId="796EBB2E" w14:textId="20405A63" w:rsidR="00C70D0D" w:rsidRDefault="00C70D0D">
            <w:pPr>
              <w:keepNext/>
              <w:keepLines/>
              <w:numPr>
                <w:ilvl w:val="0"/>
                <w:numId w:val="67"/>
              </w:numPr>
              <w:tabs>
                <w:tab w:val="left" w:pos="6285"/>
              </w:tabs>
              <w:spacing w:before="100" w:after="0" w:line="276" w:lineRule="auto"/>
              <w:rPr>
                <w:rFonts w:ascii="Calibri" w:eastAsia="Calibri" w:hAnsi="Calibri" w:cs="Calibri"/>
                <w:color w:val="262626"/>
              </w:rPr>
            </w:pPr>
            <w:r>
              <w:rPr>
                <w:rFonts w:ascii="Calibri" w:eastAsia="Calibri" w:hAnsi="Calibri" w:cs="Calibri"/>
                <w:color w:val="262626"/>
              </w:rPr>
              <w:t>Présentant les réflexes clés pour un numérique plus inclusif</w:t>
            </w:r>
            <w:r w:rsidR="000302F6">
              <w:rPr>
                <w:rFonts w:ascii="Calibri" w:eastAsia="Calibri" w:hAnsi="Calibri" w:cs="Calibri"/>
                <w:color w:val="262626"/>
              </w:rPr>
              <w:t> ;</w:t>
            </w:r>
          </w:p>
          <w:p w14:paraId="280FD843" w14:textId="276476A2" w:rsidR="00C70D0D" w:rsidRDefault="000302F6">
            <w:pPr>
              <w:keepNext/>
              <w:keepLines/>
              <w:numPr>
                <w:ilvl w:val="0"/>
                <w:numId w:val="67"/>
              </w:numPr>
              <w:tabs>
                <w:tab w:val="left" w:pos="6285"/>
              </w:tabs>
              <w:spacing w:after="0" w:line="276" w:lineRule="auto"/>
              <w:rPr>
                <w:rFonts w:ascii="Calibri" w:eastAsia="Calibri" w:hAnsi="Calibri" w:cs="Calibri"/>
                <w:color w:val="262626"/>
              </w:rPr>
            </w:pPr>
            <w:r>
              <w:rPr>
                <w:rFonts w:ascii="Calibri" w:eastAsia="Calibri" w:hAnsi="Calibri" w:cs="Calibri"/>
                <w:color w:val="262626"/>
              </w:rPr>
              <w:t>C</w:t>
            </w:r>
            <w:r w:rsidR="00C70D0D">
              <w:rPr>
                <w:rFonts w:ascii="Calibri" w:eastAsia="Calibri" w:hAnsi="Calibri" w:cs="Calibri"/>
                <w:color w:val="262626"/>
              </w:rPr>
              <w:t>onçu à destination des collaborateurs du groupe Crédit Agricole</w:t>
            </w:r>
            <w:r>
              <w:rPr>
                <w:rFonts w:ascii="Calibri" w:eastAsia="Calibri" w:hAnsi="Calibri" w:cs="Calibri"/>
                <w:color w:val="262626"/>
              </w:rPr>
              <w:t> ;</w:t>
            </w:r>
          </w:p>
          <w:p w14:paraId="02E84242" w14:textId="0C42897E" w:rsidR="00C70D0D" w:rsidRDefault="000302F6">
            <w:pPr>
              <w:keepNext/>
              <w:keepLines/>
              <w:numPr>
                <w:ilvl w:val="0"/>
                <w:numId w:val="67"/>
              </w:numPr>
              <w:tabs>
                <w:tab w:val="left" w:pos="6285"/>
              </w:tabs>
              <w:spacing w:after="0" w:line="276" w:lineRule="auto"/>
              <w:rPr>
                <w:rFonts w:ascii="Calibri" w:eastAsia="Calibri" w:hAnsi="Calibri" w:cs="Calibri"/>
                <w:color w:val="262626"/>
              </w:rPr>
            </w:pPr>
            <w:r>
              <w:rPr>
                <w:rFonts w:ascii="Calibri" w:eastAsia="Calibri" w:hAnsi="Calibri" w:cs="Calibri"/>
                <w:color w:val="262626"/>
              </w:rPr>
              <w:t>P</w:t>
            </w:r>
            <w:r w:rsidR="00C70D0D">
              <w:rPr>
                <w:rFonts w:ascii="Calibri" w:eastAsia="Calibri" w:hAnsi="Calibri" w:cs="Calibri"/>
                <w:color w:val="262626"/>
              </w:rPr>
              <w:t>ermettant d’appréhender l’accessibilité numérique</w:t>
            </w:r>
            <w:r>
              <w:rPr>
                <w:rFonts w:ascii="Calibri" w:eastAsia="Calibri" w:hAnsi="Calibri" w:cs="Calibri"/>
                <w:color w:val="262626"/>
              </w:rPr>
              <w:t> ;</w:t>
            </w:r>
          </w:p>
          <w:p w14:paraId="23428F22" w14:textId="4E19632A" w:rsidR="00C70D0D" w:rsidRDefault="000302F6">
            <w:pPr>
              <w:keepNext/>
              <w:keepLines/>
              <w:numPr>
                <w:ilvl w:val="0"/>
                <w:numId w:val="67"/>
              </w:numPr>
              <w:tabs>
                <w:tab w:val="left" w:pos="6285"/>
              </w:tabs>
              <w:spacing w:after="0" w:line="276" w:lineRule="auto"/>
              <w:rPr>
                <w:rFonts w:ascii="Calibri" w:eastAsia="Calibri" w:hAnsi="Calibri" w:cs="Calibri"/>
                <w:color w:val="262626"/>
              </w:rPr>
            </w:pPr>
            <w:r>
              <w:rPr>
                <w:rFonts w:ascii="Calibri" w:eastAsia="Calibri" w:hAnsi="Calibri" w:cs="Calibri"/>
                <w:color w:val="262626"/>
              </w:rPr>
              <w:t>C</w:t>
            </w:r>
            <w:r w:rsidR="00C70D0D">
              <w:rPr>
                <w:rFonts w:ascii="Calibri" w:eastAsia="Calibri" w:hAnsi="Calibri" w:cs="Calibri"/>
                <w:color w:val="262626"/>
              </w:rPr>
              <w:t>omprenant la mise en situation, dans le contexte de l’entreprise, de 4 typologies de handicap (moteur, auditif, visuel et cognitif)</w:t>
            </w:r>
            <w:r>
              <w:rPr>
                <w:rFonts w:ascii="Calibri" w:eastAsia="Calibri" w:hAnsi="Calibri" w:cs="Calibri"/>
                <w:color w:val="262626"/>
              </w:rPr>
              <w:t> ;</w:t>
            </w:r>
          </w:p>
          <w:p w14:paraId="4B79C4D3" w14:textId="6DA25B6D" w:rsidR="00C70D0D" w:rsidRDefault="000302F6">
            <w:pPr>
              <w:keepNext/>
              <w:keepLines/>
              <w:numPr>
                <w:ilvl w:val="0"/>
                <w:numId w:val="67"/>
              </w:numPr>
              <w:tabs>
                <w:tab w:val="left" w:pos="6285"/>
              </w:tabs>
              <w:spacing w:after="0" w:line="276" w:lineRule="auto"/>
              <w:rPr>
                <w:rFonts w:ascii="Calibri" w:eastAsia="Calibri" w:hAnsi="Calibri" w:cs="Calibri"/>
                <w:color w:val="262626"/>
              </w:rPr>
            </w:pPr>
            <w:r>
              <w:rPr>
                <w:rFonts w:ascii="Calibri" w:eastAsia="Calibri" w:hAnsi="Calibri" w:cs="Calibri"/>
                <w:color w:val="262626"/>
              </w:rPr>
              <w:t>D</w:t>
            </w:r>
            <w:r w:rsidR="00C70D0D">
              <w:rPr>
                <w:rFonts w:ascii="Calibri" w:eastAsia="Calibri" w:hAnsi="Calibri" w:cs="Calibri"/>
                <w:color w:val="262626"/>
              </w:rPr>
              <w:t>isponible sur une page intranet dédiée</w:t>
            </w:r>
            <w:r>
              <w:rPr>
                <w:rFonts w:ascii="Calibri" w:eastAsia="Calibri" w:hAnsi="Calibri" w:cs="Calibri"/>
                <w:color w:val="262626"/>
              </w:rPr>
              <w:t> ;</w:t>
            </w:r>
          </w:p>
          <w:p w14:paraId="1980A959" w14:textId="75DBDF3D" w:rsidR="00C70D0D" w:rsidRDefault="00F1730F">
            <w:pPr>
              <w:keepNext/>
              <w:keepLines/>
              <w:numPr>
                <w:ilvl w:val="0"/>
                <w:numId w:val="67"/>
              </w:numPr>
              <w:tabs>
                <w:tab w:val="left" w:pos="6285"/>
              </w:tabs>
              <w:spacing w:after="200" w:line="276" w:lineRule="auto"/>
              <w:rPr>
                <w:rFonts w:ascii="Calibri" w:eastAsia="Calibri" w:hAnsi="Calibri" w:cs="Calibri"/>
                <w:color w:val="262626"/>
              </w:rPr>
            </w:pPr>
            <w:r>
              <w:rPr>
                <w:rFonts w:ascii="Calibri" w:eastAsia="Calibri" w:hAnsi="Calibri" w:cs="Calibri"/>
                <w:color w:val="262626"/>
              </w:rPr>
              <w:t>Et t</w:t>
            </w:r>
            <w:r w:rsidR="00C70D0D">
              <w:rPr>
                <w:rFonts w:ascii="Calibri" w:eastAsia="Calibri" w:hAnsi="Calibri" w:cs="Calibri"/>
                <w:color w:val="262626"/>
              </w:rPr>
              <w:t>otalement accessible</w:t>
            </w:r>
            <w:r>
              <w:rPr>
                <w:rFonts w:ascii="Calibri" w:eastAsia="Calibri" w:hAnsi="Calibri" w:cs="Calibri"/>
                <w:color w:val="262626"/>
              </w:rPr>
              <w:t>.</w:t>
            </w:r>
          </w:p>
          <w:p w14:paraId="77ED74E0" w14:textId="29F6187B" w:rsidR="00C70D0D" w:rsidRDefault="00C70D0D">
            <w:pPr>
              <w:pStyle w:val="Paragraphedeliste"/>
              <w:keepNext/>
              <w:keepLines/>
              <w:numPr>
                <w:ilvl w:val="0"/>
                <w:numId w:val="37"/>
              </w:numPr>
              <w:tabs>
                <w:tab w:val="left" w:pos="6285"/>
              </w:tabs>
              <w:spacing w:after="200" w:line="276" w:lineRule="auto"/>
              <w:rPr>
                <w:rFonts w:ascii="Calibri" w:eastAsia="Calibri" w:hAnsi="Calibri" w:cs="Calibri"/>
                <w:color w:val="262626"/>
              </w:rPr>
            </w:pPr>
            <w:r w:rsidRPr="007463B2">
              <w:rPr>
                <w:rFonts w:ascii="Calibri" w:eastAsia="Calibri" w:hAnsi="Calibri" w:cs="Calibri"/>
                <w:color w:val="262626"/>
              </w:rPr>
              <w:t xml:space="preserve">En complément </w:t>
            </w:r>
            <w:r w:rsidRPr="007463B2">
              <w:rPr>
                <w:rFonts w:ascii="Calibri" w:eastAsia="Calibri" w:hAnsi="Calibri" w:cs="Calibri"/>
                <w:b/>
                <w:bCs/>
                <w:color w:val="262626"/>
              </w:rPr>
              <w:t>un guide</w:t>
            </w:r>
            <w:r w:rsidRPr="007463B2">
              <w:rPr>
                <w:rFonts w:ascii="Calibri" w:eastAsia="Calibri" w:hAnsi="Calibri" w:cs="Calibri"/>
                <w:color w:val="262626"/>
              </w:rPr>
              <w:t xml:space="preserve"> dédié aux outils office365 pour connaître les fonctionnalités dédiées à l’accessibilité numérique</w:t>
            </w:r>
            <w:r w:rsidR="00F1730F">
              <w:rPr>
                <w:rFonts w:ascii="Calibri" w:eastAsia="Calibri" w:hAnsi="Calibri" w:cs="Calibri"/>
                <w:color w:val="262626"/>
              </w:rPr>
              <w:t xml:space="preserve"> </w:t>
            </w:r>
            <w:r w:rsidR="00F1730F" w:rsidRPr="007463B2">
              <w:rPr>
                <w:rFonts w:ascii="Calibri" w:eastAsia="Calibri" w:hAnsi="Calibri" w:cs="Calibri"/>
                <w:color w:val="262626"/>
              </w:rPr>
              <w:t>est diffusé</w:t>
            </w:r>
            <w:r w:rsidR="00F1730F">
              <w:rPr>
                <w:rFonts w:ascii="Calibri" w:eastAsia="Calibri" w:hAnsi="Calibri" w:cs="Calibri"/>
                <w:color w:val="262626"/>
              </w:rPr>
              <w:t>,</w:t>
            </w:r>
            <w:r w:rsidRPr="007463B2">
              <w:rPr>
                <w:rFonts w:ascii="Calibri" w:eastAsia="Calibri" w:hAnsi="Calibri" w:cs="Calibri"/>
                <w:color w:val="262626"/>
              </w:rPr>
              <w:t xml:space="preserve"> </w:t>
            </w:r>
            <w:r w:rsidR="00F1730F">
              <w:rPr>
                <w:rFonts w:ascii="Calibri" w:eastAsia="Calibri" w:hAnsi="Calibri" w:cs="Calibri"/>
                <w:color w:val="262626"/>
              </w:rPr>
              <w:t>et</w:t>
            </w:r>
            <w:r w:rsidR="00F1730F" w:rsidRPr="007463B2">
              <w:rPr>
                <w:rFonts w:ascii="Calibri" w:eastAsia="Calibri" w:hAnsi="Calibri" w:cs="Calibri"/>
                <w:color w:val="262626"/>
              </w:rPr>
              <w:t xml:space="preserve"> </w:t>
            </w:r>
            <w:r w:rsidRPr="007463B2">
              <w:rPr>
                <w:rFonts w:ascii="Calibri" w:eastAsia="Calibri" w:hAnsi="Calibri" w:cs="Calibri"/>
                <w:color w:val="262626"/>
              </w:rPr>
              <w:t>des fiches pratiques permettant d’appliquer les bonnes pratiques d’</w:t>
            </w:r>
            <w:r w:rsidR="000302F6">
              <w:rPr>
                <w:rFonts w:ascii="Calibri" w:eastAsia="Calibri" w:hAnsi="Calibri" w:cs="Calibri"/>
                <w:color w:val="262626"/>
              </w:rPr>
              <w:t>accessibilité numérique</w:t>
            </w:r>
            <w:r w:rsidR="00F1730F">
              <w:rPr>
                <w:rFonts w:ascii="Calibri" w:eastAsia="Calibri" w:hAnsi="Calibri" w:cs="Calibri"/>
                <w:color w:val="262626"/>
              </w:rPr>
              <w:t xml:space="preserve"> sont </w:t>
            </w:r>
            <w:r w:rsidR="00F1730F" w:rsidRPr="007463B2">
              <w:rPr>
                <w:rFonts w:ascii="Calibri" w:eastAsia="Calibri" w:hAnsi="Calibri" w:cs="Calibri"/>
                <w:color w:val="262626"/>
              </w:rPr>
              <w:t>mises à disposition des collaborateurs</w:t>
            </w:r>
            <w:r w:rsidRPr="007463B2">
              <w:rPr>
                <w:rFonts w:ascii="Calibri" w:eastAsia="Calibri" w:hAnsi="Calibri" w:cs="Calibri"/>
                <w:color w:val="262626"/>
              </w:rPr>
              <w:t>.</w:t>
            </w:r>
          </w:p>
          <w:p w14:paraId="3578BD8A" w14:textId="77777777" w:rsidR="00AC31F3" w:rsidRPr="007463B2" w:rsidRDefault="00AC31F3" w:rsidP="000302F6">
            <w:pPr>
              <w:pStyle w:val="Paragraphedeliste"/>
              <w:keepNext/>
              <w:keepLines/>
              <w:tabs>
                <w:tab w:val="left" w:pos="6285"/>
              </w:tabs>
              <w:spacing w:after="200" w:line="276" w:lineRule="auto"/>
              <w:ind w:left="993"/>
              <w:rPr>
                <w:rFonts w:ascii="Calibri" w:eastAsia="Calibri" w:hAnsi="Calibri" w:cs="Calibri"/>
                <w:color w:val="262626"/>
              </w:rPr>
            </w:pPr>
          </w:p>
          <w:p w14:paraId="6BA9A265" w14:textId="77777777" w:rsidR="00C70D0D" w:rsidRPr="000302F6" w:rsidRDefault="00C70D0D">
            <w:pPr>
              <w:pStyle w:val="Paragraphedeliste"/>
              <w:keepNext/>
              <w:keepLines/>
              <w:numPr>
                <w:ilvl w:val="0"/>
                <w:numId w:val="73"/>
              </w:numPr>
              <w:tabs>
                <w:tab w:val="left" w:pos="6285"/>
              </w:tabs>
              <w:spacing w:before="100" w:after="200" w:line="276" w:lineRule="auto"/>
              <w:rPr>
                <w:rFonts w:ascii="Calibri" w:eastAsia="Calibri" w:hAnsi="Calibri" w:cs="Calibri"/>
                <w:b/>
                <w:color w:val="262626"/>
              </w:rPr>
            </w:pPr>
            <w:r w:rsidRPr="000302F6">
              <w:rPr>
                <w:rFonts w:ascii="Calibri" w:eastAsia="Calibri" w:hAnsi="Calibri" w:cs="Calibri"/>
                <w:b/>
                <w:color w:val="262626"/>
              </w:rPr>
              <w:t>Les fiches de bonnes pratiques pour la communication</w:t>
            </w:r>
          </w:p>
          <w:p w14:paraId="65C7E19E" w14:textId="77777777" w:rsidR="00C70D0D" w:rsidRDefault="00C70D0D" w:rsidP="0098335B">
            <w:pPr>
              <w:keepNext/>
              <w:keepLines/>
              <w:tabs>
                <w:tab w:val="left" w:pos="6285"/>
              </w:tabs>
              <w:spacing w:before="100" w:after="200" w:line="276" w:lineRule="auto"/>
              <w:rPr>
                <w:rFonts w:ascii="Calibri" w:eastAsia="Calibri" w:hAnsi="Calibri" w:cs="Calibri"/>
                <w:color w:val="262626"/>
              </w:rPr>
            </w:pPr>
            <w:r>
              <w:rPr>
                <w:rFonts w:ascii="Calibri" w:eastAsia="Calibri" w:hAnsi="Calibri" w:cs="Calibri"/>
                <w:color w:val="262626"/>
              </w:rPr>
              <w:t>Ces fiches pratiques ont pour objectif de guider les référents communication dans la production des supports de communication accessibles. Elles donnent des recommandations, illustrées par des bonnes pratiques et mauvaises pratiques pour la diffusion de contenu par le Crédit Agricole (newsletter, post LinkedIn, transcriptions de vidéo, etc.)</w:t>
            </w:r>
          </w:p>
          <w:p w14:paraId="40275E03" w14:textId="77777777" w:rsidR="00C70D0D" w:rsidRDefault="00C70D0D" w:rsidP="0098335B">
            <w:pPr>
              <w:keepNext/>
              <w:keepLines/>
              <w:tabs>
                <w:tab w:val="left" w:pos="6285"/>
              </w:tabs>
              <w:spacing w:before="100" w:after="0" w:line="276" w:lineRule="auto"/>
              <w:rPr>
                <w:rFonts w:ascii="Calibri" w:eastAsia="Calibri" w:hAnsi="Calibri" w:cs="Calibri"/>
                <w:color w:val="262626"/>
              </w:rPr>
            </w:pPr>
            <w:r>
              <w:rPr>
                <w:rFonts w:ascii="Calibri" w:eastAsia="Calibri" w:hAnsi="Calibri" w:cs="Calibri"/>
                <w:color w:val="262626"/>
              </w:rPr>
              <w:t>Exemple d’une fiche sur l’accessibilité des newsletters :</w:t>
            </w:r>
          </w:p>
          <w:p w14:paraId="414E7D58" w14:textId="1A1B01D9" w:rsidR="00C70D0D" w:rsidRPr="00EF07F7" w:rsidRDefault="00C70D0D">
            <w:pPr>
              <w:keepNext/>
              <w:keepLines/>
              <w:numPr>
                <w:ilvl w:val="0"/>
                <w:numId w:val="37"/>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t xml:space="preserve">Le contenu de la newsletter doit répondre aux critères suivants : simplicité de rédaction et structuration en paragraphes/titres etc., unicité de langue, police </w:t>
            </w:r>
            <w:r w:rsidR="00AC31F3">
              <w:rPr>
                <w:rFonts w:ascii="Calibri" w:eastAsia="Calibri" w:hAnsi="Calibri" w:cs="Calibri"/>
                <w:color w:val="262626"/>
              </w:rPr>
              <w:t>« </w:t>
            </w:r>
            <w:r w:rsidRPr="00EF07F7">
              <w:rPr>
                <w:rFonts w:ascii="Calibri" w:eastAsia="Calibri" w:hAnsi="Calibri" w:cs="Calibri"/>
                <w:color w:val="262626"/>
              </w:rPr>
              <w:t>sans sérif</w:t>
            </w:r>
            <w:r w:rsidR="00AC31F3">
              <w:rPr>
                <w:rFonts w:ascii="Calibri" w:eastAsia="Calibri" w:hAnsi="Calibri" w:cs="Calibri"/>
                <w:color w:val="262626"/>
              </w:rPr>
              <w:t> »</w:t>
            </w:r>
            <w:r>
              <w:rPr>
                <w:rFonts w:ascii="Calibri" w:eastAsia="Calibri" w:hAnsi="Calibri" w:cs="Calibri"/>
                <w:color w:val="262626"/>
              </w:rPr>
              <w:t>.</w:t>
            </w:r>
          </w:p>
          <w:p w14:paraId="7B2B7427" w14:textId="77777777" w:rsidR="00C70D0D" w:rsidRPr="00EF07F7" w:rsidRDefault="00C70D0D">
            <w:pPr>
              <w:keepNext/>
              <w:keepLines/>
              <w:numPr>
                <w:ilvl w:val="0"/>
                <w:numId w:val="37"/>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lastRenderedPageBreak/>
              <w:t>L’utilisation d’images doit poser une distinction entre image décorative</w:t>
            </w:r>
            <w:r>
              <w:rPr>
                <w:rFonts w:ascii="Calibri" w:eastAsia="Calibri" w:hAnsi="Calibri" w:cs="Calibri"/>
                <w:color w:val="262626"/>
              </w:rPr>
              <w:t xml:space="preserve"> et</w:t>
            </w:r>
            <w:r w:rsidRPr="00EF07F7">
              <w:rPr>
                <w:rFonts w:ascii="Calibri" w:eastAsia="Calibri" w:hAnsi="Calibri" w:cs="Calibri"/>
                <w:color w:val="262626"/>
              </w:rPr>
              <w:t xml:space="preserve"> informative</w:t>
            </w:r>
            <w:r>
              <w:rPr>
                <w:rFonts w:ascii="Calibri" w:eastAsia="Calibri" w:hAnsi="Calibri" w:cs="Calibri"/>
                <w:color w:val="262626"/>
              </w:rPr>
              <w:t>.</w:t>
            </w:r>
          </w:p>
          <w:p w14:paraId="4D13FE8B" w14:textId="77777777" w:rsidR="00C70D0D" w:rsidRPr="00EF07F7" w:rsidRDefault="00C70D0D">
            <w:pPr>
              <w:keepNext/>
              <w:keepLines/>
              <w:numPr>
                <w:ilvl w:val="0"/>
                <w:numId w:val="37"/>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t>Les contrastes et les couleurs doivent correspondre aux critères d’accessibilité.</w:t>
            </w:r>
          </w:p>
          <w:p w14:paraId="1318F670" w14:textId="77FE1954" w:rsidR="00C70D0D" w:rsidRDefault="00AC31F3">
            <w:pPr>
              <w:keepNext/>
              <w:keepLines/>
              <w:numPr>
                <w:ilvl w:val="0"/>
                <w:numId w:val="37"/>
              </w:numPr>
              <w:tabs>
                <w:tab w:val="left" w:pos="6285"/>
              </w:tabs>
              <w:spacing w:before="100" w:after="0" w:line="276" w:lineRule="auto"/>
              <w:rPr>
                <w:rFonts w:ascii="Calibri" w:eastAsia="Calibri" w:hAnsi="Calibri" w:cs="Calibri"/>
                <w:color w:val="262626"/>
              </w:rPr>
            </w:pPr>
            <w:r>
              <w:rPr>
                <w:rFonts w:ascii="Calibri" w:eastAsia="Calibri" w:hAnsi="Calibri" w:cs="Calibri"/>
                <w:color w:val="262626"/>
              </w:rPr>
              <w:t>La</w:t>
            </w:r>
            <w:r w:rsidRPr="00EF07F7">
              <w:rPr>
                <w:rFonts w:ascii="Calibri" w:eastAsia="Calibri" w:hAnsi="Calibri" w:cs="Calibri"/>
                <w:color w:val="262626"/>
              </w:rPr>
              <w:t xml:space="preserve"> </w:t>
            </w:r>
            <w:r w:rsidR="00C70D0D" w:rsidRPr="00EF07F7">
              <w:rPr>
                <w:rFonts w:ascii="Calibri" w:eastAsia="Calibri" w:hAnsi="Calibri" w:cs="Calibri"/>
                <w:color w:val="262626"/>
              </w:rPr>
              <w:t>fiche se termine par une check-list pour évaluer la prise en compte des exigences d’</w:t>
            </w:r>
            <w:r w:rsidR="00C70D0D" w:rsidRPr="00230C35">
              <w:rPr>
                <w:rFonts w:ascii="Calibri" w:eastAsia="Calibri" w:hAnsi="Calibri" w:cs="Calibri"/>
                <w:color w:val="262626"/>
              </w:rPr>
              <w:t>accessibilité numérique</w:t>
            </w:r>
            <w:r w:rsidR="00C70D0D" w:rsidRPr="00EF07F7">
              <w:rPr>
                <w:rFonts w:ascii="Calibri" w:eastAsia="Calibri" w:hAnsi="Calibri" w:cs="Calibri"/>
                <w:color w:val="262626"/>
              </w:rPr>
              <w:t xml:space="preserve"> : </w:t>
            </w:r>
            <w:r w:rsidR="00C70D0D">
              <w:rPr>
                <w:rFonts w:ascii="Calibri" w:eastAsia="Calibri" w:hAnsi="Calibri" w:cs="Calibri"/>
                <w:color w:val="262626"/>
              </w:rPr>
              <w:t>« </w:t>
            </w:r>
            <w:r w:rsidR="00C70D0D" w:rsidRPr="00EF07F7">
              <w:rPr>
                <w:rFonts w:ascii="Calibri" w:eastAsia="Calibri" w:hAnsi="Calibri" w:cs="Calibri"/>
                <w:color w:val="262626"/>
              </w:rPr>
              <w:t>est-ce que ma newsletter est accessible ?</w:t>
            </w:r>
            <w:r w:rsidR="00C70D0D">
              <w:rPr>
                <w:rFonts w:ascii="Calibri" w:eastAsia="Calibri" w:hAnsi="Calibri" w:cs="Calibri"/>
                <w:color w:val="262626"/>
              </w:rPr>
              <w:t> »</w:t>
            </w:r>
          </w:p>
          <w:p w14:paraId="476969D8" w14:textId="77777777" w:rsidR="00AC31F3" w:rsidRDefault="00AC31F3" w:rsidP="000302F6">
            <w:pPr>
              <w:keepNext/>
              <w:keepLines/>
              <w:tabs>
                <w:tab w:val="left" w:pos="6285"/>
              </w:tabs>
              <w:spacing w:before="100" w:after="0" w:line="276" w:lineRule="auto"/>
              <w:ind w:left="993"/>
              <w:rPr>
                <w:rFonts w:ascii="Calibri" w:eastAsia="Calibri" w:hAnsi="Calibri" w:cs="Calibri"/>
                <w:color w:val="262626"/>
              </w:rPr>
            </w:pPr>
          </w:p>
          <w:p w14:paraId="3FB2D54B" w14:textId="4E0FDDF8" w:rsidR="00C70D0D" w:rsidRPr="000302F6" w:rsidRDefault="00C70D0D">
            <w:pPr>
              <w:pStyle w:val="Paragraphedeliste"/>
              <w:keepNext/>
              <w:keepLines/>
              <w:numPr>
                <w:ilvl w:val="0"/>
                <w:numId w:val="73"/>
              </w:numPr>
              <w:tabs>
                <w:tab w:val="left" w:pos="6285"/>
              </w:tabs>
              <w:spacing w:before="100" w:after="200" w:line="276" w:lineRule="auto"/>
              <w:rPr>
                <w:rFonts w:ascii="Calibri" w:eastAsia="Calibri" w:hAnsi="Calibri" w:cs="Calibri"/>
                <w:bCs/>
                <w:color w:val="262626"/>
              </w:rPr>
            </w:pPr>
            <w:r w:rsidRPr="000302F6">
              <w:rPr>
                <w:rFonts w:ascii="Calibri" w:eastAsia="Calibri" w:hAnsi="Calibri" w:cs="Calibri"/>
                <w:b/>
                <w:color w:val="262626"/>
              </w:rPr>
              <w:t xml:space="preserve">Le guide de mise en œuvre de l’accessibilité numérique à destination des référents accessibilité numérique </w:t>
            </w:r>
            <w:r w:rsidRPr="000302F6">
              <w:rPr>
                <w:rFonts w:ascii="Calibri" w:eastAsia="Calibri" w:hAnsi="Calibri" w:cs="Calibri"/>
                <w:bCs/>
                <w:color w:val="262626"/>
              </w:rPr>
              <w:t>complète le dispositif</w:t>
            </w:r>
            <w:r w:rsidR="000302F6">
              <w:rPr>
                <w:rFonts w:ascii="Calibri" w:eastAsia="Calibri" w:hAnsi="Calibri" w:cs="Calibri"/>
                <w:bCs/>
                <w:color w:val="262626"/>
              </w:rPr>
              <w:t xml:space="preserve"> </w:t>
            </w:r>
            <w:r w:rsidR="00AC31F3">
              <w:rPr>
                <w:rFonts w:ascii="Calibri" w:eastAsia="Calibri" w:hAnsi="Calibri" w:cs="Calibri"/>
                <w:bCs/>
                <w:color w:val="262626"/>
              </w:rPr>
              <w:t>et comprend</w:t>
            </w:r>
            <w:r w:rsidR="00AC31F3" w:rsidRPr="000302F6">
              <w:rPr>
                <w:rFonts w:ascii="Calibri" w:eastAsia="Calibri" w:hAnsi="Calibri" w:cs="Calibri"/>
                <w:bCs/>
                <w:color w:val="262626"/>
              </w:rPr>
              <w:t> </w:t>
            </w:r>
            <w:r w:rsidRPr="000302F6">
              <w:rPr>
                <w:rFonts w:ascii="Calibri" w:eastAsia="Calibri" w:hAnsi="Calibri" w:cs="Calibri"/>
                <w:bCs/>
                <w:color w:val="262626"/>
              </w:rPr>
              <w:t>:</w:t>
            </w:r>
          </w:p>
          <w:p w14:paraId="4AAD7756" w14:textId="77777777" w:rsidR="00C70D0D" w:rsidRPr="00EF07F7" w:rsidRDefault="00C70D0D">
            <w:pPr>
              <w:keepNext/>
              <w:keepLines/>
              <w:numPr>
                <w:ilvl w:val="0"/>
                <w:numId w:val="37"/>
              </w:numPr>
              <w:tabs>
                <w:tab w:val="left" w:pos="6285"/>
              </w:tabs>
              <w:spacing w:before="100" w:after="0" w:line="276" w:lineRule="auto"/>
              <w:rPr>
                <w:rFonts w:ascii="Calibri" w:eastAsia="Calibri" w:hAnsi="Calibri" w:cs="Calibri"/>
                <w:color w:val="262626"/>
              </w:rPr>
            </w:pPr>
            <w:r>
              <w:rPr>
                <w:rFonts w:ascii="Calibri" w:eastAsia="Calibri" w:hAnsi="Calibri" w:cs="Calibri"/>
                <w:color w:val="262626"/>
              </w:rPr>
              <w:t>Une i</w:t>
            </w:r>
            <w:r w:rsidRPr="00EF07F7">
              <w:rPr>
                <w:rFonts w:ascii="Calibri" w:eastAsia="Calibri" w:hAnsi="Calibri" w:cs="Calibri"/>
                <w:color w:val="262626"/>
              </w:rPr>
              <w:t>ntroduction sur l’accessibilité numérique (définition, principes, lien avec le projet sociétal, les enjeux, les opportunités business, la maîtrise des risques - images, réglementations…)</w:t>
            </w:r>
          </w:p>
          <w:p w14:paraId="7BC7F6F4" w14:textId="24EE07A1" w:rsidR="00C70D0D" w:rsidRPr="00EF07F7" w:rsidRDefault="00C70D0D">
            <w:pPr>
              <w:keepNext/>
              <w:keepLines/>
              <w:numPr>
                <w:ilvl w:val="0"/>
                <w:numId w:val="37"/>
              </w:numPr>
              <w:tabs>
                <w:tab w:val="left" w:pos="6285"/>
              </w:tabs>
              <w:spacing w:before="100" w:after="0" w:line="276" w:lineRule="auto"/>
              <w:rPr>
                <w:rFonts w:ascii="Calibri" w:eastAsia="Calibri" w:hAnsi="Calibri" w:cs="Calibri"/>
                <w:color w:val="262626"/>
              </w:rPr>
            </w:pPr>
            <w:r w:rsidRPr="00EF07F7">
              <w:rPr>
                <w:rFonts w:ascii="Calibri" w:eastAsia="Calibri" w:hAnsi="Calibri" w:cs="Calibri"/>
                <w:color w:val="262626"/>
              </w:rPr>
              <w:t>L</w:t>
            </w:r>
            <w:r w:rsidR="00AC31F3">
              <w:rPr>
                <w:rFonts w:ascii="Calibri" w:eastAsia="Calibri" w:hAnsi="Calibri" w:cs="Calibri"/>
                <w:color w:val="262626"/>
              </w:rPr>
              <w:t>’application de l</w:t>
            </w:r>
            <w:r w:rsidRPr="00EF07F7">
              <w:rPr>
                <w:rFonts w:ascii="Calibri" w:eastAsia="Calibri" w:hAnsi="Calibri" w:cs="Calibri"/>
                <w:color w:val="262626"/>
              </w:rPr>
              <w:t xml:space="preserve">’accessibilité numérique au sein du Groupe (objectifs, périmètre applicatif, responsabilités collectives </w:t>
            </w:r>
            <w:r w:rsidR="00AC31F3">
              <w:rPr>
                <w:rFonts w:ascii="Calibri" w:eastAsia="Calibri" w:hAnsi="Calibri" w:cs="Calibri"/>
                <w:color w:val="262626"/>
              </w:rPr>
              <w:t>avec un</w:t>
            </w:r>
            <w:r w:rsidR="00AC31F3" w:rsidRPr="00EF07F7">
              <w:rPr>
                <w:rFonts w:ascii="Calibri" w:eastAsia="Calibri" w:hAnsi="Calibri" w:cs="Calibri"/>
                <w:color w:val="262626"/>
              </w:rPr>
              <w:t xml:space="preserve"> </w:t>
            </w:r>
            <w:r w:rsidRPr="00EF07F7">
              <w:rPr>
                <w:rFonts w:ascii="Calibri" w:eastAsia="Calibri" w:hAnsi="Calibri" w:cs="Calibri"/>
                <w:color w:val="262626"/>
              </w:rPr>
              <w:t>focus sur les parcours utilisateur</w:t>
            </w:r>
            <w:r>
              <w:rPr>
                <w:rFonts w:ascii="Calibri" w:eastAsia="Calibri" w:hAnsi="Calibri" w:cs="Calibri"/>
                <w:color w:val="262626"/>
              </w:rPr>
              <w:t>s</w:t>
            </w:r>
            <w:r w:rsidRPr="00EF07F7">
              <w:rPr>
                <w:rFonts w:ascii="Calibri" w:eastAsia="Calibri" w:hAnsi="Calibri" w:cs="Calibri"/>
                <w:color w:val="262626"/>
              </w:rPr>
              <w:t xml:space="preserve"> qui nécessite</w:t>
            </w:r>
            <w:r>
              <w:rPr>
                <w:rFonts w:ascii="Calibri" w:eastAsia="Calibri" w:hAnsi="Calibri" w:cs="Calibri"/>
                <w:color w:val="262626"/>
              </w:rPr>
              <w:t>nt</w:t>
            </w:r>
            <w:r w:rsidRPr="00EF07F7">
              <w:rPr>
                <w:rFonts w:ascii="Calibri" w:eastAsia="Calibri" w:hAnsi="Calibri" w:cs="Calibri"/>
                <w:color w:val="262626"/>
              </w:rPr>
              <w:t xml:space="preserve"> un travail collaboratif à réaliser avec les différentes entités du </w:t>
            </w:r>
            <w:r>
              <w:rPr>
                <w:rFonts w:ascii="Calibri" w:eastAsia="Calibri" w:hAnsi="Calibri" w:cs="Calibri"/>
                <w:color w:val="262626"/>
              </w:rPr>
              <w:t>G</w:t>
            </w:r>
            <w:r w:rsidRPr="00EF07F7">
              <w:rPr>
                <w:rFonts w:ascii="Calibri" w:eastAsia="Calibri" w:hAnsi="Calibri" w:cs="Calibri"/>
                <w:color w:val="262626"/>
              </w:rPr>
              <w:t>roupe)</w:t>
            </w:r>
          </w:p>
          <w:p w14:paraId="4159F13E" w14:textId="6BEAA453" w:rsidR="00C70D0D" w:rsidRDefault="00C70D0D">
            <w:pPr>
              <w:keepNext/>
              <w:keepLines/>
              <w:numPr>
                <w:ilvl w:val="0"/>
                <w:numId w:val="37"/>
              </w:numPr>
              <w:tabs>
                <w:tab w:val="left" w:pos="6285"/>
              </w:tabs>
              <w:spacing w:before="100" w:after="0" w:line="276" w:lineRule="auto"/>
              <w:rPr>
                <w:rFonts w:ascii="Calibri" w:eastAsia="Calibri" w:hAnsi="Calibri" w:cs="Calibri"/>
                <w:color w:val="262626"/>
              </w:rPr>
            </w:pPr>
            <w:r>
              <w:rPr>
                <w:rFonts w:ascii="Calibri" w:eastAsia="Calibri" w:hAnsi="Calibri" w:cs="Calibri"/>
                <w:color w:val="262626"/>
              </w:rPr>
              <w:t>Le d</w:t>
            </w:r>
            <w:r w:rsidRPr="00EF07F7">
              <w:rPr>
                <w:rFonts w:ascii="Calibri" w:eastAsia="Calibri" w:hAnsi="Calibri" w:cs="Calibri"/>
                <w:color w:val="262626"/>
              </w:rPr>
              <w:t xml:space="preserve">éploiement de la démarche en entité (actions prioritaires, ressources disponibles, gouvernance par </w:t>
            </w:r>
            <w:r>
              <w:rPr>
                <w:rFonts w:ascii="Calibri" w:eastAsia="Calibri" w:hAnsi="Calibri" w:cs="Calibri"/>
                <w:color w:val="262626"/>
              </w:rPr>
              <w:t>e</w:t>
            </w:r>
            <w:r w:rsidRPr="00EF07F7">
              <w:rPr>
                <w:rFonts w:ascii="Calibri" w:eastAsia="Calibri" w:hAnsi="Calibri" w:cs="Calibri"/>
                <w:color w:val="262626"/>
              </w:rPr>
              <w:t>ntité et au niveau Groupe, accompagnement externe)</w:t>
            </w:r>
            <w:r w:rsidR="000302F6">
              <w:rPr>
                <w:rFonts w:ascii="Calibri" w:eastAsia="Calibri" w:hAnsi="Calibri" w:cs="Calibri"/>
                <w:color w:val="262626"/>
              </w:rPr>
              <w:t>.</w:t>
            </w:r>
          </w:p>
          <w:p w14:paraId="3288A214" w14:textId="77777777" w:rsidR="00C70D0D" w:rsidRPr="00EF07F7" w:rsidRDefault="00C70D0D" w:rsidP="0098335B">
            <w:pPr>
              <w:keepNext/>
              <w:keepLines/>
              <w:tabs>
                <w:tab w:val="left" w:pos="6285"/>
              </w:tabs>
              <w:spacing w:before="100" w:after="0" w:line="276" w:lineRule="auto"/>
              <w:rPr>
                <w:rFonts w:ascii="Calibri" w:eastAsia="Calibri" w:hAnsi="Calibri" w:cs="Calibri"/>
                <w:color w:val="262626"/>
              </w:rPr>
            </w:pPr>
          </w:p>
          <w:p w14:paraId="38F52089" w14:textId="774B82DD" w:rsidR="00AC31F3" w:rsidRDefault="00C70D0D" w:rsidP="0098335B">
            <w:pPr>
              <w:spacing w:line="276" w:lineRule="auto"/>
              <w:jc w:val="right"/>
              <w:rPr>
                <w:b/>
                <w:bCs/>
                <w:lang w:eastAsia="fr-FR"/>
              </w:rPr>
            </w:pPr>
            <w:r w:rsidRPr="00EF07F7">
              <w:rPr>
                <w:b/>
                <w:bCs/>
                <w:lang w:eastAsia="fr-FR"/>
              </w:rPr>
              <w:t>Élodie Tesson</w:t>
            </w:r>
            <w:r w:rsidRPr="00EF07F7">
              <w:rPr>
                <w:lang w:eastAsia="fr-FR"/>
              </w:rPr>
              <w:t>, Communication Ligne métier SI</w:t>
            </w:r>
          </w:p>
          <w:p w14:paraId="1EB78F16" w14:textId="3ADFDB84" w:rsidR="00AC31F3" w:rsidRDefault="00C70D0D" w:rsidP="0098335B">
            <w:pPr>
              <w:spacing w:line="276" w:lineRule="auto"/>
              <w:jc w:val="right"/>
              <w:rPr>
                <w:b/>
                <w:bCs/>
                <w:lang w:eastAsia="fr-FR"/>
              </w:rPr>
            </w:pPr>
            <w:r w:rsidRPr="00EF07F7">
              <w:rPr>
                <w:b/>
                <w:bCs/>
                <w:lang w:eastAsia="fr-FR"/>
              </w:rPr>
              <w:t>Fabien Métivet</w:t>
            </w:r>
            <w:r w:rsidRPr="00EF07F7">
              <w:rPr>
                <w:lang w:eastAsia="fr-FR"/>
              </w:rPr>
              <w:t>, Chef de projet Numérique Responsable,</w:t>
            </w:r>
            <w:r w:rsidRPr="00EF07F7">
              <w:rPr>
                <w:b/>
                <w:bCs/>
                <w:lang w:eastAsia="fr-FR"/>
              </w:rPr>
              <w:t xml:space="preserve"> </w:t>
            </w:r>
          </w:p>
          <w:p w14:paraId="3EBEA8D7" w14:textId="07F36007" w:rsidR="00C70D0D" w:rsidRPr="00C43137" w:rsidRDefault="00C70D0D" w:rsidP="0098335B">
            <w:pPr>
              <w:spacing w:line="276" w:lineRule="auto"/>
              <w:jc w:val="right"/>
              <w:rPr>
                <w:lang w:eastAsia="fr-FR"/>
              </w:rPr>
            </w:pPr>
            <w:r w:rsidRPr="00EF07F7">
              <w:rPr>
                <w:b/>
                <w:bCs/>
                <w:lang w:eastAsia="fr-FR"/>
              </w:rPr>
              <w:t>Groupe Crédit Agricole SA</w:t>
            </w:r>
            <w:r>
              <w:rPr>
                <w:b/>
                <w:bCs/>
                <w:lang w:eastAsia="fr-FR"/>
              </w:rPr>
              <w:t xml:space="preserve"> </w:t>
            </w:r>
          </w:p>
        </w:tc>
      </w:tr>
    </w:tbl>
    <w:p w14:paraId="77B73565" w14:textId="77777777" w:rsidR="00C70D0D" w:rsidRDefault="00C70D0D" w:rsidP="00C70D0D">
      <w:pPr>
        <w:rPr>
          <w:rFonts w:eastAsia="Times New Roman"/>
        </w:rPr>
      </w:pP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C70D0D" w:rsidRPr="00C43137" w14:paraId="618F3D24" w14:textId="77777777" w:rsidTr="006A2D6E">
        <w:trPr>
          <w:jc w:val="center"/>
        </w:trPr>
        <w:tc>
          <w:tcPr>
            <w:tcW w:w="9047" w:type="dxa"/>
            <w:tcBorders>
              <w:left w:val="single" w:sz="18" w:space="0" w:color="155E48"/>
            </w:tcBorders>
            <w:shd w:val="clear" w:color="auto" w:fill="F2F2F2" w:themeFill="background1" w:themeFillShade="F2"/>
          </w:tcPr>
          <w:p w14:paraId="5FB10150" w14:textId="77777777" w:rsidR="00C70D0D" w:rsidRPr="00D62C23" w:rsidRDefault="00C70D0D" w:rsidP="0098335B">
            <w:pPr>
              <w:pStyle w:val="TitreEncart"/>
              <w:ind w:left="0"/>
            </w:pPr>
            <w:bookmarkStart w:id="68" w:name="_Toc230257738"/>
            <w:r w:rsidRPr="00D62C23">
              <w:rPr>
                <w:bCs/>
              </w:rPr>
              <w:lastRenderedPageBreak/>
              <w:t xml:space="preserve">REX </w:t>
            </w:r>
            <w:r w:rsidRPr="00EF07F7">
              <w:rPr>
                <w:bCs/>
              </w:rPr>
              <w:t>CACD2 (Crédit Agricole Conseil et Développement Digital)</w:t>
            </w:r>
            <w:bookmarkEnd w:id="68"/>
          </w:p>
          <w:p w14:paraId="248C3361" w14:textId="77777777" w:rsidR="00C70D0D" w:rsidRPr="00D62C23" w:rsidRDefault="00C70D0D" w:rsidP="0033608D">
            <w:pPr>
              <w:pStyle w:val="TitreencartREX"/>
            </w:pPr>
            <w:r w:rsidRPr="00EF07F7">
              <w:t xml:space="preserve">Ressources pour l’accompagnement et la formation  </w:t>
            </w:r>
          </w:p>
          <w:p w14:paraId="319BD77F" w14:textId="3170AE41" w:rsidR="00C70D0D" w:rsidRDefault="00C70D0D">
            <w:pPr>
              <w:pStyle w:val="Paragraphedeliste"/>
              <w:numPr>
                <w:ilvl w:val="0"/>
                <w:numId w:val="58"/>
              </w:numPr>
              <w:rPr>
                <w:lang w:eastAsia="fr-FR"/>
              </w:rPr>
            </w:pPr>
            <w:r>
              <w:rPr>
                <w:lang w:eastAsia="fr-FR"/>
              </w:rPr>
              <w:t xml:space="preserve">Une présentation d’1h30 sur les </w:t>
            </w:r>
            <w:r w:rsidR="00AC31F3">
              <w:rPr>
                <w:lang w:eastAsia="fr-FR"/>
              </w:rPr>
              <w:t xml:space="preserve">« </w:t>
            </w:r>
            <w:r>
              <w:rPr>
                <w:lang w:eastAsia="fr-FR"/>
              </w:rPr>
              <w:t>check-lists made by CACD2</w:t>
            </w:r>
            <w:r w:rsidR="00AC31F3">
              <w:rPr>
                <w:lang w:eastAsia="fr-FR"/>
              </w:rPr>
              <w:t xml:space="preserve"> »</w:t>
            </w:r>
            <w:r>
              <w:rPr>
                <w:lang w:eastAsia="fr-FR"/>
              </w:rPr>
              <w:t xml:space="preserve"> est proposée aux développeurs, </w:t>
            </w:r>
            <w:r w:rsidRPr="000302F6">
              <w:rPr>
                <w:i/>
                <w:iCs/>
                <w:lang w:eastAsia="fr-FR"/>
              </w:rPr>
              <w:t xml:space="preserve">Product </w:t>
            </w:r>
            <w:proofErr w:type="spellStart"/>
            <w:r w:rsidRPr="000302F6">
              <w:rPr>
                <w:i/>
                <w:iCs/>
                <w:lang w:eastAsia="fr-FR"/>
              </w:rPr>
              <w:t>Owners</w:t>
            </w:r>
            <w:proofErr w:type="spellEnd"/>
            <w:r w:rsidRPr="000302F6">
              <w:rPr>
                <w:i/>
                <w:iCs/>
                <w:lang w:eastAsia="fr-FR"/>
              </w:rPr>
              <w:t>, UX/UI Designers</w:t>
            </w:r>
            <w:r>
              <w:rPr>
                <w:lang w:eastAsia="fr-FR"/>
              </w:rPr>
              <w:t xml:space="preserve">, Directeurs de </w:t>
            </w:r>
            <w:r w:rsidR="00AC31F3">
              <w:rPr>
                <w:lang w:eastAsia="fr-FR"/>
              </w:rPr>
              <w:t>p</w:t>
            </w:r>
            <w:r>
              <w:rPr>
                <w:lang w:eastAsia="fr-FR"/>
              </w:rPr>
              <w:t>rojet</w:t>
            </w:r>
            <w:r w:rsidR="00AC31F3">
              <w:rPr>
                <w:lang w:eastAsia="fr-FR"/>
              </w:rPr>
              <w:t>s</w:t>
            </w:r>
            <w:r>
              <w:rPr>
                <w:lang w:eastAsia="fr-FR"/>
              </w:rPr>
              <w:t>, suivie d’un quizz, ce qui intègre une partie ludique, très appréciée. Cette présentation peut être aussi faite à d’autres entités du Groupe.</w:t>
            </w:r>
          </w:p>
          <w:p w14:paraId="42A6F303" w14:textId="77777777" w:rsidR="00C70D0D" w:rsidRPr="00EF07F7" w:rsidRDefault="00C70D0D" w:rsidP="0098335B">
            <w:pPr>
              <w:rPr>
                <w:b/>
                <w:bCs/>
                <w:lang w:eastAsia="fr-FR"/>
              </w:rPr>
            </w:pPr>
            <w:r w:rsidRPr="00EF07F7">
              <w:rPr>
                <w:b/>
                <w:bCs/>
                <w:lang w:eastAsia="fr-FR"/>
              </w:rPr>
              <w:t>Les outils documentaires, mis à jour régulièrement, constituent des ressources de référence pour les équipes :</w:t>
            </w:r>
          </w:p>
          <w:p w14:paraId="19C585B2" w14:textId="77777777" w:rsidR="00C70D0D" w:rsidRDefault="00C70D0D">
            <w:pPr>
              <w:pStyle w:val="Paragraphedeliste"/>
              <w:numPr>
                <w:ilvl w:val="0"/>
                <w:numId w:val="39"/>
              </w:numPr>
              <w:ind w:hanging="284"/>
              <w:contextualSpacing w:val="0"/>
              <w:rPr>
                <w:lang w:eastAsia="fr-FR"/>
              </w:rPr>
            </w:pPr>
            <w:r>
              <w:rPr>
                <w:lang w:eastAsia="fr-FR"/>
              </w:rPr>
              <w:t>Check-list dédiée aux développeurs ;</w:t>
            </w:r>
          </w:p>
          <w:p w14:paraId="49A6BBB4" w14:textId="77777777" w:rsidR="00C70D0D" w:rsidRDefault="00C70D0D">
            <w:pPr>
              <w:pStyle w:val="Paragraphedeliste"/>
              <w:numPr>
                <w:ilvl w:val="0"/>
                <w:numId w:val="39"/>
              </w:numPr>
              <w:ind w:hanging="284"/>
              <w:contextualSpacing w:val="0"/>
              <w:rPr>
                <w:lang w:eastAsia="fr-FR"/>
              </w:rPr>
            </w:pPr>
            <w:r>
              <w:rPr>
                <w:lang w:eastAsia="fr-FR"/>
              </w:rPr>
              <w:t>Check-list dédiée aux designers ;</w:t>
            </w:r>
          </w:p>
          <w:p w14:paraId="1C7BD184" w14:textId="77777777" w:rsidR="00C70D0D" w:rsidRDefault="00C70D0D">
            <w:pPr>
              <w:pStyle w:val="Paragraphedeliste"/>
              <w:numPr>
                <w:ilvl w:val="0"/>
                <w:numId w:val="39"/>
              </w:numPr>
              <w:ind w:hanging="284"/>
              <w:contextualSpacing w:val="0"/>
              <w:rPr>
                <w:lang w:eastAsia="fr-FR"/>
              </w:rPr>
            </w:pPr>
            <w:r>
              <w:rPr>
                <w:lang w:eastAsia="fr-FR"/>
              </w:rPr>
              <w:t xml:space="preserve">Recommandations à inclure dans les </w:t>
            </w:r>
            <w:proofErr w:type="spellStart"/>
            <w:r w:rsidRPr="00726013">
              <w:rPr>
                <w:i/>
                <w:iCs/>
                <w:lang w:eastAsia="fr-FR"/>
              </w:rPr>
              <w:t>users</w:t>
            </w:r>
            <w:proofErr w:type="spellEnd"/>
            <w:r w:rsidRPr="00726013">
              <w:rPr>
                <w:i/>
                <w:iCs/>
                <w:lang w:eastAsia="fr-FR"/>
              </w:rPr>
              <w:t xml:space="preserve"> stories</w:t>
            </w:r>
            <w:r>
              <w:rPr>
                <w:i/>
                <w:iCs/>
                <w:lang w:eastAsia="fr-FR"/>
              </w:rPr>
              <w:t>.</w:t>
            </w:r>
          </w:p>
          <w:p w14:paraId="552188B9" w14:textId="42462485" w:rsidR="00C70D0D" w:rsidRDefault="00C70D0D">
            <w:pPr>
              <w:pStyle w:val="Paragraphedeliste"/>
              <w:numPr>
                <w:ilvl w:val="0"/>
                <w:numId w:val="59"/>
              </w:numPr>
              <w:ind w:left="357" w:hanging="357"/>
              <w:contextualSpacing w:val="0"/>
              <w:rPr>
                <w:lang w:eastAsia="fr-FR"/>
              </w:rPr>
            </w:pPr>
            <w:r>
              <w:rPr>
                <w:lang w:eastAsia="fr-FR"/>
              </w:rPr>
              <w:t>En parallèle, un hub a été créé afin de regrouper toutes les informations sur l’accessibilité numérique, avec l’accès aux check-lists, de</w:t>
            </w:r>
            <w:r w:rsidR="00AC31F3">
              <w:rPr>
                <w:lang w:eastAsia="fr-FR"/>
              </w:rPr>
              <w:t>s éléments</w:t>
            </w:r>
            <w:r>
              <w:rPr>
                <w:lang w:eastAsia="fr-FR"/>
              </w:rPr>
              <w:t xml:space="preserve"> </w:t>
            </w:r>
            <w:r w:rsidR="00AC31F3">
              <w:rPr>
                <w:lang w:eastAsia="fr-FR"/>
              </w:rPr>
              <w:t>de</w:t>
            </w:r>
            <w:r>
              <w:rPr>
                <w:lang w:eastAsia="fr-FR"/>
              </w:rPr>
              <w:t xml:space="preserve"> veille, la présentation du pôle accessibilité, le partage des taux de conformité obtenus</w:t>
            </w:r>
            <w:r w:rsidR="00AC31F3">
              <w:rPr>
                <w:lang w:eastAsia="fr-FR"/>
              </w:rPr>
              <w:t>.</w:t>
            </w:r>
          </w:p>
          <w:p w14:paraId="0286FDE6" w14:textId="77777777" w:rsidR="00C70D0D" w:rsidRDefault="00C70D0D">
            <w:pPr>
              <w:pStyle w:val="Paragraphedeliste"/>
              <w:numPr>
                <w:ilvl w:val="0"/>
                <w:numId w:val="59"/>
              </w:numPr>
              <w:ind w:left="357" w:hanging="357"/>
              <w:contextualSpacing w:val="0"/>
              <w:rPr>
                <w:lang w:eastAsia="fr-FR"/>
              </w:rPr>
            </w:pPr>
            <w:r>
              <w:rPr>
                <w:lang w:eastAsia="fr-FR"/>
              </w:rPr>
              <w:t xml:space="preserve">CACD2 entretient une </w:t>
            </w:r>
            <w:r w:rsidRPr="00F671A3">
              <w:rPr>
                <w:b/>
                <w:bCs/>
                <w:lang w:eastAsia="fr-FR"/>
              </w:rPr>
              <w:t>veille active</w:t>
            </w:r>
            <w:r>
              <w:rPr>
                <w:lang w:eastAsia="fr-FR"/>
              </w:rPr>
              <w:t xml:space="preserve"> en participant à des événements et conférences spécialisées, et anime un </w:t>
            </w:r>
            <w:r w:rsidRPr="00F671A3">
              <w:rPr>
                <w:b/>
                <w:bCs/>
                <w:lang w:eastAsia="fr-FR"/>
              </w:rPr>
              <w:t>canal Slack dédié</w:t>
            </w:r>
            <w:r>
              <w:rPr>
                <w:lang w:eastAsia="fr-FR"/>
              </w:rPr>
              <w:t xml:space="preserve">, favorisant une véritable communauté d’entraide autour du développement accessible. </w:t>
            </w:r>
          </w:p>
          <w:p w14:paraId="2B92AECF" w14:textId="77777777" w:rsidR="00646CD1" w:rsidRDefault="00646CD1" w:rsidP="00646CD1">
            <w:pPr>
              <w:rPr>
                <w:lang w:eastAsia="fr-FR"/>
              </w:rPr>
            </w:pPr>
          </w:p>
          <w:p w14:paraId="0FC7081F" w14:textId="77777777" w:rsidR="00C70D0D" w:rsidRPr="00C43137" w:rsidRDefault="00C70D0D" w:rsidP="0098335B">
            <w:pPr>
              <w:jc w:val="right"/>
              <w:rPr>
                <w:lang w:eastAsia="fr-FR"/>
              </w:rPr>
            </w:pPr>
            <w:r w:rsidRPr="00EF07F7">
              <w:rPr>
                <w:b/>
                <w:bCs/>
                <w:lang w:eastAsia="fr-FR"/>
              </w:rPr>
              <w:t>Elodie Vuarchex</w:t>
            </w:r>
            <w:r w:rsidRPr="00EF07F7">
              <w:rPr>
                <w:lang w:eastAsia="fr-FR"/>
              </w:rPr>
              <w:t>, Référente Accessibilité Numérique et Product Owner chez</w:t>
            </w:r>
            <w:r w:rsidRPr="00EF07F7">
              <w:rPr>
                <w:b/>
                <w:bCs/>
                <w:lang w:eastAsia="fr-FR"/>
              </w:rPr>
              <w:t xml:space="preserve"> CACD2</w:t>
            </w:r>
          </w:p>
        </w:tc>
      </w:tr>
    </w:tbl>
    <w:p w14:paraId="7FEC12C8" w14:textId="77777777" w:rsidR="00C70D0D" w:rsidRPr="00C70D0D" w:rsidRDefault="00C70D0D" w:rsidP="00C70D0D">
      <w:pPr>
        <w:rPr>
          <w:rFonts w:eastAsia="Times New Roman"/>
        </w:rPr>
      </w:pPr>
    </w:p>
    <w:p w14:paraId="33F09CDC" w14:textId="556089BC" w:rsidR="006E1221" w:rsidRPr="000234FC" w:rsidRDefault="006E1221" w:rsidP="006E1221">
      <w:pPr>
        <w:pStyle w:val="Titre3"/>
        <w:rPr>
          <w:lang w:val="fr-FR"/>
        </w:rPr>
      </w:pPr>
      <w:bookmarkStart w:id="69" w:name="_Toc230077026"/>
      <w:r w:rsidRPr="000234FC">
        <w:rPr>
          <w:lang w:val="fr-FR"/>
        </w:rPr>
        <w:t>Focus sur le design system accessible</w:t>
      </w:r>
      <w:bookmarkEnd w:id="69"/>
    </w:p>
    <w:p w14:paraId="5B5D7E88" w14:textId="4D6DB5E4" w:rsidR="006E1221" w:rsidRDefault="00BF3E4B" w:rsidP="006E1221">
      <w:pPr>
        <w:rPr>
          <w:rFonts w:eastAsia="Times New Roman"/>
        </w:rPr>
      </w:pPr>
      <w:r>
        <w:rPr>
          <w:rFonts w:eastAsia="Times New Roman"/>
        </w:rPr>
        <w:t>La majorité des</w:t>
      </w:r>
      <w:r w:rsidR="006E1221" w:rsidRPr="006E1221">
        <w:rPr>
          <w:rFonts w:eastAsia="Times New Roman"/>
        </w:rPr>
        <w:t xml:space="preserve"> organisations </w:t>
      </w:r>
      <w:r w:rsidR="000302F6">
        <w:rPr>
          <w:rFonts w:eastAsia="Times New Roman"/>
        </w:rPr>
        <w:t>du groupe de travail cherchent à élaborer</w:t>
      </w:r>
      <w:r w:rsidR="006E1221" w:rsidRPr="006E1221">
        <w:rPr>
          <w:rFonts w:eastAsia="Times New Roman"/>
        </w:rPr>
        <w:t xml:space="preserve"> un cadre de </w:t>
      </w:r>
      <w:r w:rsidR="006E1221" w:rsidRPr="000234FC">
        <w:rPr>
          <w:rFonts w:eastAsia="Times New Roman"/>
          <w:i/>
          <w:iCs/>
        </w:rPr>
        <w:t>design system</w:t>
      </w:r>
      <w:r w:rsidR="006E1221" w:rsidRPr="006E1221">
        <w:rPr>
          <w:rFonts w:eastAsia="Times New Roman"/>
        </w:rPr>
        <w:t xml:space="preserve"> accessible. Un </w:t>
      </w:r>
      <w:r w:rsidR="006E1221" w:rsidRPr="00110AD0">
        <w:rPr>
          <w:rFonts w:eastAsia="Times New Roman"/>
          <w:i/>
          <w:iCs/>
        </w:rPr>
        <w:t>design system</w:t>
      </w:r>
      <w:r w:rsidR="006E1221" w:rsidRPr="006E1221">
        <w:rPr>
          <w:rFonts w:eastAsia="Times New Roman"/>
        </w:rPr>
        <w:t xml:space="preserve"> est un portail ou une plateforme qui rassemble un ensemble de ressources (librairies de composants, codes, documentations)</w:t>
      </w:r>
      <w:r w:rsidR="00740013">
        <w:rPr>
          <w:rFonts w:eastAsia="Times New Roman"/>
        </w:rPr>
        <w:t xml:space="preserve"> et de</w:t>
      </w:r>
      <w:r w:rsidR="00AC31F3">
        <w:rPr>
          <w:rFonts w:eastAsia="Times New Roman"/>
        </w:rPr>
        <w:t>s</w:t>
      </w:r>
      <w:r w:rsidR="00740013">
        <w:rPr>
          <w:rFonts w:eastAsia="Times New Roman"/>
        </w:rPr>
        <w:t xml:space="preserve"> règles </w:t>
      </w:r>
      <w:r w:rsidR="006E1221" w:rsidRPr="006E1221">
        <w:rPr>
          <w:rFonts w:eastAsia="Times New Roman"/>
        </w:rPr>
        <w:t xml:space="preserve">permettant d’harmoniser les </w:t>
      </w:r>
      <w:r w:rsidR="00740013">
        <w:rPr>
          <w:rFonts w:eastAsia="Times New Roman"/>
        </w:rPr>
        <w:t xml:space="preserve">interfaces. De plus en plus de </w:t>
      </w:r>
      <w:r w:rsidR="00740013" w:rsidRPr="00740013">
        <w:rPr>
          <w:rFonts w:eastAsia="Times New Roman"/>
          <w:i/>
          <w:iCs/>
        </w:rPr>
        <w:t xml:space="preserve">design </w:t>
      </w:r>
      <w:proofErr w:type="spellStart"/>
      <w:r w:rsidR="00740013" w:rsidRPr="00740013">
        <w:rPr>
          <w:rFonts w:eastAsia="Times New Roman"/>
          <w:i/>
          <w:iCs/>
        </w:rPr>
        <w:t>system</w:t>
      </w:r>
      <w:r w:rsidR="00AC31F3">
        <w:rPr>
          <w:rFonts w:eastAsia="Times New Roman"/>
          <w:i/>
          <w:iCs/>
        </w:rPr>
        <w:t>s</w:t>
      </w:r>
      <w:proofErr w:type="spellEnd"/>
      <w:r w:rsidR="00740013" w:rsidRPr="00740013">
        <w:rPr>
          <w:rFonts w:eastAsia="Times New Roman"/>
          <w:i/>
          <w:iCs/>
        </w:rPr>
        <w:t xml:space="preserve"> </w:t>
      </w:r>
      <w:r w:rsidR="00740013">
        <w:rPr>
          <w:rFonts w:eastAsia="Times New Roman"/>
        </w:rPr>
        <w:t>intègrent les critères</w:t>
      </w:r>
      <w:r w:rsidR="006E1221" w:rsidRPr="006E1221">
        <w:rPr>
          <w:rFonts w:eastAsia="Times New Roman"/>
        </w:rPr>
        <w:t xml:space="preserve"> d’</w:t>
      </w:r>
      <w:r w:rsidR="00740013">
        <w:rPr>
          <w:rFonts w:eastAsia="Times New Roman"/>
        </w:rPr>
        <w:t xml:space="preserve">accessibilité numérique afin de faciliter et d’homogénéiser leurs déclinaisons auprès </w:t>
      </w:r>
      <w:r w:rsidR="006E1221" w:rsidRPr="006E1221">
        <w:rPr>
          <w:rFonts w:eastAsia="Times New Roman"/>
        </w:rPr>
        <w:t>des designers et développeurs. Il</w:t>
      </w:r>
      <w:r w:rsidR="00740013">
        <w:rPr>
          <w:rFonts w:eastAsia="Times New Roman"/>
        </w:rPr>
        <w:t>s</w:t>
      </w:r>
      <w:r w:rsidR="006E1221" w:rsidRPr="006E1221">
        <w:rPr>
          <w:rFonts w:eastAsia="Times New Roman"/>
        </w:rPr>
        <w:t xml:space="preserve"> in</w:t>
      </w:r>
      <w:r w:rsidR="00740013">
        <w:rPr>
          <w:rFonts w:eastAsia="Times New Roman"/>
        </w:rPr>
        <w:t>c</w:t>
      </w:r>
      <w:r w:rsidR="001E440D">
        <w:rPr>
          <w:rFonts w:eastAsia="Times New Roman"/>
        </w:rPr>
        <w:t>l</w:t>
      </w:r>
      <w:r w:rsidR="00740013">
        <w:rPr>
          <w:rFonts w:eastAsia="Times New Roman"/>
        </w:rPr>
        <w:t>uent</w:t>
      </w:r>
      <w:r w:rsidR="006E1221" w:rsidRPr="006E1221">
        <w:rPr>
          <w:rFonts w:eastAsia="Times New Roman"/>
        </w:rPr>
        <w:t xml:space="preserve"> en règle générale :</w:t>
      </w:r>
    </w:p>
    <w:p w14:paraId="23391753" w14:textId="4D1F4CAB" w:rsidR="006E1221" w:rsidRPr="006E1221" w:rsidRDefault="006E1221">
      <w:pPr>
        <w:pStyle w:val="Paragraphedeliste"/>
        <w:numPr>
          <w:ilvl w:val="0"/>
          <w:numId w:val="30"/>
        </w:numPr>
        <w:rPr>
          <w:rFonts w:eastAsia="Times New Roman"/>
        </w:rPr>
      </w:pPr>
      <w:r w:rsidRPr="006E1221">
        <w:rPr>
          <w:rFonts w:eastAsia="Times New Roman"/>
        </w:rPr>
        <w:t>Les informations essentielles sur l’</w:t>
      </w:r>
      <w:r w:rsidR="00740013" w:rsidRPr="00740013">
        <w:rPr>
          <w:rFonts w:eastAsia="Times New Roman"/>
        </w:rPr>
        <w:t>accessibilité numérique</w:t>
      </w:r>
      <w:r w:rsidR="00740013">
        <w:rPr>
          <w:rFonts w:eastAsia="Times New Roman"/>
        </w:rPr>
        <w:t xml:space="preserve"> </w:t>
      </w:r>
      <w:r w:rsidRPr="006E1221">
        <w:rPr>
          <w:rFonts w:eastAsia="Times New Roman"/>
        </w:rPr>
        <w:t xml:space="preserve">ainsi que tous les supports et contenus qui sont concernés (interface </w:t>
      </w:r>
      <w:proofErr w:type="spellStart"/>
      <w:r w:rsidRPr="006E1221">
        <w:rPr>
          <w:rFonts w:eastAsia="Times New Roman"/>
        </w:rPr>
        <w:t>webs</w:t>
      </w:r>
      <w:proofErr w:type="spellEnd"/>
      <w:r w:rsidRPr="006E1221">
        <w:rPr>
          <w:rFonts w:eastAsia="Times New Roman"/>
        </w:rPr>
        <w:t>, mobiles et conversationnels, vidéos, etc.) ;</w:t>
      </w:r>
    </w:p>
    <w:p w14:paraId="60407EA0" w14:textId="77777777" w:rsidR="006E1221" w:rsidRPr="006E1221" w:rsidRDefault="006E1221">
      <w:pPr>
        <w:pStyle w:val="Paragraphedeliste"/>
        <w:numPr>
          <w:ilvl w:val="0"/>
          <w:numId w:val="30"/>
        </w:numPr>
        <w:rPr>
          <w:rFonts w:eastAsia="Times New Roman"/>
        </w:rPr>
      </w:pPr>
      <w:r w:rsidRPr="006E1221">
        <w:rPr>
          <w:rFonts w:eastAsia="Times New Roman"/>
        </w:rPr>
        <w:t xml:space="preserve">Des </w:t>
      </w:r>
      <w:proofErr w:type="spellStart"/>
      <w:r w:rsidRPr="006E1221">
        <w:rPr>
          <w:rFonts w:eastAsia="Times New Roman"/>
          <w:i/>
          <w:iCs/>
        </w:rPr>
        <w:t>frameworks</w:t>
      </w:r>
      <w:proofErr w:type="spellEnd"/>
      <w:r w:rsidRPr="006E1221">
        <w:rPr>
          <w:rFonts w:eastAsia="Times New Roman"/>
        </w:rPr>
        <w:t xml:space="preserve"> techniques et des </w:t>
      </w:r>
      <w:r w:rsidRPr="000234FC">
        <w:rPr>
          <w:rFonts w:eastAsia="Times New Roman"/>
          <w:i/>
          <w:iCs/>
        </w:rPr>
        <w:t>guidelines</w:t>
      </w:r>
      <w:r w:rsidRPr="006E1221">
        <w:rPr>
          <w:rFonts w:eastAsia="Times New Roman"/>
        </w:rPr>
        <w:t xml:space="preserve"> spécifiques concernant le choix des couleurs, des typographies, de l’iconographie, etc. ;</w:t>
      </w:r>
    </w:p>
    <w:p w14:paraId="2546B829" w14:textId="578FB6A1" w:rsidR="006E1221" w:rsidRPr="006E1221" w:rsidRDefault="006E1221">
      <w:pPr>
        <w:pStyle w:val="Paragraphedeliste"/>
        <w:numPr>
          <w:ilvl w:val="0"/>
          <w:numId w:val="30"/>
        </w:numPr>
        <w:rPr>
          <w:rFonts w:eastAsia="Times New Roman"/>
        </w:rPr>
      </w:pPr>
      <w:r w:rsidRPr="006E1221">
        <w:rPr>
          <w:rFonts w:eastAsia="Times New Roman"/>
        </w:rPr>
        <w:t>Une rubrique sur l'éco</w:t>
      </w:r>
      <w:r w:rsidR="000234FC">
        <w:rPr>
          <w:rFonts w:eastAsia="Times New Roman"/>
        </w:rPr>
        <w:t xml:space="preserve">conception </w:t>
      </w:r>
      <w:r w:rsidRPr="006E1221">
        <w:rPr>
          <w:rFonts w:eastAsia="Times New Roman"/>
        </w:rPr>
        <w:t>;</w:t>
      </w:r>
    </w:p>
    <w:p w14:paraId="7FF780A1" w14:textId="2513D649" w:rsidR="006E1221" w:rsidRDefault="006E1221">
      <w:pPr>
        <w:pStyle w:val="Paragraphedeliste"/>
        <w:numPr>
          <w:ilvl w:val="0"/>
          <w:numId w:val="30"/>
        </w:numPr>
        <w:rPr>
          <w:rFonts w:eastAsia="Times New Roman"/>
        </w:rPr>
      </w:pPr>
      <w:r w:rsidRPr="006E1221">
        <w:rPr>
          <w:rFonts w:eastAsia="Times New Roman"/>
        </w:rPr>
        <w:t>Des exemples de pages ou d’applications accessibles.</w:t>
      </w:r>
    </w:p>
    <w:p w14:paraId="218B6553" w14:textId="32169089" w:rsidR="006E1221" w:rsidRPr="006E1221" w:rsidRDefault="006E1221" w:rsidP="007C3AC5">
      <w:pPr>
        <w:rPr>
          <w:rFonts w:eastAsia="Times New Roman"/>
        </w:rPr>
      </w:pPr>
      <w:r w:rsidRPr="006E1221">
        <w:rPr>
          <w:rFonts w:eastAsia="Times New Roman"/>
        </w:rPr>
        <w:lastRenderedPageBreak/>
        <w:t xml:space="preserve">Certains </w:t>
      </w:r>
      <w:r w:rsidRPr="006E1221">
        <w:rPr>
          <w:rFonts w:eastAsia="Times New Roman"/>
          <w:i/>
          <w:iCs/>
        </w:rPr>
        <w:t xml:space="preserve">design </w:t>
      </w:r>
      <w:proofErr w:type="spellStart"/>
      <w:r w:rsidRPr="006E1221">
        <w:rPr>
          <w:rFonts w:eastAsia="Times New Roman"/>
          <w:i/>
          <w:iCs/>
        </w:rPr>
        <w:t>system</w:t>
      </w:r>
      <w:r w:rsidR="000937C7">
        <w:rPr>
          <w:rFonts w:eastAsia="Times New Roman"/>
          <w:i/>
          <w:iCs/>
        </w:rPr>
        <w:t>s</w:t>
      </w:r>
      <w:proofErr w:type="spellEnd"/>
      <w:r w:rsidRPr="006E1221">
        <w:rPr>
          <w:rFonts w:eastAsia="Times New Roman"/>
        </w:rPr>
        <w:t xml:space="preserve"> intègrent également un mode inspection ou une checklist permettant d’évaluer la conformité des services ou produits développés. </w:t>
      </w:r>
    </w:p>
    <w:p w14:paraId="7BBAD4B3" w14:textId="60A9457E" w:rsidR="006E1221" w:rsidRPr="006E1221" w:rsidRDefault="006E1221" w:rsidP="007C3AC5">
      <w:pPr>
        <w:rPr>
          <w:rFonts w:eastAsia="Times New Roman"/>
        </w:rPr>
      </w:pPr>
      <w:r w:rsidRPr="006E1221">
        <w:rPr>
          <w:rFonts w:eastAsia="Times New Roman"/>
        </w:rPr>
        <w:t xml:space="preserve">Pour certaines organisations, le </w:t>
      </w:r>
      <w:r w:rsidRPr="006E1221">
        <w:rPr>
          <w:rFonts w:eastAsia="Times New Roman"/>
          <w:i/>
          <w:iCs/>
        </w:rPr>
        <w:t>design system</w:t>
      </w:r>
      <w:r w:rsidRPr="006E1221">
        <w:rPr>
          <w:rFonts w:eastAsia="Times New Roman"/>
        </w:rPr>
        <w:t xml:space="preserve"> a permis d’emporter une forte adhésion des équipes autour de l’</w:t>
      </w:r>
      <w:r w:rsidR="000234FC">
        <w:rPr>
          <w:rFonts w:eastAsia="Times New Roman"/>
        </w:rPr>
        <w:t>accessibilité numérique</w:t>
      </w:r>
      <w:r w:rsidRPr="006E1221">
        <w:rPr>
          <w:rFonts w:eastAsia="Times New Roman"/>
        </w:rPr>
        <w:t xml:space="preserve">, surtout </w:t>
      </w:r>
      <w:r w:rsidR="00AC31F3">
        <w:rPr>
          <w:rFonts w:eastAsia="Times New Roman"/>
        </w:rPr>
        <w:t>lorsqu’il</w:t>
      </w:r>
      <w:r w:rsidRPr="006E1221">
        <w:rPr>
          <w:rFonts w:eastAsia="Times New Roman"/>
        </w:rPr>
        <w:t xml:space="preserve"> est lui-même bien conçu</w:t>
      </w:r>
      <w:r w:rsidR="00740013">
        <w:rPr>
          <w:rFonts w:eastAsia="Times New Roman"/>
        </w:rPr>
        <w:t>.</w:t>
      </w:r>
    </w:p>
    <w:p w14:paraId="3B3F5962" w14:textId="58DBEDBB" w:rsidR="006E1221" w:rsidRDefault="006E1221" w:rsidP="006E1221">
      <w:pPr>
        <w:rPr>
          <w:rFonts w:eastAsia="Times New Roman"/>
        </w:rPr>
      </w:pPr>
      <w:r w:rsidRPr="006E1221">
        <w:rPr>
          <w:rFonts w:eastAsia="Times New Roman"/>
        </w:rPr>
        <w:t xml:space="preserve">Le </w:t>
      </w:r>
      <w:r w:rsidRPr="006E1221">
        <w:rPr>
          <w:rFonts w:eastAsia="Times New Roman"/>
          <w:i/>
          <w:iCs/>
        </w:rPr>
        <w:t>design system</w:t>
      </w:r>
      <w:r w:rsidRPr="006E1221">
        <w:rPr>
          <w:rFonts w:eastAsia="Times New Roman"/>
        </w:rPr>
        <w:t xml:space="preserve"> se positionne ainsi comme un levier technique et méthodologique essentiel qui structure la production et mutualise l'effort. Il centralise les échanges entre designers et développeurs</w:t>
      </w:r>
      <w:r w:rsidR="00517094">
        <w:rPr>
          <w:rFonts w:eastAsia="Times New Roman"/>
        </w:rPr>
        <w:t>,</w:t>
      </w:r>
      <w:r w:rsidRPr="006E1221">
        <w:rPr>
          <w:rFonts w:eastAsia="Times New Roman"/>
        </w:rPr>
        <w:t xml:space="preserve"> </w:t>
      </w:r>
      <w:r w:rsidR="00517094">
        <w:rPr>
          <w:rFonts w:eastAsia="Times New Roman"/>
        </w:rPr>
        <w:t xml:space="preserve">leur </w:t>
      </w:r>
      <w:r w:rsidRPr="006E1221">
        <w:rPr>
          <w:rFonts w:eastAsia="Times New Roman"/>
        </w:rPr>
        <w:t xml:space="preserve">permettant </w:t>
      </w:r>
      <w:r w:rsidR="00517094" w:rsidRPr="006E1221">
        <w:rPr>
          <w:rFonts w:eastAsia="Times New Roman"/>
        </w:rPr>
        <w:t xml:space="preserve">de collaborer plus efficacement </w:t>
      </w:r>
      <w:r w:rsidR="00517094">
        <w:rPr>
          <w:rFonts w:eastAsia="Times New Roman"/>
        </w:rPr>
        <w:t xml:space="preserve">et </w:t>
      </w:r>
      <w:r w:rsidRPr="006E1221">
        <w:rPr>
          <w:rFonts w:eastAsia="Times New Roman"/>
        </w:rPr>
        <w:t>d’éviter toute perte d’informations.</w:t>
      </w:r>
    </w:p>
    <w:tbl>
      <w:tblPr>
        <w:tblW w:w="5000" w:type="pct"/>
        <w:jc w:val="center"/>
        <w:tblBorders>
          <w:top w:val="nil"/>
          <w:left w:val="single" w:sz="48" w:space="0" w:color="0F516C"/>
          <w:bottom w:val="nil"/>
          <w:right w:val="nil"/>
          <w:insideH w:val="nil"/>
          <w:insideV w:val="nil"/>
        </w:tblBorders>
        <w:tblLayout w:type="fixed"/>
        <w:tblCellMar>
          <w:top w:w="284" w:type="dxa"/>
          <w:left w:w="284" w:type="dxa"/>
          <w:bottom w:w="284" w:type="dxa"/>
          <w:right w:w="284" w:type="dxa"/>
        </w:tblCellMar>
        <w:tblLook w:val="0420" w:firstRow="1" w:lastRow="0" w:firstColumn="0" w:lastColumn="0" w:noHBand="0" w:noVBand="1"/>
      </w:tblPr>
      <w:tblGrid>
        <w:gridCol w:w="9047"/>
      </w:tblGrid>
      <w:tr w:rsidR="006E1221" w:rsidRPr="00C43137" w14:paraId="27A144CA" w14:textId="77777777" w:rsidTr="00183343">
        <w:trPr>
          <w:jc w:val="center"/>
        </w:trPr>
        <w:tc>
          <w:tcPr>
            <w:tcW w:w="9047" w:type="dxa"/>
            <w:tcBorders>
              <w:left w:val="single" w:sz="18" w:space="0" w:color="155E48"/>
            </w:tcBorders>
            <w:shd w:val="clear" w:color="auto" w:fill="F2F2F2" w:themeFill="background1" w:themeFillShade="F2"/>
          </w:tcPr>
          <w:p w14:paraId="1AF0FE83" w14:textId="508D6CAD" w:rsidR="006E1221" w:rsidRPr="00D62C23" w:rsidRDefault="006E1221" w:rsidP="00875CEE">
            <w:pPr>
              <w:pStyle w:val="TitreEncart"/>
              <w:ind w:left="708" w:hanging="424"/>
            </w:pPr>
            <w:bookmarkStart w:id="70" w:name="_Toc230257739"/>
            <w:r w:rsidRPr="00D62C23">
              <w:rPr>
                <w:bCs/>
              </w:rPr>
              <w:lastRenderedPageBreak/>
              <w:t xml:space="preserve">REX </w:t>
            </w:r>
            <w:proofErr w:type="spellStart"/>
            <w:r>
              <w:rPr>
                <w:bCs/>
              </w:rPr>
              <w:t>iMSA</w:t>
            </w:r>
            <w:bookmarkEnd w:id="70"/>
            <w:proofErr w:type="spellEnd"/>
          </w:p>
          <w:p w14:paraId="2A60AF5F" w14:textId="4983BBBB" w:rsidR="006E1221" w:rsidRPr="00D62C23" w:rsidRDefault="006E1221" w:rsidP="00F25788">
            <w:pPr>
              <w:pStyle w:val="TitreencartREX"/>
            </w:pPr>
            <w:r w:rsidRPr="006E1221">
              <w:t xml:space="preserve">Le passage à l’échelle de l’Accessibilité Numérique par la gouvernance, le </w:t>
            </w:r>
            <w:r w:rsidRPr="000937C7">
              <w:rPr>
                <w:i/>
                <w:iCs/>
              </w:rPr>
              <w:t>Design System</w:t>
            </w:r>
            <w:r w:rsidRPr="006E1221">
              <w:t xml:space="preserve"> et la formation</w:t>
            </w:r>
            <w:r>
              <w:t xml:space="preserve"> </w:t>
            </w:r>
          </w:p>
          <w:p w14:paraId="085EFC52" w14:textId="3F5C9AE4" w:rsidR="00EF07F7" w:rsidRPr="00EF07F7" w:rsidRDefault="00F755EB" w:rsidP="009D1CBC">
            <w:pPr>
              <w:rPr>
                <w:lang w:eastAsia="fr-FR"/>
              </w:rPr>
            </w:pPr>
            <w:r>
              <w:rPr>
                <w:lang w:eastAsia="fr-FR"/>
              </w:rPr>
              <w:t xml:space="preserve">« </w:t>
            </w:r>
            <w:r w:rsidR="002D2C27">
              <w:rPr>
                <w:lang w:eastAsia="fr-FR"/>
              </w:rPr>
              <w:t>P</w:t>
            </w:r>
            <w:r w:rsidR="00EF07F7" w:rsidRPr="00EF07F7">
              <w:rPr>
                <w:lang w:eastAsia="fr-FR"/>
              </w:rPr>
              <w:t xml:space="preserve">our </w:t>
            </w:r>
            <w:proofErr w:type="spellStart"/>
            <w:r w:rsidR="00EF07F7" w:rsidRPr="00EF07F7">
              <w:rPr>
                <w:lang w:eastAsia="fr-FR"/>
              </w:rPr>
              <w:t>iMSA</w:t>
            </w:r>
            <w:proofErr w:type="spellEnd"/>
            <w:r w:rsidR="00517094">
              <w:rPr>
                <w:lang w:eastAsia="fr-FR"/>
              </w:rPr>
              <w:t>,</w:t>
            </w:r>
            <w:r w:rsidR="00EF07F7" w:rsidRPr="00EF07F7">
              <w:rPr>
                <w:lang w:eastAsia="fr-FR"/>
              </w:rPr>
              <w:t xml:space="preserve"> groupement d'intérêt économique (GIE) de la MSA (2ème organisation de protection sociale en France) qui gère 400 produits numériques pour 5 millions de bénéficiaires et 16 000 agents, l’accessibilité n’est pas seulement une contrainte légale mais un enjeu sociétal dû à l’exigence du service public. Le sujet est adressé depuis plusieurs années (Label </w:t>
            </w:r>
            <w:proofErr w:type="spellStart"/>
            <w:r w:rsidR="00EF07F7" w:rsidRPr="00EF07F7">
              <w:rPr>
                <w:lang w:eastAsia="fr-FR"/>
              </w:rPr>
              <w:t>Accessiweb</w:t>
            </w:r>
            <w:proofErr w:type="spellEnd"/>
            <w:r w:rsidR="00EF07F7" w:rsidRPr="00EF07F7">
              <w:rPr>
                <w:lang w:eastAsia="fr-FR"/>
              </w:rPr>
              <w:t xml:space="preserve"> pour msa.fr en 2008) mais </w:t>
            </w:r>
            <w:r w:rsidR="00517094">
              <w:rPr>
                <w:lang w:eastAsia="fr-FR"/>
              </w:rPr>
              <w:t xml:space="preserve">il </w:t>
            </w:r>
            <w:r w:rsidR="00EF07F7" w:rsidRPr="00EF07F7">
              <w:rPr>
                <w:lang w:eastAsia="fr-FR"/>
              </w:rPr>
              <w:t>a connu une accélération récente avec la création du Studio UX/UI interne qui est moteur sur les sujets de qualité comme l’expérience utilisateur, l’écoconception et aussi l’accessibilité. </w:t>
            </w:r>
          </w:p>
          <w:p w14:paraId="3F0297A7" w14:textId="68BAB852" w:rsidR="00EF07F7" w:rsidRPr="00EF07F7" w:rsidRDefault="00EF07F7">
            <w:pPr>
              <w:pStyle w:val="Paragraphedeliste"/>
              <w:numPr>
                <w:ilvl w:val="0"/>
                <w:numId w:val="75"/>
              </w:numPr>
              <w:rPr>
                <w:lang w:eastAsia="fr-FR"/>
              </w:rPr>
            </w:pPr>
            <w:r w:rsidRPr="00EF07F7">
              <w:rPr>
                <w:lang w:eastAsia="fr-FR"/>
              </w:rPr>
              <w:t>La démarche est désormais nativement intégrée à notre gouvernance avec :</w:t>
            </w:r>
          </w:p>
          <w:p w14:paraId="67163086" w14:textId="77777777" w:rsidR="000937C7" w:rsidRDefault="00EF07F7">
            <w:pPr>
              <w:numPr>
                <w:ilvl w:val="0"/>
                <w:numId w:val="31"/>
              </w:numPr>
              <w:rPr>
                <w:lang w:eastAsia="fr-FR"/>
              </w:rPr>
            </w:pPr>
            <w:r w:rsidRPr="00EF07F7">
              <w:rPr>
                <w:b/>
                <w:bCs/>
                <w:lang w:eastAsia="fr-FR"/>
              </w:rPr>
              <w:t>Une intégration au </w:t>
            </w:r>
            <w:r w:rsidRPr="00EF07F7">
              <w:rPr>
                <w:b/>
                <w:bCs/>
                <w:i/>
                <w:iCs/>
                <w:lang w:eastAsia="fr-FR"/>
              </w:rPr>
              <w:t>Lean Portfolio Management</w:t>
            </w:r>
            <w:r w:rsidRPr="00EF07F7">
              <w:rPr>
                <w:b/>
                <w:bCs/>
                <w:lang w:eastAsia="fr-FR"/>
              </w:rPr>
              <w:t> </w:t>
            </w:r>
            <w:r w:rsidRPr="000302F6">
              <w:rPr>
                <w:lang w:eastAsia="fr-FR"/>
              </w:rPr>
              <w:t>:</w:t>
            </w:r>
            <w:r w:rsidRPr="00EF07F7">
              <w:rPr>
                <w:lang w:eastAsia="fr-FR"/>
              </w:rPr>
              <w:t> </w:t>
            </w:r>
            <w:r w:rsidR="00A17A21">
              <w:rPr>
                <w:lang w:eastAsia="fr-FR"/>
              </w:rPr>
              <w:t>l</w:t>
            </w:r>
            <w:r w:rsidRPr="00EF07F7">
              <w:rPr>
                <w:lang w:eastAsia="fr-FR"/>
              </w:rPr>
              <w:t>'accessibilité est intégrée comme une ligne budgétaire à part entière et validée par les métiers lors des votes de budgets.</w:t>
            </w:r>
          </w:p>
          <w:p w14:paraId="6180AE8B" w14:textId="4ABBEAA6" w:rsidR="00EF07F7" w:rsidRDefault="000937C7">
            <w:pPr>
              <w:pStyle w:val="Paragraphedeliste"/>
              <w:numPr>
                <w:ilvl w:val="0"/>
                <w:numId w:val="31"/>
              </w:numPr>
              <w:rPr>
                <w:lang w:eastAsia="fr-FR"/>
              </w:rPr>
            </w:pPr>
            <w:r w:rsidRPr="000937C7">
              <w:rPr>
                <w:b/>
                <w:bCs/>
                <w:lang w:eastAsia="fr-FR"/>
              </w:rPr>
              <w:t>Un partenariat institutionnel (DINUM)</w:t>
            </w:r>
            <w:r w:rsidRPr="000937C7">
              <w:rPr>
                <w:lang w:eastAsia="fr-FR"/>
              </w:rPr>
              <w:t xml:space="preserve"> : la DINUM accompagne </w:t>
            </w:r>
            <w:proofErr w:type="spellStart"/>
            <w:r w:rsidRPr="000937C7">
              <w:rPr>
                <w:lang w:eastAsia="fr-FR"/>
              </w:rPr>
              <w:t>iMSA</w:t>
            </w:r>
            <w:proofErr w:type="spellEnd"/>
            <w:r w:rsidR="00517094">
              <w:rPr>
                <w:lang w:eastAsia="fr-FR"/>
              </w:rPr>
              <w:t>,</w:t>
            </w:r>
            <w:r w:rsidRPr="000937C7">
              <w:rPr>
                <w:lang w:eastAsia="fr-FR"/>
              </w:rPr>
              <w:t xml:space="preserve"> d’une part à travers son guichet de financement pour refondre ses services en ligne en améliorant l’accessibilité et l’expérience utilisateur, et d’autre part, par l’intermédiaire de la Brigade d’Intervention du Numérique (BIN) qui propose des formations de sensibilisation à l’accessibilité numérique.</w:t>
            </w:r>
            <w:r w:rsidR="00EF07F7" w:rsidRPr="00EF07F7">
              <w:rPr>
                <w:lang w:eastAsia="fr-FR"/>
              </w:rPr>
              <w:t> </w:t>
            </w:r>
          </w:p>
          <w:p w14:paraId="13E7CE46" w14:textId="0D83B374" w:rsidR="000937C7" w:rsidRPr="00EF07F7" w:rsidRDefault="000937C7" w:rsidP="009D1CBC">
            <w:pPr>
              <w:pStyle w:val="Paragraphedeliste"/>
              <w:numPr>
                <w:ilvl w:val="0"/>
                <w:numId w:val="31"/>
              </w:numPr>
              <w:spacing w:before="240"/>
              <w:rPr>
                <w:lang w:eastAsia="fr-FR"/>
              </w:rPr>
            </w:pPr>
            <w:r w:rsidRPr="000937C7">
              <w:rPr>
                <w:b/>
                <w:bCs/>
                <w:lang w:eastAsia="fr-FR"/>
              </w:rPr>
              <w:t xml:space="preserve">Un pilotage en binôme </w:t>
            </w:r>
            <w:r w:rsidRPr="000302F6">
              <w:rPr>
                <w:lang w:eastAsia="fr-FR"/>
              </w:rPr>
              <w:t>:</w:t>
            </w:r>
            <w:r w:rsidRPr="000937C7">
              <w:rPr>
                <w:lang w:eastAsia="fr-FR"/>
              </w:rPr>
              <w:t xml:space="preserve"> la démarche est portée, avec Julie Parra (Chef de projet à la MSA), pour assurer la définition de la stratégie, la conformité réglementaire et les formations. </w:t>
            </w:r>
          </w:p>
          <w:p w14:paraId="39C24210" w14:textId="3813ECE8" w:rsidR="00EF07F7" w:rsidRPr="00EF07F7" w:rsidRDefault="00EF07F7">
            <w:pPr>
              <w:pStyle w:val="Paragraphedeliste"/>
              <w:numPr>
                <w:ilvl w:val="0"/>
                <w:numId w:val="74"/>
              </w:numPr>
              <w:spacing w:before="240"/>
              <w:rPr>
                <w:lang w:eastAsia="fr-FR"/>
              </w:rPr>
            </w:pPr>
            <w:r w:rsidRPr="00EF07F7">
              <w:rPr>
                <w:lang w:eastAsia="fr-FR"/>
              </w:rPr>
              <w:t>Le passage à l'échelle sur un patrimoine applicatif aussi vaste que celui d’</w:t>
            </w:r>
            <w:proofErr w:type="spellStart"/>
            <w:r w:rsidRPr="00EF07F7">
              <w:rPr>
                <w:lang w:eastAsia="fr-FR"/>
              </w:rPr>
              <w:t>iMSA</w:t>
            </w:r>
            <w:proofErr w:type="spellEnd"/>
            <w:r w:rsidRPr="00EF07F7">
              <w:rPr>
                <w:lang w:eastAsia="fr-FR"/>
              </w:rPr>
              <w:t xml:space="preserve"> repose sur une standardisation rigoureuse, notamment pour la mise à jour du parc applicatif, et </w:t>
            </w:r>
            <w:r w:rsidR="00517094">
              <w:rPr>
                <w:lang w:eastAsia="fr-FR"/>
              </w:rPr>
              <w:t xml:space="preserve">sur </w:t>
            </w:r>
            <w:r w:rsidRPr="00EF07F7">
              <w:rPr>
                <w:lang w:eastAsia="fr-FR"/>
              </w:rPr>
              <w:t>une mise en conformité progressive à partir : </w:t>
            </w:r>
          </w:p>
          <w:p w14:paraId="6C6D26FE" w14:textId="56AB4A2C" w:rsidR="00EF07F7" w:rsidRPr="00EF07F7" w:rsidRDefault="00EF07F7">
            <w:pPr>
              <w:numPr>
                <w:ilvl w:val="0"/>
                <w:numId w:val="32"/>
              </w:numPr>
              <w:rPr>
                <w:lang w:eastAsia="fr-FR"/>
              </w:rPr>
            </w:pPr>
            <w:r w:rsidRPr="00EF07F7">
              <w:rPr>
                <w:b/>
                <w:bCs/>
                <w:lang w:eastAsia="fr-FR"/>
              </w:rPr>
              <w:t xml:space="preserve">De deux </w:t>
            </w:r>
            <w:r w:rsidRPr="00A17A21">
              <w:rPr>
                <w:b/>
                <w:bCs/>
                <w:i/>
                <w:iCs/>
                <w:lang w:eastAsia="fr-FR"/>
              </w:rPr>
              <w:t xml:space="preserve">Design </w:t>
            </w:r>
            <w:proofErr w:type="spellStart"/>
            <w:r w:rsidRPr="00A17A21">
              <w:rPr>
                <w:b/>
                <w:bCs/>
                <w:i/>
                <w:iCs/>
                <w:lang w:eastAsia="fr-FR"/>
              </w:rPr>
              <w:t>System</w:t>
            </w:r>
            <w:r w:rsidR="00517094">
              <w:rPr>
                <w:b/>
                <w:bCs/>
                <w:i/>
                <w:iCs/>
                <w:lang w:eastAsia="fr-FR"/>
              </w:rPr>
              <w:t>s</w:t>
            </w:r>
            <w:proofErr w:type="spellEnd"/>
            <w:r w:rsidRPr="00EF07F7">
              <w:rPr>
                <w:b/>
                <w:bCs/>
                <w:lang w:eastAsia="fr-FR"/>
              </w:rPr>
              <w:t xml:space="preserve"> comme socle de référence et de cohérence</w:t>
            </w:r>
          </w:p>
          <w:p w14:paraId="327DCD8B" w14:textId="3C97F4C1" w:rsidR="00EF07F7" w:rsidRPr="00EF07F7" w:rsidRDefault="00EF07F7">
            <w:pPr>
              <w:numPr>
                <w:ilvl w:val="0"/>
                <w:numId w:val="33"/>
              </w:numPr>
              <w:ind w:left="1068"/>
              <w:rPr>
                <w:lang w:eastAsia="fr-FR"/>
              </w:rPr>
            </w:pPr>
            <w:r w:rsidRPr="00EF07F7">
              <w:rPr>
                <w:b/>
                <w:bCs/>
                <w:lang w:eastAsia="fr-FR"/>
              </w:rPr>
              <w:t>MSA Design</w:t>
            </w:r>
            <w:r w:rsidR="00A17A21" w:rsidRPr="00A17A21">
              <w:rPr>
                <w:lang w:eastAsia="fr-FR"/>
              </w:rPr>
              <w:t>,</w:t>
            </w:r>
            <w:r w:rsidRPr="00EF07F7">
              <w:rPr>
                <w:lang w:eastAsia="fr-FR"/>
              </w:rPr>
              <w:t xml:space="preserve"> pour le périmètre public/adhérents (services en ligne, applications mobile</w:t>
            </w:r>
            <w:r w:rsidR="00517094">
              <w:rPr>
                <w:lang w:eastAsia="fr-FR"/>
              </w:rPr>
              <w:t>s</w:t>
            </w:r>
            <w:r w:rsidRPr="00EF07F7">
              <w:rPr>
                <w:lang w:eastAsia="fr-FR"/>
              </w:rPr>
              <w:t>, sites en marque blanche)</w:t>
            </w:r>
          </w:p>
          <w:p w14:paraId="1F431D4C" w14:textId="6BD95595" w:rsidR="00EF07F7" w:rsidRPr="00EF07F7" w:rsidRDefault="00EF07F7">
            <w:pPr>
              <w:numPr>
                <w:ilvl w:val="0"/>
                <w:numId w:val="34"/>
              </w:numPr>
              <w:ind w:left="1068"/>
              <w:rPr>
                <w:lang w:eastAsia="fr-FR"/>
              </w:rPr>
            </w:pPr>
            <w:r w:rsidRPr="00EF07F7">
              <w:rPr>
                <w:b/>
                <w:bCs/>
                <w:lang w:eastAsia="fr-FR"/>
              </w:rPr>
              <w:t>Orion</w:t>
            </w:r>
            <w:r w:rsidR="00A17A21" w:rsidRPr="00A17A21">
              <w:rPr>
                <w:lang w:eastAsia="fr-FR"/>
              </w:rPr>
              <w:t>,</w:t>
            </w:r>
            <w:r w:rsidRPr="00EF07F7">
              <w:rPr>
                <w:lang w:eastAsia="fr-FR"/>
              </w:rPr>
              <w:t xml:space="preserve"> pour le périmètre interne MSA (16 000 personnes) et </w:t>
            </w:r>
            <w:proofErr w:type="spellStart"/>
            <w:r w:rsidRPr="00EF07F7">
              <w:rPr>
                <w:lang w:eastAsia="fr-FR"/>
              </w:rPr>
              <w:t>iMSA</w:t>
            </w:r>
            <w:proofErr w:type="spellEnd"/>
            <w:r w:rsidRPr="00EF07F7">
              <w:rPr>
                <w:lang w:eastAsia="fr-FR"/>
              </w:rPr>
              <w:t xml:space="preserve"> (1 000 personnes).</w:t>
            </w:r>
          </w:p>
          <w:p w14:paraId="6CC7B13E" w14:textId="77777777" w:rsidR="00EF07F7" w:rsidRPr="00EF07F7" w:rsidRDefault="00EF07F7" w:rsidP="000302F6">
            <w:pPr>
              <w:ind w:left="708"/>
              <w:rPr>
                <w:lang w:eastAsia="fr-FR"/>
              </w:rPr>
            </w:pPr>
            <w:r w:rsidRPr="00EF07F7">
              <w:rPr>
                <w:lang w:eastAsia="fr-FR"/>
              </w:rPr>
              <w:t>Ces outils sont indispensables pour maintenir et mettre à jour le parc applicatif. </w:t>
            </w:r>
          </w:p>
          <w:p w14:paraId="43E7800C" w14:textId="77777777" w:rsidR="00EF07F7" w:rsidRPr="00EF07F7" w:rsidRDefault="00EF07F7">
            <w:pPr>
              <w:numPr>
                <w:ilvl w:val="0"/>
                <w:numId w:val="35"/>
              </w:numPr>
              <w:rPr>
                <w:lang w:eastAsia="fr-FR"/>
              </w:rPr>
            </w:pPr>
            <w:r w:rsidRPr="00EF07F7">
              <w:rPr>
                <w:b/>
                <w:bCs/>
                <w:lang w:eastAsia="fr-FR"/>
              </w:rPr>
              <w:t xml:space="preserve">D’une approche pragmatique de la conformité </w:t>
            </w:r>
            <w:r w:rsidRPr="000302F6">
              <w:rPr>
                <w:lang w:eastAsia="fr-FR"/>
              </w:rPr>
              <w:t>:</w:t>
            </w:r>
            <w:r w:rsidRPr="00517094">
              <w:rPr>
                <w:lang w:eastAsia="fr-FR"/>
              </w:rPr>
              <w:t xml:space="preserve"> </w:t>
            </w:r>
            <w:r w:rsidRPr="00EF07F7">
              <w:rPr>
                <w:lang w:eastAsia="fr-FR"/>
              </w:rPr>
              <w:t xml:space="preserve">le pilotage se concentre sur la résolution des critères bloquants et majeurs, puis est validé par des cycles de pré-audits (dès 80% du développement, à destination des développeurs et avec pour orientation la productivité), d'audits finaux et de contre-audits par les prestataires. L’intégration </w:t>
            </w:r>
            <w:r w:rsidRPr="00EF07F7">
              <w:rPr>
                <w:lang w:eastAsia="fr-FR"/>
              </w:rPr>
              <w:lastRenderedPageBreak/>
              <w:t xml:space="preserve">projet se fait avec agilité et tout au long de la chaîne de valeur (par </w:t>
            </w:r>
            <w:r w:rsidRPr="00A17A21">
              <w:rPr>
                <w:i/>
                <w:iCs/>
                <w:lang w:eastAsia="fr-FR"/>
              </w:rPr>
              <w:t>sprint</w:t>
            </w:r>
            <w:r w:rsidRPr="00EF07F7">
              <w:rPr>
                <w:lang w:eastAsia="fr-FR"/>
              </w:rPr>
              <w:t>), en cherchant à nouer des alliances au sein des équipes métiers.</w:t>
            </w:r>
          </w:p>
          <w:p w14:paraId="23283530" w14:textId="0BF2F62C" w:rsidR="00EF07F7" w:rsidRPr="00EF07F7" w:rsidRDefault="00EF07F7">
            <w:pPr>
              <w:pStyle w:val="Paragraphedeliste"/>
              <w:numPr>
                <w:ilvl w:val="0"/>
                <w:numId w:val="74"/>
              </w:numPr>
              <w:rPr>
                <w:lang w:eastAsia="fr-FR"/>
              </w:rPr>
            </w:pPr>
            <w:r w:rsidRPr="00EF07F7">
              <w:rPr>
                <w:lang w:eastAsia="fr-FR"/>
              </w:rPr>
              <w:t xml:space="preserve">Consciente que l'accessibilité requiert une expertise pointue, </w:t>
            </w:r>
            <w:proofErr w:type="spellStart"/>
            <w:r w:rsidRPr="00EF07F7">
              <w:rPr>
                <w:lang w:eastAsia="fr-FR"/>
              </w:rPr>
              <w:t>iMSA</w:t>
            </w:r>
            <w:proofErr w:type="spellEnd"/>
            <w:r w:rsidRPr="00EF07F7">
              <w:rPr>
                <w:lang w:eastAsia="fr-FR"/>
              </w:rPr>
              <w:t xml:space="preserve"> a déployé une stratégie de gestion et d’amélioration continue des compétences pour lutter contre l'effet </w:t>
            </w:r>
            <w:r w:rsidR="00A17A21">
              <w:rPr>
                <w:lang w:eastAsia="fr-FR"/>
              </w:rPr>
              <w:t xml:space="preserve">« </w:t>
            </w:r>
            <w:r w:rsidRPr="00EF07F7">
              <w:rPr>
                <w:lang w:eastAsia="fr-FR"/>
              </w:rPr>
              <w:t>Dunning-Kruger</w:t>
            </w:r>
            <w:r w:rsidR="00A17A21">
              <w:rPr>
                <w:lang w:eastAsia="fr-FR"/>
              </w:rPr>
              <w:t> »</w:t>
            </w:r>
            <w:r w:rsidRPr="00EF07F7">
              <w:rPr>
                <w:lang w:eastAsia="fr-FR"/>
              </w:rPr>
              <w:t xml:space="preserve"> (c’est-à-dire de surestimation de ses compétences) et l'obsolescence technique, au-delà de la veille individuelle à mener par les référents accessibilité :</w:t>
            </w:r>
          </w:p>
          <w:p w14:paraId="588D2A55" w14:textId="40A46FC8" w:rsidR="00EF07F7" w:rsidRPr="00EF07F7" w:rsidRDefault="00EF07F7">
            <w:pPr>
              <w:numPr>
                <w:ilvl w:val="0"/>
                <w:numId w:val="36"/>
              </w:numPr>
              <w:rPr>
                <w:lang w:eastAsia="fr-FR"/>
              </w:rPr>
            </w:pPr>
            <w:r w:rsidRPr="00EF07F7">
              <w:rPr>
                <w:b/>
                <w:bCs/>
                <w:lang w:eastAsia="fr-FR"/>
              </w:rPr>
              <w:t xml:space="preserve">Valorisation de l'expertise </w:t>
            </w:r>
            <w:proofErr w:type="spellStart"/>
            <w:r w:rsidRPr="00A17A21">
              <w:rPr>
                <w:b/>
                <w:bCs/>
                <w:i/>
                <w:iCs/>
                <w:lang w:eastAsia="fr-FR"/>
              </w:rPr>
              <w:t>Front-End</w:t>
            </w:r>
            <w:proofErr w:type="spellEnd"/>
            <w:r w:rsidRPr="00EF07F7">
              <w:rPr>
                <w:b/>
                <w:bCs/>
                <w:lang w:eastAsia="fr-FR"/>
              </w:rPr>
              <w:t xml:space="preserve"> </w:t>
            </w:r>
            <w:r w:rsidRPr="000302F6">
              <w:rPr>
                <w:lang w:eastAsia="fr-FR"/>
              </w:rPr>
              <w:t>:</w:t>
            </w:r>
            <w:r w:rsidRPr="00EF07F7">
              <w:rPr>
                <w:lang w:eastAsia="fr-FR"/>
              </w:rPr>
              <w:t xml:space="preserve"> lutte contre le mythe du développeur </w:t>
            </w:r>
            <w:r w:rsidR="00A17A21">
              <w:rPr>
                <w:lang w:eastAsia="fr-FR"/>
              </w:rPr>
              <w:t>« </w:t>
            </w:r>
            <w:proofErr w:type="spellStart"/>
            <w:r w:rsidRPr="00A17A21">
              <w:rPr>
                <w:i/>
                <w:iCs/>
                <w:lang w:eastAsia="fr-FR"/>
              </w:rPr>
              <w:t>Fullstack</w:t>
            </w:r>
            <w:proofErr w:type="spellEnd"/>
            <w:r w:rsidR="00A17A21">
              <w:rPr>
                <w:lang w:eastAsia="fr-FR"/>
              </w:rPr>
              <w:t> »</w:t>
            </w:r>
            <w:r w:rsidRPr="00EF07F7">
              <w:rPr>
                <w:lang w:eastAsia="fr-FR"/>
              </w:rPr>
              <w:t xml:space="preserve">, en réaffirmant la nécessité de compétences spécifiques (sémantique, standards W3C) distinctes du </w:t>
            </w:r>
            <w:proofErr w:type="spellStart"/>
            <w:r w:rsidRPr="00A17A21">
              <w:rPr>
                <w:i/>
                <w:iCs/>
                <w:lang w:eastAsia="fr-FR"/>
              </w:rPr>
              <w:t>Back-End</w:t>
            </w:r>
            <w:proofErr w:type="spellEnd"/>
            <w:r w:rsidRPr="00EF07F7">
              <w:rPr>
                <w:lang w:eastAsia="fr-FR"/>
              </w:rPr>
              <w:t>.</w:t>
            </w:r>
          </w:p>
          <w:p w14:paraId="3A9DEC0D" w14:textId="507B3080" w:rsidR="00EF07F7" w:rsidRPr="00EF07F7" w:rsidRDefault="00EF07F7">
            <w:pPr>
              <w:numPr>
                <w:ilvl w:val="0"/>
                <w:numId w:val="36"/>
              </w:numPr>
              <w:rPr>
                <w:lang w:eastAsia="fr-FR"/>
              </w:rPr>
            </w:pPr>
            <w:r w:rsidRPr="00EF07F7">
              <w:rPr>
                <w:b/>
                <w:bCs/>
                <w:lang w:eastAsia="fr-FR"/>
              </w:rPr>
              <w:t xml:space="preserve">Dispositif de formation différenciée et sur le temps long </w:t>
            </w:r>
            <w:r w:rsidRPr="000302F6">
              <w:rPr>
                <w:lang w:eastAsia="fr-FR"/>
              </w:rPr>
              <w:t>:</w:t>
            </w:r>
            <w:r w:rsidRPr="00EF07F7">
              <w:rPr>
                <w:lang w:eastAsia="fr-FR"/>
              </w:rPr>
              <w:t xml:space="preserve"> une approche segmentée distinguant la sensibilisation (culture générale et diffusion d’un état d’esprit), la formation opérationnelle (pour l'activité courante interne ou externe), la formation expert (</w:t>
            </w:r>
            <w:r w:rsidR="00A17A21">
              <w:rPr>
                <w:lang w:eastAsia="fr-FR"/>
              </w:rPr>
              <w:t>« </w:t>
            </w:r>
            <w:r w:rsidRPr="00EF07F7">
              <w:rPr>
                <w:lang w:eastAsia="fr-FR"/>
              </w:rPr>
              <w:t>former le formateur</w:t>
            </w:r>
            <w:r w:rsidR="00A17A21">
              <w:rPr>
                <w:lang w:eastAsia="fr-FR"/>
              </w:rPr>
              <w:t> »</w:t>
            </w:r>
            <w:r w:rsidRPr="00EF07F7">
              <w:rPr>
                <w:lang w:eastAsia="fr-FR"/>
              </w:rPr>
              <w:t>, pour des profils identifiés, et à conserver sur le long terme) et la veille technique (évolution des sujets en permanence) pour pérenniser les savoirs en interne.</w:t>
            </w:r>
          </w:p>
          <w:p w14:paraId="57757B26" w14:textId="31817BAA" w:rsidR="00EF07F7" w:rsidRDefault="00EF07F7">
            <w:pPr>
              <w:numPr>
                <w:ilvl w:val="0"/>
                <w:numId w:val="36"/>
              </w:numPr>
              <w:rPr>
                <w:lang w:eastAsia="fr-FR"/>
              </w:rPr>
            </w:pPr>
            <w:r w:rsidRPr="00EF07F7">
              <w:rPr>
                <w:b/>
                <w:bCs/>
                <w:lang w:eastAsia="fr-FR"/>
              </w:rPr>
              <w:t>Accompagnement opérationnel (</w:t>
            </w:r>
            <w:r w:rsidR="00A17A21">
              <w:rPr>
                <w:rFonts w:ascii="Arial" w:hAnsi="Arial" w:cs="Arial"/>
                <w:b/>
                <w:bCs/>
                <w:lang w:eastAsia="fr-FR"/>
              </w:rPr>
              <w:t>« </w:t>
            </w:r>
            <w:r w:rsidRPr="00EF07F7">
              <w:rPr>
                <w:b/>
                <w:bCs/>
                <w:lang w:eastAsia="fr-FR"/>
              </w:rPr>
              <w:t>Allo Expert accessibilité</w:t>
            </w:r>
            <w:r w:rsidR="00A17A21">
              <w:rPr>
                <w:b/>
                <w:bCs/>
                <w:lang w:eastAsia="fr-FR"/>
              </w:rPr>
              <w:t> »</w:t>
            </w:r>
            <w:r w:rsidRPr="00EF07F7">
              <w:rPr>
                <w:b/>
                <w:bCs/>
                <w:lang w:eastAsia="fr-FR"/>
              </w:rPr>
              <w:t xml:space="preserve">) </w:t>
            </w:r>
            <w:r w:rsidRPr="000302F6">
              <w:rPr>
                <w:lang w:eastAsia="fr-FR"/>
              </w:rPr>
              <w:t>:</w:t>
            </w:r>
            <w:r w:rsidRPr="00EF07F7">
              <w:rPr>
                <w:lang w:eastAsia="fr-FR"/>
              </w:rPr>
              <w:t xml:space="preserve"> mise à disposition de ressources expertes durant les phases de développement pour répondre aux sollicitations des équipes projets en temps réel.</w:t>
            </w:r>
            <w:r w:rsidR="00F755EB">
              <w:rPr>
                <w:lang w:eastAsia="fr-FR"/>
              </w:rPr>
              <w:t xml:space="preserve"> »</w:t>
            </w:r>
          </w:p>
          <w:p w14:paraId="665F5BDF" w14:textId="77777777" w:rsidR="00646CD1" w:rsidRPr="00EF07F7" w:rsidRDefault="00646CD1" w:rsidP="00646CD1">
            <w:pPr>
              <w:rPr>
                <w:lang w:eastAsia="fr-FR"/>
              </w:rPr>
            </w:pPr>
          </w:p>
          <w:p w14:paraId="29E7407A" w14:textId="052FA222" w:rsidR="006E1221" w:rsidRPr="00C43137" w:rsidRDefault="00EF07F7" w:rsidP="00EF07F7">
            <w:pPr>
              <w:jc w:val="right"/>
              <w:rPr>
                <w:lang w:eastAsia="fr-FR"/>
              </w:rPr>
            </w:pPr>
            <w:r w:rsidRPr="00EF07F7">
              <w:rPr>
                <w:b/>
                <w:bCs/>
                <w:lang w:eastAsia="fr-FR"/>
              </w:rPr>
              <w:t xml:space="preserve">Benoît Klein, </w:t>
            </w:r>
            <w:r w:rsidRPr="00EF07F7">
              <w:rPr>
                <w:lang w:eastAsia="fr-FR"/>
              </w:rPr>
              <w:t>Référent Accessibilité Numérique chez</w:t>
            </w:r>
            <w:r w:rsidRPr="00EF07F7">
              <w:rPr>
                <w:b/>
                <w:bCs/>
                <w:lang w:eastAsia="fr-FR"/>
              </w:rPr>
              <w:t xml:space="preserve"> </w:t>
            </w:r>
            <w:proofErr w:type="spellStart"/>
            <w:r w:rsidRPr="00EF07F7">
              <w:rPr>
                <w:b/>
                <w:bCs/>
                <w:lang w:eastAsia="fr-FR"/>
              </w:rPr>
              <w:t>iMSA</w:t>
            </w:r>
            <w:proofErr w:type="spellEnd"/>
            <w:r w:rsidR="006E1221" w:rsidRPr="00D62C23">
              <w:rPr>
                <w:lang w:eastAsia="fr-FR"/>
              </w:rPr>
              <w:t xml:space="preserve"> </w:t>
            </w:r>
          </w:p>
        </w:tc>
      </w:tr>
    </w:tbl>
    <w:p w14:paraId="5443A824" w14:textId="3DBD262E" w:rsidR="00320F58" w:rsidRDefault="00320F58" w:rsidP="002D2C27">
      <w:pPr>
        <w:pStyle w:val="Image"/>
        <w:spacing w:before="100" w:after="100"/>
        <w:jc w:val="left"/>
        <w:rPr>
          <w:sz w:val="22"/>
          <w:szCs w:val="22"/>
        </w:rPr>
      </w:pPr>
    </w:p>
    <w:p w14:paraId="15DEC0F4" w14:textId="51A7B306" w:rsidR="002D2C27" w:rsidRPr="00F234C7" w:rsidRDefault="002D2C27" w:rsidP="002D2C27">
      <w:pPr>
        <w:pStyle w:val="Titre3"/>
        <w:rPr>
          <w:lang w:val="fr-FR"/>
        </w:rPr>
      </w:pPr>
      <w:bookmarkStart w:id="71" w:name="_Toc230077027"/>
      <w:r w:rsidRPr="00F234C7">
        <w:rPr>
          <w:lang w:val="fr-FR"/>
        </w:rPr>
        <w:t>Suivi des KPIs et démonstration du ROI</w:t>
      </w:r>
      <w:bookmarkEnd w:id="71"/>
    </w:p>
    <w:p w14:paraId="1261B975" w14:textId="0B80BCBE" w:rsidR="002D2C27" w:rsidRPr="002D2C27" w:rsidRDefault="002D2C27" w:rsidP="002D2C27">
      <w:pPr>
        <w:rPr>
          <w:lang w:eastAsia="fr-FR"/>
        </w:rPr>
      </w:pPr>
      <w:r w:rsidRPr="002D2C27">
        <w:rPr>
          <w:lang w:eastAsia="fr-FR"/>
        </w:rPr>
        <w:t xml:space="preserve">Piloter l’évolution des pratiques grâce à la définition d’indicateurs clés de performance (KPIs) est essentiel pour démontrer la valeur des investissements fournis en la matière et ancrer l’accessibilité numérique dans une démarche stratégique et mesurable. </w:t>
      </w:r>
    </w:p>
    <w:p w14:paraId="4A1474A7" w14:textId="77777777" w:rsidR="002D2C27" w:rsidRPr="002D2C27" w:rsidRDefault="002D2C27" w:rsidP="002D2C27">
      <w:pPr>
        <w:rPr>
          <w:lang w:eastAsia="fr-FR"/>
        </w:rPr>
      </w:pPr>
      <w:r w:rsidRPr="002D2C27">
        <w:rPr>
          <w:lang w:eastAsia="fr-FR"/>
        </w:rPr>
        <w:t>Le référencement des KPIs d’accessibilité numérique dans des tableaux de bords dédiés permettra ainsi de :</w:t>
      </w:r>
    </w:p>
    <w:p w14:paraId="0DCBF886" w14:textId="77777777" w:rsidR="002D2C27" w:rsidRPr="002D2C27" w:rsidRDefault="002D2C27">
      <w:pPr>
        <w:pStyle w:val="Paragraphedeliste"/>
        <w:numPr>
          <w:ilvl w:val="0"/>
          <w:numId w:val="41"/>
        </w:numPr>
        <w:rPr>
          <w:lang w:eastAsia="fr-FR"/>
        </w:rPr>
      </w:pPr>
      <w:r w:rsidRPr="002D2C27">
        <w:rPr>
          <w:lang w:eastAsia="fr-FR"/>
        </w:rPr>
        <w:t>Piloter la performance à l'échelle du portefeuille numérique (et non pas site par site) ;</w:t>
      </w:r>
    </w:p>
    <w:p w14:paraId="6509D597" w14:textId="77777777" w:rsidR="002D2C27" w:rsidRPr="002D2C27" w:rsidRDefault="002D2C27">
      <w:pPr>
        <w:pStyle w:val="Paragraphedeliste"/>
        <w:numPr>
          <w:ilvl w:val="0"/>
          <w:numId w:val="41"/>
        </w:numPr>
        <w:rPr>
          <w:lang w:eastAsia="fr-FR"/>
        </w:rPr>
      </w:pPr>
      <w:r w:rsidRPr="002D2C27">
        <w:rPr>
          <w:lang w:eastAsia="fr-FR"/>
        </w:rPr>
        <w:t xml:space="preserve">Mesurer l'impact des actions menées (formation, refonte, intégration du </w:t>
      </w:r>
      <w:r w:rsidRPr="00F234C7">
        <w:rPr>
          <w:i/>
          <w:iCs/>
          <w:lang w:eastAsia="fr-FR"/>
        </w:rPr>
        <w:t>Design System</w:t>
      </w:r>
      <w:r w:rsidRPr="002D2C27">
        <w:rPr>
          <w:lang w:eastAsia="fr-FR"/>
        </w:rPr>
        <w:t>) ;</w:t>
      </w:r>
    </w:p>
    <w:p w14:paraId="4553E270" w14:textId="2A651455" w:rsidR="002D2C27" w:rsidRPr="002D2C27" w:rsidRDefault="002D2C27">
      <w:pPr>
        <w:pStyle w:val="Paragraphedeliste"/>
        <w:numPr>
          <w:ilvl w:val="0"/>
          <w:numId w:val="41"/>
        </w:numPr>
        <w:rPr>
          <w:lang w:eastAsia="fr-FR"/>
        </w:rPr>
      </w:pPr>
      <w:r w:rsidRPr="002D2C27">
        <w:rPr>
          <w:lang w:eastAsia="fr-FR"/>
        </w:rPr>
        <w:t xml:space="preserve">Suivre la progression </w:t>
      </w:r>
      <w:r w:rsidR="00B517DA">
        <w:rPr>
          <w:lang w:eastAsia="fr-FR"/>
        </w:rPr>
        <w:t>(</w:t>
      </w:r>
      <w:r w:rsidR="00B517DA" w:rsidRPr="00B517DA">
        <w:rPr>
          <w:lang w:eastAsia="fr-FR"/>
        </w:rPr>
        <w:t>taux de conformité, nombre de personnes formées</w:t>
      </w:r>
      <w:r w:rsidR="00B517DA">
        <w:rPr>
          <w:lang w:eastAsia="fr-FR"/>
        </w:rPr>
        <w:t xml:space="preserve">) </w:t>
      </w:r>
      <w:r w:rsidRPr="002D2C27">
        <w:rPr>
          <w:lang w:eastAsia="fr-FR"/>
        </w:rPr>
        <w:t>et démontrer le ROI</w:t>
      </w:r>
      <w:r w:rsidR="00B517DA">
        <w:rPr>
          <w:lang w:eastAsia="fr-FR"/>
        </w:rPr>
        <w:t xml:space="preserve"> (baisse de tickets support, réduction des coûts de correction tardive, amélioration du taux de complétion …</w:t>
      </w:r>
      <w:r w:rsidRPr="002D2C27">
        <w:rPr>
          <w:lang w:eastAsia="fr-FR"/>
        </w:rPr>
        <w:t>) ;</w:t>
      </w:r>
    </w:p>
    <w:p w14:paraId="3E22C1B2" w14:textId="179D4D3B" w:rsidR="002D2C27" w:rsidRPr="002D2C27" w:rsidRDefault="002D2C27">
      <w:pPr>
        <w:pStyle w:val="Paragraphedeliste"/>
        <w:numPr>
          <w:ilvl w:val="0"/>
          <w:numId w:val="41"/>
        </w:numPr>
        <w:rPr>
          <w:lang w:eastAsia="fr-FR"/>
        </w:rPr>
      </w:pPr>
      <w:r w:rsidRPr="002D2C27">
        <w:rPr>
          <w:lang w:eastAsia="fr-FR"/>
        </w:rPr>
        <w:t xml:space="preserve">Rendre compte aux instances de gouvernance (DSI, Direction </w:t>
      </w:r>
      <w:r w:rsidR="00517094">
        <w:rPr>
          <w:lang w:eastAsia="fr-FR"/>
        </w:rPr>
        <w:t>g</w:t>
      </w:r>
      <w:r w:rsidRPr="002D2C27">
        <w:rPr>
          <w:lang w:eastAsia="fr-FR"/>
        </w:rPr>
        <w:t xml:space="preserve">énérale, RSE). </w:t>
      </w:r>
    </w:p>
    <w:p w14:paraId="4BF40B5B" w14:textId="0069CA28" w:rsidR="002D2C27" w:rsidRDefault="002D2C27" w:rsidP="002D2C27">
      <w:pPr>
        <w:rPr>
          <w:lang w:eastAsia="fr-FR"/>
        </w:rPr>
      </w:pPr>
      <w:r w:rsidRPr="002D2C27">
        <w:rPr>
          <w:lang w:eastAsia="fr-FR"/>
        </w:rPr>
        <w:lastRenderedPageBreak/>
        <w:t xml:space="preserve">Voici un exemple de segmentation de KPIs, issus des retours d’expérience des participants du groupe de travail, suivant quatre grandes catégories : les </w:t>
      </w:r>
      <w:r w:rsidRPr="00110AD0">
        <w:rPr>
          <w:b/>
          <w:bCs/>
          <w:lang w:eastAsia="fr-FR"/>
        </w:rPr>
        <w:t>KPIs de conformité</w:t>
      </w:r>
      <w:r w:rsidRPr="002D2C27">
        <w:rPr>
          <w:lang w:eastAsia="fr-FR"/>
        </w:rPr>
        <w:t xml:space="preserve">, les </w:t>
      </w:r>
      <w:r w:rsidRPr="00110AD0">
        <w:rPr>
          <w:b/>
          <w:bCs/>
          <w:lang w:eastAsia="fr-FR"/>
        </w:rPr>
        <w:t>KPIs de gouvernance</w:t>
      </w:r>
      <w:r w:rsidRPr="002D2C27">
        <w:rPr>
          <w:lang w:eastAsia="fr-FR"/>
        </w:rPr>
        <w:t xml:space="preserve">, les </w:t>
      </w:r>
      <w:r w:rsidRPr="00110AD0">
        <w:rPr>
          <w:b/>
          <w:bCs/>
          <w:lang w:eastAsia="fr-FR"/>
        </w:rPr>
        <w:t>KPIS</w:t>
      </w:r>
      <w:r w:rsidRPr="002D2C27">
        <w:rPr>
          <w:lang w:eastAsia="fr-FR"/>
        </w:rPr>
        <w:t xml:space="preserve"> </w:t>
      </w:r>
      <w:r w:rsidRPr="00110AD0">
        <w:rPr>
          <w:b/>
          <w:bCs/>
          <w:lang w:eastAsia="fr-FR"/>
        </w:rPr>
        <w:t>opérationnels</w:t>
      </w:r>
      <w:r w:rsidRPr="002D2C27">
        <w:rPr>
          <w:lang w:eastAsia="fr-FR"/>
        </w:rPr>
        <w:t xml:space="preserve"> et enfin les </w:t>
      </w:r>
      <w:r w:rsidRPr="00110AD0">
        <w:rPr>
          <w:b/>
          <w:bCs/>
          <w:lang w:eastAsia="fr-FR"/>
        </w:rPr>
        <w:t>KPIs</w:t>
      </w:r>
      <w:r w:rsidRPr="002D2C27">
        <w:rPr>
          <w:lang w:eastAsia="fr-FR"/>
        </w:rPr>
        <w:t xml:space="preserve"> </w:t>
      </w:r>
      <w:r w:rsidRPr="00110AD0">
        <w:rPr>
          <w:b/>
          <w:bCs/>
          <w:lang w:eastAsia="fr-FR"/>
        </w:rPr>
        <w:t xml:space="preserve">du niveau de formation </w:t>
      </w:r>
      <w:r w:rsidR="00F234C7" w:rsidRPr="00110AD0">
        <w:rPr>
          <w:b/>
          <w:bCs/>
          <w:lang w:eastAsia="fr-FR"/>
        </w:rPr>
        <w:t>et</w:t>
      </w:r>
      <w:r w:rsidRPr="00110AD0">
        <w:rPr>
          <w:b/>
          <w:bCs/>
          <w:lang w:eastAsia="fr-FR"/>
        </w:rPr>
        <w:t xml:space="preserve"> d’acculturation</w:t>
      </w:r>
      <w:r w:rsidRPr="002D2C27">
        <w:rPr>
          <w:lang w:eastAsia="fr-FR"/>
        </w:rPr>
        <w:t>.</w:t>
      </w:r>
    </w:p>
    <w:p w14:paraId="20A409C1" w14:textId="77777777" w:rsidR="00D702F6" w:rsidRDefault="00D702F6" w:rsidP="002D2C27">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4287"/>
        <w:gridCol w:w="2787"/>
      </w:tblGrid>
      <w:tr w:rsidR="00D702F6" w:rsidRPr="00D702F6" w14:paraId="7E4134CB" w14:textId="77777777" w:rsidTr="000857C3">
        <w:trPr>
          <w:trHeight w:val="690"/>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55E48"/>
            <w:vAlign w:val="center"/>
            <w:hideMark/>
          </w:tcPr>
          <w:p w14:paraId="09618BEA" w14:textId="4104B03C" w:rsidR="00D702F6" w:rsidRPr="00D702F6" w:rsidRDefault="00517094" w:rsidP="00400FA2">
            <w:pPr>
              <w:jc w:val="center"/>
              <w:rPr>
                <w:b/>
                <w:bCs/>
                <w:color w:val="FFFFFF" w:themeColor="background1"/>
                <w:lang w:eastAsia="fr-FR"/>
              </w:rPr>
            </w:pPr>
            <w:r>
              <w:rPr>
                <w:b/>
                <w:bCs/>
                <w:color w:val="FFFFFF" w:themeColor="background1"/>
                <w:sz w:val="24"/>
                <w:szCs w:val="24"/>
                <w:lang w:eastAsia="fr-FR"/>
              </w:rPr>
              <w:t xml:space="preserve">1 - </w:t>
            </w:r>
            <w:r w:rsidR="00D702F6" w:rsidRPr="00D702F6">
              <w:rPr>
                <w:b/>
                <w:bCs/>
                <w:color w:val="FFFFFF" w:themeColor="background1"/>
                <w:sz w:val="24"/>
                <w:szCs w:val="24"/>
                <w:lang w:eastAsia="fr-FR"/>
              </w:rPr>
              <w:t>KPI</w:t>
            </w:r>
            <w:r>
              <w:rPr>
                <w:b/>
                <w:bCs/>
                <w:color w:val="FFFFFF" w:themeColor="background1"/>
                <w:sz w:val="24"/>
                <w:szCs w:val="24"/>
                <w:lang w:eastAsia="fr-FR"/>
              </w:rPr>
              <w:t>s</w:t>
            </w:r>
            <w:r w:rsidR="00D702F6" w:rsidRPr="00D702F6">
              <w:rPr>
                <w:b/>
                <w:bCs/>
                <w:color w:val="FFFFFF" w:themeColor="background1"/>
                <w:sz w:val="24"/>
                <w:szCs w:val="24"/>
                <w:lang w:eastAsia="fr-FR"/>
              </w:rPr>
              <w:t xml:space="preserve"> de conformité</w:t>
            </w:r>
          </w:p>
        </w:tc>
      </w:tr>
      <w:tr w:rsidR="00D702F6" w:rsidRPr="00D702F6" w14:paraId="0CAB3A8B" w14:textId="77777777" w:rsidTr="000857C3">
        <w:trPr>
          <w:trHeight w:val="660"/>
        </w:trPr>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26935712"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Indicateur (KPI)</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7D8002CF"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Mesure</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32F8C506"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Objectif Stratégique</w:t>
            </w:r>
          </w:p>
        </w:tc>
      </w:tr>
      <w:tr w:rsidR="00D702F6" w:rsidRPr="00D702F6" w14:paraId="3C6E1415" w14:textId="77777777" w:rsidTr="000857C3">
        <w:trPr>
          <w:trHeight w:val="1257"/>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1FF1A54A" w14:textId="77777777" w:rsidR="00D702F6" w:rsidRPr="00D702F6" w:rsidRDefault="00D702F6" w:rsidP="00E76792">
            <w:pPr>
              <w:ind w:left="168" w:right="106"/>
              <w:jc w:val="left"/>
              <w:rPr>
                <w:lang w:eastAsia="fr-FR"/>
              </w:rPr>
            </w:pPr>
            <w:r w:rsidRPr="00D702F6">
              <w:rPr>
                <w:lang w:eastAsia="fr-FR"/>
              </w:rPr>
              <w:t>Nombre total de blocages</w:t>
            </w:r>
          </w:p>
        </w:tc>
        <w:tc>
          <w:tcPr>
            <w:tcW w:w="0" w:type="auto"/>
            <w:tcBorders>
              <w:top w:val="single" w:sz="6" w:space="0" w:color="CCCCCC"/>
              <w:left w:val="single" w:sz="6" w:space="0" w:color="CCCCCC"/>
              <w:bottom w:val="single" w:sz="6" w:space="0" w:color="CCCCCC"/>
              <w:right w:val="single" w:sz="6" w:space="0" w:color="CCCCCC"/>
            </w:tcBorders>
            <w:hideMark/>
          </w:tcPr>
          <w:p w14:paraId="145EC39B" w14:textId="588935A0" w:rsidR="00D702F6" w:rsidRPr="00D702F6" w:rsidRDefault="00D702F6" w:rsidP="00E76792">
            <w:pPr>
              <w:ind w:left="168" w:right="106"/>
              <w:jc w:val="left"/>
              <w:rPr>
                <w:lang w:eastAsia="fr-FR"/>
              </w:rPr>
            </w:pPr>
            <w:r w:rsidRPr="00D702F6">
              <w:rPr>
                <w:lang w:eastAsia="fr-FR"/>
              </w:rPr>
              <w:t xml:space="preserve">Dénombrement des cas de non-conformité, par applications, </w:t>
            </w:r>
            <w:r w:rsidR="00981EEC">
              <w:rPr>
                <w:lang w:eastAsia="fr-FR"/>
              </w:rPr>
              <w:t xml:space="preserve">par </w:t>
            </w:r>
            <w:r w:rsidRPr="00D702F6">
              <w:rPr>
                <w:lang w:eastAsia="fr-FR"/>
              </w:rPr>
              <w:t xml:space="preserve">services, </w:t>
            </w:r>
            <w:r w:rsidR="00981EEC">
              <w:rPr>
                <w:lang w:eastAsia="fr-FR"/>
              </w:rPr>
              <w:t xml:space="preserve">par </w:t>
            </w:r>
            <w:r w:rsidRPr="00D702F6">
              <w:rPr>
                <w:lang w:eastAsia="fr-FR"/>
              </w:rPr>
              <w:t>sites.</w:t>
            </w:r>
          </w:p>
        </w:tc>
        <w:tc>
          <w:tcPr>
            <w:tcW w:w="0" w:type="auto"/>
            <w:tcBorders>
              <w:top w:val="single" w:sz="6" w:space="0" w:color="CCCCCC"/>
              <w:left w:val="single" w:sz="6" w:space="0" w:color="CCCCCC"/>
              <w:bottom w:val="single" w:sz="6" w:space="0" w:color="CCCCCC"/>
              <w:right w:val="single" w:sz="6" w:space="0" w:color="CCCCCC"/>
            </w:tcBorders>
            <w:hideMark/>
          </w:tcPr>
          <w:p w14:paraId="1282BBDF" w14:textId="77777777" w:rsidR="00D702F6" w:rsidRPr="00D702F6" w:rsidRDefault="00D702F6" w:rsidP="00E76792">
            <w:pPr>
              <w:ind w:left="168" w:right="106"/>
              <w:jc w:val="left"/>
              <w:rPr>
                <w:lang w:eastAsia="fr-FR"/>
              </w:rPr>
            </w:pPr>
            <w:r w:rsidRPr="00D702F6">
              <w:rPr>
                <w:lang w:eastAsia="fr-FR"/>
              </w:rPr>
              <w:t>Cartographier les défauts qui empêchent l'accès aux services pour les utilisateurs.</w:t>
            </w:r>
          </w:p>
        </w:tc>
      </w:tr>
      <w:tr w:rsidR="00D702F6" w:rsidRPr="00D702F6" w14:paraId="2B04A539" w14:textId="77777777" w:rsidTr="000857C3">
        <w:trPr>
          <w:trHeight w:val="1242"/>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66053AB3" w14:textId="77777777" w:rsidR="00D702F6" w:rsidRPr="00D702F6" w:rsidRDefault="00D702F6" w:rsidP="00E76792">
            <w:pPr>
              <w:ind w:left="168" w:right="106"/>
              <w:jc w:val="left"/>
              <w:rPr>
                <w:lang w:eastAsia="fr-FR"/>
              </w:rPr>
            </w:pPr>
            <w:r w:rsidRPr="00D702F6">
              <w:rPr>
                <w:lang w:eastAsia="fr-FR"/>
              </w:rPr>
              <w:t>Taux de conformité global</w:t>
            </w:r>
          </w:p>
        </w:tc>
        <w:tc>
          <w:tcPr>
            <w:tcW w:w="0" w:type="auto"/>
            <w:tcBorders>
              <w:top w:val="single" w:sz="6" w:space="0" w:color="CCCCCC"/>
              <w:left w:val="single" w:sz="6" w:space="0" w:color="CCCCCC"/>
              <w:bottom w:val="single" w:sz="6" w:space="0" w:color="CCCCCC"/>
              <w:right w:val="single" w:sz="6" w:space="0" w:color="CCCCCC"/>
            </w:tcBorders>
            <w:hideMark/>
          </w:tcPr>
          <w:p w14:paraId="71A9D365" w14:textId="7F1FC103" w:rsidR="00D702F6" w:rsidRPr="00D702F6" w:rsidRDefault="00D702F6" w:rsidP="00E76792">
            <w:pPr>
              <w:ind w:left="168" w:right="106"/>
              <w:jc w:val="left"/>
              <w:rPr>
                <w:lang w:eastAsia="fr-FR"/>
              </w:rPr>
            </w:pPr>
            <w:r w:rsidRPr="00D702F6">
              <w:rPr>
                <w:lang w:eastAsia="fr-FR"/>
              </w:rPr>
              <w:t>Pourcentage moyen de critères RGAA respectés sur l'ensemble du parc (</w:t>
            </w:r>
            <w:r w:rsidR="00981EEC">
              <w:rPr>
                <w:lang w:eastAsia="fr-FR"/>
              </w:rPr>
              <w:t xml:space="preserve">au </w:t>
            </w:r>
            <w:r w:rsidRPr="00D702F6">
              <w:rPr>
                <w:lang w:eastAsia="fr-FR"/>
              </w:rPr>
              <w:t xml:space="preserve">niveau </w:t>
            </w:r>
            <w:r w:rsidR="00981EEC">
              <w:rPr>
                <w:lang w:eastAsia="fr-FR"/>
              </w:rPr>
              <w:t xml:space="preserve">du </w:t>
            </w:r>
            <w:r w:rsidRPr="00D702F6">
              <w:rPr>
                <w:lang w:eastAsia="fr-FR"/>
              </w:rPr>
              <w:t>groupe et par filiale).</w:t>
            </w:r>
          </w:p>
        </w:tc>
        <w:tc>
          <w:tcPr>
            <w:tcW w:w="0" w:type="auto"/>
            <w:tcBorders>
              <w:top w:val="single" w:sz="6" w:space="0" w:color="CCCCCC"/>
              <w:left w:val="single" w:sz="6" w:space="0" w:color="CCCCCC"/>
              <w:bottom w:val="single" w:sz="6" w:space="0" w:color="CCCCCC"/>
              <w:right w:val="single" w:sz="6" w:space="0" w:color="CCCCCC"/>
            </w:tcBorders>
            <w:hideMark/>
          </w:tcPr>
          <w:p w14:paraId="1B1FB8E3" w14:textId="183CE069" w:rsidR="00D702F6" w:rsidRPr="00D702F6" w:rsidRDefault="00D702F6" w:rsidP="00E76792">
            <w:pPr>
              <w:ind w:left="168" w:right="106"/>
              <w:jc w:val="left"/>
              <w:rPr>
                <w:lang w:eastAsia="fr-FR"/>
              </w:rPr>
            </w:pPr>
            <w:r w:rsidRPr="00D702F6">
              <w:rPr>
                <w:lang w:eastAsia="fr-FR"/>
              </w:rPr>
              <w:t xml:space="preserve">Fournir une vue synthétique et agrégée de la performance réglementaire aux instances </w:t>
            </w:r>
            <w:r w:rsidR="00517094">
              <w:rPr>
                <w:lang w:eastAsia="fr-FR"/>
              </w:rPr>
              <w:t>de décision</w:t>
            </w:r>
            <w:r w:rsidR="00517094" w:rsidRPr="00D702F6">
              <w:rPr>
                <w:lang w:eastAsia="fr-FR"/>
              </w:rPr>
              <w:t xml:space="preserve"> </w:t>
            </w:r>
            <w:r w:rsidRPr="00D702F6">
              <w:rPr>
                <w:lang w:eastAsia="fr-FR"/>
              </w:rPr>
              <w:t>et de suivi.</w:t>
            </w:r>
          </w:p>
        </w:tc>
      </w:tr>
      <w:tr w:rsidR="00D702F6" w:rsidRPr="00D702F6" w14:paraId="7E09961D" w14:textId="77777777" w:rsidTr="000857C3">
        <w:trPr>
          <w:trHeight w:val="2771"/>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6C433D7E" w14:textId="77777777" w:rsidR="00D702F6" w:rsidRPr="00D702F6" w:rsidRDefault="00D702F6" w:rsidP="00E76792">
            <w:pPr>
              <w:ind w:left="168" w:right="106"/>
              <w:jc w:val="left"/>
              <w:rPr>
                <w:lang w:eastAsia="fr-FR"/>
              </w:rPr>
            </w:pPr>
            <w:r w:rsidRPr="00D702F6">
              <w:rPr>
                <w:lang w:eastAsia="fr-FR"/>
              </w:rPr>
              <w:t>Ratio de non-conformité critique</w:t>
            </w:r>
          </w:p>
        </w:tc>
        <w:tc>
          <w:tcPr>
            <w:tcW w:w="0" w:type="auto"/>
            <w:tcBorders>
              <w:top w:val="single" w:sz="6" w:space="0" w:color="CCCCCC"/>
              <w:left w:val="single" w:sz="6" w:space="0" w:color="CCCCCC"/>
              <w:bottom w:val="single" w:sz="6" w:space="0" w:color="CCCCCC"/>
              <w:right w:val="single" w:sz="6" w:space="0" w:color="CCCCCC"/>
            </w:tcBorders>
            <w:hideMark/>
          </w:tcPr>
          <w:p w14:paraId="6A9AF70B" w14:textId="37203912" w:rsidR="00D702F6" w:rsidRPr="00D702F6" w:rsidRDefault="00D702F6" w:rsidP="00E76792">
            <w:pPr>
              <w:ind w:left="168" w:right="106"/>
              <w:jc w:val="left"/>
              <w:rPr>
                <w:lang w:eastAsia="fr-FR"/>
              </w:rPr>
            </w:pPr>
            <w:r w:rsidRPr="00D702F6">
              <w:rPr>
                <w:lang w:eastAsia="fr-FR"/>
              </w:rPr>
              <w:t>Proportion des cas de non-conformité critiques rapporté</w:t>
            </w:r>
            <w:r w:rsidR="00517094">
              <w:rPr>
                <w:lang w:eastAsia="fr-FR"/>
              </w:rPr>
              <w:t>s</w:t>
            </w:r>
            <w:r w:rsidRPr="00D702F6">
              <w:rPr>
                <w:lang w:eastAsia="fr-FR"/>
              </w:rPr>
              <w:t xml:space="preserve"> au nombre total de cas de non-conformité. La criticité est déterminée selon le nombre d’utilisateurs, l’importance des activités traitées et le nombre de correctifs à apporter.</w:t>
            </w:r>
          </w:p>
        </w:tc>
        <w:tc>
          <w:tcPr>
            <w:tcW w:w="0" w:type="auto"/>
            <w:tcBorders>
              <w:top w:val="single" w:sz="6" w:space="0" w:color="CCCCCC"/>
              <w:left w:val="single" w:sz="6" w:space="0" w:color="CCCCCC"/>
              <w:bottom w:val="single" w:sz="6" w:space="0" w:color="CCCCCC"/>
              <w:right w:val="single" w:sz="6" w:space="0" w:color="CCCCCC"/>
            </w:tcBorders>
            <w:hideMark/>
          </w:tcPr>
          <w:p w14:paraId="56044CF7" w14:textId="77777777" w:rsidR="00D702F6" w:rsidRPr="00D702F6" w:rsidRDefault="00D702F6" w:rsidP="00E76792">
            <w:pPr>
              <w:ind w:left="168" w:right="106"/>
              <w:jc w:val="left"/>
              <w:rPr>
                <w:lang w:eastAsia="fr-FR"/>
              </w:rPr>
            </w:pPr>
            <w:r w:rsidRPr="00D702F6">
              <w:rPr>
                <w:lang w:eastAsia="fr-FR"/>
              </w:rPr>
              <w:t>Pondérer la non-conformité pour définir l’ordre de priorisation des actions à mener sur les services les plus critiques.</w:t>
            </w:r>
          </w:p>
        </w:tc>
      </w:tr>
      <w:tr w:rsidR="00D702F6" w:rsidRPr="00D702F6" w14:paraId="4CE13E85" w14:textId="77777777" w:rsidTr="000857C3">
        <w:trPr>
          <w:trHeight w:val="1268"/>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50D0D670" w14:textId="77777777" w:rsidR="00D702F6" w:rsidRPr="00D702F6" w:rsidRDefault="00D702F6" w:rsidP="00E76792">
            <w:pPr>
              <w:ind w:left="168" w:right="106"/>
              <w:jc w:val="left"/>
              <w:rPr>
                <w:lang w:eastAsia="fr-FR"/>
              </w:rPr>
            </w:pPr>
            <w:r w:rsidRPr="00D702F6">
              <w:rPr>
                <w:lang w:eastAsia="fr-FR"/>
              </w:rPr>
              <w:t>Taux de publication des déclarations d'accessibilité</w:t>
            </w:r>
          </w:p>
        </w:tc>
        <w:tc>
          <w:tcPr>
            <w:tcW w:w="0" w:type="auto"/>
            <w:tcBorders>
              <w:top w:val="single" w:sz="6" w:space="0" w:color="CCCCCC"/>
              <w:left w:val="single" w:sz="6" w:space="0" w:color="CCCCCC"/>
              <w:bottom w:val="single" w:sz="6" w:space="0" w:color="CCCCCC"/>
              <w:right w:val="single" w:sz="6" w:space="0" w:color="CCCCCC"/>
            </w:tcBorders>
            <w:hideMark/>
          </w:tcPr>
          <w:p w14:paraId="76BF62EC" w14:textId="77777777" w:rsidR="00D702F6" w:rsidRPr="00D702F6" w:rsidRDefault="00D702F6" w:rsidP="00E76792">
            <w:pPr>
              <w:ind w:left="168" w:right="106"/>
              <w:jc w:val="left"/>
              <w:rPr>
                <w:lang w:eastAsia="fr-FR"/>
              </w:rPr>
            </w:pPr>
            <w:r w:rsidRPr="00D702F6">
              <w:rPr>
                <w:lang w:eastAsia="fr-FR"/>
              </w:rPr>
              <w:t>Pourcentage de services numériques ayant une déclaration d'accessibilité valide et à jour.</w:t>
            </w:r>
          </w:p>
        </w:tc>
        <w:tc>
          <w:tcPr>
            <w:tcW w:w="0" w:type="auto"/>
            <w:tcBorders>
              <w:top w:val="single" w:sz="6" w:space="0" w:color="CCCCCC"/>
              <w:left w:val="single" w:sz="6" w:space="0" w:color="CCCCCC"/>
              <w:bottom w:val="single" w:sz="6" w:space="0" w:color="CCCCCC"/>
              <w:right w:val="single" w:sz="6" w:space="0" w:color="CCCCCC"/>
            </w:tcBorders>
            <w:hideMark/>
          </w:tcPr>
          <w:p w14:paraId="2742E894" w14:textId="77777777" w:rsidR="00D702F6" w:rsidRPr="00D702F6" w:rsidRDefault="00D702F6" w:rsidP="00E76792">
            <w:pPr>
              <w:ind w:left="168" w:right="106"/>
              <w:jc w:val="left"/>
              <w:rPr>
                <w:lang w:eastAsia="fr-FR"/>
              </w:rPr>
            </w:pPr>
            <w:r w:rsidRPr="00D702F6">
              <w:rPr>
                <w:lang w:eastAsia="fr-FR"/>
              </w:rPr>
              <w:t>Assurer la transparence et le respect des obligations légales de publication.</w:t>
            </w:r>
          </w:p>
        </w:tc>
      </w:tr>
    </w:tbl>
    <w:p w14:paraId="246D450F" w14:textId="77777777" w:rsidR="00E76792" w:rsidRDefault="00E76792" w:rsidP="00E76792">
      <w:pPr>
        <w:shd w:val="clear" w:color="auto" w:fill="FFFFFF" w:themeFill="background1"/>
      </w:pPr>
      <w:r>
        <w:br w:type="page"/>
      </w:r>
    </w:p>
    <w:tbl>
      <w:tblPr>
        <w:tblW w:w="0" w:type="auto"/>
        <w:tblCellMar>
          <w:top w:w="15" w:type="dxa"/>
          <w:left w:w="15" w:type="dxa"/>
          <w:bottom w:w="15" w:type="dxa"/>
          <w:right w:w="15" w:type="dxa"/>
        </w:tblCellMar>
        <w:tblLook w:val="04A0" w:firstRow="1" w:lastRow="0" w:firstColumn="1" w:lastColumn="0" w:noHBand="0" w:noVBand="1"/>
      </w:tblPr>
      <w:tblGrid>
        <w:gridCol w:w="2336"/>
        <w:gridCol w:w="3876"/>
        <w:gridCol w:w="2842"/>
      </w:tblGrid>
      <w:tr w:rsidR="00D702F6" w:rsidRPr="00D702F6" w14:paraId="6CF0B8FA" w14:textId="77777777">
        <w:trPr>
          <w:trHeight w:val="489"/>
        </w:trPr>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78285C77" w14:textId="72D304D5" w:rsidR="00D702F6" w:rsidRPr="00D702F6" w:rsidRDefault="00D702F6" w:rsidP="00E76792">
            <w:pPr>
              <w:shd w:val="clear" w:color="auto" w:fill="FFFFFF" w:themeFill="background1"/>
              <w:rPr>
                <w:lang w:eastAsia="fr-FR"/>
              </w:rPr>
            </w:pPr>
          </w:p>
        </w:tc>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5E790D0A" w14:textId="77777777" w:rsidR="00D702F6" w:rsidRDefault="00D702F6" w:rsidP="00E76792">
            <w:pPr>
              <w:shd w:val="clear" w:color="auto" w:fill="FFFFFF" w:themeFill="background1"/>
              <w:rPr>
                <w:lang w:eastAsia="fr-FR"/>
              </w:rPr>
            </w:pPr>
          </w:p>
          <w:p w14:paraId="3F702D81" w14:textId="494059E2" w:rsidR="00E76792" w:rsidRPr="00D702F6" w:rsidRDefault="00E76792" w:rsidP="00E76792">
            <w:pPr>
              <w:shd w:val="clear" w:color="auto" w:fill="FFFFFF" w:themeFill="background1"/>
              <w:rPr>
                <w:lang w:eastAsia="fr-FR"/>
              </w:rPr>
            </w:pPr>
          </w:p>
        </w:tc>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4D8E7379" w14:textId="77777777" w:rsidR="00D702F6" w:rsidRPr="00D702F6" w:rsidRDefault="00D702F6" w:rsidP="00E76792">
            <w:pPr>
              <w:shd w:val="clear" w:color="auto" w:fill="FFFFFF" w:themeFill="background1"/>
              <w:rPr>
                <w:lang w:eastAsia="fr-FR"/>
              </w:rPr>
            </w:pPr>
          </w:p>
        </w:tc>
      </w:tr>
      <w:tr w:rsidR="00D702F6" w:rsidRPr="00D702F6" w14:paraId="02D9EB73" w14:textId="77777777" w:rsidTr="00400FA2">
        <w:trPr>
          <w:trHeight w:val="675"/>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55E48"/>
            <w:vAlign w:val="center"/>
            <w:hideMark/>
          </w:tcPr>
          <w:p w14:paraId="69F54EB8" w14:textId="077DC582" w:rsidR="00D702F6" w:rsidRPr="00D702F6" w:rsidRDefault="00517094" w:rsidP="00400FA2">
            <w:pPr>
              <w:jc w:val="center"/>
              <w:rPr>
                <w:b/>
                <w:bCs/>
                <w:color w:val="FFFFFF" w:themeColor="background1"/>
                <w:lang w:eastAsia="fr-FR"/>
              </w:rPr>
            </w:pPr>
            <w:r>
              <w:rPr>
                <w:b/>
                <w:bCs/>
                <w:color w:val="FFFFFF" w:themeColor="background1"/>
                <w:sz w:val="24"/>
                <w:szCs w:val="24"/>
                <w:lang w:eastAsia="fr-FR"/>
              </w:rPr>
              <w:t xml:space="preserve">2 - </w:t>
            </w:r>
            <w:r w:rsidR="00D702F6" w:rsidRPr="00D702F6">
              <w:rPr>
                <w:b/>
                <w:bCs/>
                <w:color w:val="FFFFFF" w:themeColor="background1"/>
                <w:sz w:val="24"/>
                <w:szCs w:val="24"/>
                <w:lang w:eastAsia="fr-FR"/>
              </w:rPr>
              <w:t>KPI</w:t>
            </w:r>
            <w:r>
              <w:rPr>
                <w:b/>
                <w:bCs/>
                <w:color w:val="FFFFFF" w:themeColor="background1"/>
                <w:sz w:val="24"/>
                <w:szCs w:val="24"/>
                <w:lang w:eastAsia="fr-FR"/>
              </w:rPr>
              <w:t>s</w:t>
            </w:r>
            <w:r w:rsidR="00D702F6" w:rsidRPr="00D702F6">
              <w:rPr>
                <w:b/>
                <w:bCs/>
                <w:color w:val="FFFFFF" w:themeColor="background1"/>
                <w:sz w:val="24"/>
                <w:szCs w:val="24"/>
                <w:lang w:eastAsia="fr-FR"/>
              </w:rPr>
              <w:t xml:space="preserve"> de gouvernance</w:t>
            </w:r>
          </w:p>
        </w:tc>
      </w:tr>
      <w:tr w:rsidR="00D702F6" w:rsidRPr="00D702F6" w14:paraId="400CC99A" w14:textId="77777777" w:rsidTr="00FA54AA">
        <w:trPr>
          <w:trHeight w:val="645"/>
        </w:trPr>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7D2A3EE4"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Indicateur (KPI)</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58BB9FCC"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Mesure</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30EE4654"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Objectif Stratégique</w:t>
            </w:r>
          </w:p>
        </w:tc>
      </w:tr>
      <w:tr w:rsidR="00D702F6" w:rsidRPr="00D702F6" w14:paraId="6D236ADA" w14:textId="77777777">
        <w:trPr>
          <w:trHeight w:val="1844"/>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459EDE8E" w14:textId="77777777" w:rsidR="00D702F6" w:rsidRPr="00D702F6" w:rsidRDefault="00D702F6" w:rsidP="00E76792">
            <w:pPr>
              <w:ind w:left="168" w:right="106"/>
              <w:jc w:val="left"/>
              <w:rPr>
                <w:lang w:eastAsia="fr-FR"/>
              </w:rPr>
            </w:pPr>
            <w:r w:rsidRPr="00D702F6">
              <w:rPr>
                <w:lang w:eastAsia="fr-FR"/>
              </w:rPr>
              <w:t>Allocation des ressources humaines</w:t>
            </w:r>
          </w:p>
        </w:tc>
        <w:tc>
          <w:tcPr>
            <w:tcW w:w="0" w:type="auto"/>
            <w:tcBorders>
              <w:top w:val="single" w:sz="6" w:space="0" w:color="CCCCCC"/>
              <w:left w:val="single" w:sz="6" w:space="0" w:color="CCCCCC"/>
              <w:bottom w:val="single" w:sz="6" w:space="0" w:color="CCCCCC"/>
              <w:right w:val="single" w:sz="6" w:space="0" w:color="CCCCCC"/>
            </w:tcBorders>
            <w:hideMark/>
          </w:tcPr>
          <w:p w14:paraId="7ACCBD9B" w14:textId="77777777" w:rsidR="00D702F6" w:rsidRPr="00D702F6" w:rsidRDefault="00D702F6" w:rsidP="00E76792">
            <w:pPr>
              <w:ind w:left="168" w:right="106"/>
              <w:jc w:val="left"/>
              <w:rPr>
                <w:lang w:eastAsia="fr-FR"/>
              </w:rPr>
            </w:pPr>
            <w:r w:rsidRPr="00D702F6">
              <w:rPr>
                <w:lang w:eastAsia="fr-FR"/>
              </w:rPr>
              <w:t>Nombre d'ETP (Équivalents Temps Plein) spécifiquement dédiés au pilotage et à l'expertise de l'accessibilité (référents accessibilité, auditeurs internes…).</w:t>
            </w:r>
          </w:p>
        </w:tc>
        <w:tc>
          <w:tcPr>
            <w:tcW w:w="0" w:type="auto"/>
            <w:tcBorders>
              <w:top w:val="single" w:sz="6" w:space="0" w:color="CCCCCC"/>
              <w:left w:val="single" w:sz="6" w:space="0" w:color="CCCCCC"/>
              <w:bottom w:val="single" w:sz="6" w:space="0" w:color="CCCCCC"/>
              <w:right w:val="single" w:sz="6" w:space="0" w:color="CCCCCC"/>
            </w:tcBorders>
            <w:hideMark/>
          </w:tcPr>
          <w:p w14:paraId="1B92E337" w14:textId="77777777" w:rsidR="00D702F6" w:rsidRPr="00D702F6" w:rsidRDefault="00D702F6" w:rsidP="00E76792">
            <w:pPr>
              <w:ind w:left="168" w:right="106"/>
              <w:jc w:val="left"/>
              <w:rPr>
                <w:lang w:eastAsia="fr-FR"/>
              </w:rPr>
            </w:pPr>
            <w:r w:rsidRPr="00D702F6">
              <w:rPr>
                <w:lang w:eastAsia="fr-FR"/>
              </w:rPr>
              <w:t>Mesurer l'investissement humain réel et au bon niveau de l'organisation pour soutenir la démarche de manière pérenne.</w:t>
            </w:r>
          </w:p>
        </w:tc>
      </w:tr>
      <w:tr w:rsidR="00D702F6" w:rsidRPr="00D702F6" w14:paraId="500E1804" w14:textId="77777777">
        <w:trPr>
          <w:trHeight w:val="1844"/>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02C71E0B" w14:textId="77777777" w:rsidR="00D702F6" w:rsidRPr="00D702F6" w:rsidRDefault="00D702F6" w:rsidP="00E76792">
            <w:pPr>
              <w:ind w:left="168" w:right="106"/>
              <w:jc w:val="left"/>
              <w:rPr>
                <w:lang w:eastAsia="fr-FR"/>
              </w:rPr>
            </w:pPr>
            <w:r w:rsidRPr="00D702F6">
              <w:rPr>
                <w:lang w:eastAsia="fr-FR"/>
              </w:rPr>
              <w:t>Positionnement du référent accessibilité numérique dans l’organisation</w:t>
            </w:r>
          </w:p>
        </w:tc>
        <w:tc>
          <w:tcPr>
            <w:tcW w:w="0" w:type="auto"/>
            <w:tcBorders>
              <w:top w:val="single" w:sz="6" w:space="0" w:color="CCCCCC"/>
              <w:left w:val="single" w:sz="6" w:space="0" w:color="CCCCCC"/>
              <w:bottom w:val="single" w:sz="6" w:space="0" w:color="CCCCCC"/>
              <w:right w:val="single" w:sz="6" w:space="0" w:color="CCCCCC"/>
            </w:tcBorders>
            <w:hideMark/>
          </w:tcPr>
          <w:p w14:paraId="2BD82E64" w14:textId="77777777" w:rsidR="00D702F6" w:rsidRPr="00D702F6" w:rsidRDefault="00D702F6" w:rsidP="00E76792">
            <w:pPr>
              <w:ind w:left="168" w:right="106"/>
              <w:jc w:val="left"/>
              <w:rPr>
                <w:lang w:eastAsia="fr-FR"/>
              </w:rPr>
            </w:pPr>
            <w:r w:rsidRPr="00D702F6">
              <w:rPr>
                <w:lang w:eastAsia="fr-FR"/>
              </w:rPr>
              <w:t>Niveau de positionnement et de rattachement du référent accessibilité numérique dans l’organisation. L’échelle de mesure pouvant être la suivante : </w:t>
            </w:r>
          </w:p>
          <w:p w14:paraId="1F78741F" w14:textId="77777777" w:rsidR="00D702F6" w:rsidRPr="00D702F6" w:rsidRDefault="00D702F6" w:rsidP="00E76792">
            <w:pPr>
              <w:ind w:left="168" w:right="106"/>
              <w:jc w:val="left"/>
              <w:rPr>
                <w:lang w:eastAsia="fr-FR"/>
              </w:rPr>
            </w:pPr>
            <w:r w:rsidRPr="00D702F6">
              <w:rPr>
                <w:lang w:eastAsia="fr-FR"/>
              </w:rPr>
              <w:t>Niveau 1 (Faible) : Rattaché à une équipe opérationnelle (pôle développement, communication…). Peu d'influence transversale. </w:t>
            </w:r>
          </w:p>
          <w:p w14:paraId="6B0B7FCF" w14:textId="77777777" w:rsidR="00D702F6" w:rsidRPr="00D702F6" w:rsidRDefault="00D702F6" w:rsidP="00E76792">
            <w:pPr>
              <w:ind w:left="168" w:right="106"/>
              <w:jc w:val="left"/>
              <w:rPr>
                <w:lang w:eastAsia="fr-FR"/>
              </w:rPr>
            </w:pPr>
            <w:r w:rsidRPr="00D702F6">
              <w:rPr>
                <w:lang w:eastAsia="fr-FR"/>
              </w:rPr>
              <w:t>Niveau 2 (Moyen) : Rattaché à des comités ou directions opérationnels. Pouvoir d'action technique fort, mais limité sur les arbitrages métiers/budget. </w:t>
            </w:r>
          </w:p>
          <w:p w14:paraId="33330B08" w14:textId="77777777" w:rsidR="00D702F6" w:rsidRPr="00D702F6" w:rsidRDefault="00D702F6" w:rsidP="00E76792">
            <w:pPr>
              <w:ind w:left="168" w:right="106"/>
              <w:jc w:val="left"/>
              <w:rPr>
                <w:lang w:eastAsia="fr-FR"/>
              </w:rPr>
            </w:pPr>
            <w:r w:rsidRPr="00D702F6">
              <w:rPr>
                <w:lang w:eastAsia="fr-FR"/>
              </w:rPr>
              <w:t>Niveau 3 (Optimal - Cible) : Rattaché à une Direction stratégique de haut niveau et idéalement, avec un accès direct au COMEX/CODIR. Forte capacité de transformation avec gestion au-dessus des métiers.</w:t>
            </w:r>
          </w:p>
        </w:tc>
        <w:tc>
          <w:tcPr>
            <w:tcW w:w="0" w:type="auto"/>
            <w:tcBorders>
              <w:top w:val="single" w:sz="6" w:space="0" w:color="CCCCCC"/>
              <w:left w:val="single" w:sz="6" w:space="0" w:color="CCCCCC"/>
              <w:bottom w:val="single" w:sz="6" w:space="0" w:color="CCCCCC"/>
              <w:right w:val="single" w:sz="6" w:space="0" w:color="CCCCCC"/>
            </w:tcBorders>
            <w:hideMark/>
          </w:tcPr>
          <w:p w14:paraId="483AFBDC" w14:textId="77777777" w:rsidR="00D702F6" w:rsidRPr="00D702F6" w:rsidRDefault="00D702F6" w:rsidP="00E76792">
            <w:pPr>
              <w:ind w:left="168" w:right="106"/>
              <w:jc w:val="left"/>
              <w:rPr>
                <w:lang w:eastAsia="fr-FR"/>
              </w:rPr>
            </w:pPr>
            <w:r w:rsidRPr="00D702F6">
              <w:rPr>
                <w:lang w:eastAsia="fr-FR"/>
              </w:rPr>
              <w:t>Mesurer la capacité d'influence et d’exécution des missions à l’échelle du Référent Accessibilité Numérique. </w:t>
            </w:r>
          </w:p>
          <w:p w14:paraId="19DD0B7A" w14:textId="77777777" w:rsidR="00D702F6" w:rsidRPr="00D702F6" w:rsidRDefault="00D702F6" w:rsidP="00D702F6">
            <w:pPr>
              <w:jc w:val="left"/>
              <w:rPr>
                <w:lang w:eastAsia="fr-FR"/>
              </w:rPr>
            </w:pPr>
          </w:p>
        </w:tc>
      </w:tr>
      <w:tr w:rsidR="00D702F6" w:rsidRPr="00D702F6" w14:paraId="142E3D28" w14:textId="77777777">
        <w:trPr>
          <w:trHeight w:val="1874"/>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47BC4358" w14:textId="77777777" w:rsidR="00D702F6" w:rsidRPr="00D702F6" w:rsidRDefault="00D702F6" w:rsidP="00E76792">
            <w:pPr>
              <w:ind w:left="168" w:right="106"/>
              <w:jc w:val="left"/>
              <w:rPr>
                <w:lang w:eastAsia="fr-FR"/>
              </w:rPr>
            </w:pPr>
            <w:r w:rsidRPr="00D702F6">
              <w:rPr>
                <w:lang w:eastAsia="fr-FR"/>
              </w:rPr>
              <w:t>Budget projet dédié</w:t>
            </w:r>
          </w:p>
        </w:tc>
        <w:tc>
          <w:tcPr>
            <w:tcW w:w="0" w:type="auto"/>
            <w:tcBorders>
              <w:top w:val="single" w:sz="6" w:space="0" w:color="CCCCCC"/>
              <w:left w:val="single" w:sz="6" w:space="0" w:color="CCCCCC"/>
              <w:bottom w:val="single" w:sz="6" w:space="0" w:color="CCCCCC"/>
              <w:right w:val="single" w:sz="6" w:space="0" w:color="CCCCCC"/>
            </w:tcBorders>
            <w:hideMark/>
          </w:tcPr>
          <w:p w14:paraId="1C706468" w14:textId="77777777" w:rsidR="00D702F6" w:rsidRPr="00D702F6" w:rsidRDefault="00D702F6" w:rsidP="00E76792">
            <w:pPr>
              <w:ind w:left="168" w:right="106"/>
              <w:jc w:val="left"/>
              <w:rPr>
                <w:lang w:eastAsia="fr-FR"/>
              </w:rPr>
            </w:pPr>
            <w:r w:rsidRPr="00D702F6">
              <w:rPr>
                <w:lang w:eastAsia="fr-FR"/>
              </w:rPr>
              <w:t>Évolution pluriannuelle du budget alloué à l'accessibilité (coût de formation, d’outillage et d’intégration projet, réalisation d’audits externes, programmation de refontes).</w:t>
            </w:r>
          </w:p>
        </w:tc>
        <w:tc>
          <w:tcPr>
            <w:tcW w:w="0" w:type="auto"/>
            <w:tcBorders>
              <w:top w:val="single" w:sz="6" w:space="0" w:color="CCCCCC"/>
              <w:left w:val="single" w:sz="6" w:space="0" w:color="CCCCCC"/>
              <w:bottom w:val="single" w:sz="6" w:space="0" w:color="CCCCCC"/>
              <w:right w:val="single" w:sz="6" w:space="0" w:color="CCCCCC"/>
            </w:tcBorders>
            <w:hideMark/>
          </w:tcPr>
          <w:p w14:paraId="1EC8B0AA" w14:textId="77777777" w:rsidR="00D702F6" w:rsidRPr="00D702F6" w:rsidRDefault="00D702F6" w:rsidP="00E76792">
            <w:pPr>
              <w:ind w:left="168" w:right="106"/>
              <w:jc w:val="left"/>
              <w:rPr>
                <w:lang w:eastAsia="fr-FR"/>
              </w:rPr>
            </w:pPr>
            <w:r w:rsidRPr="00D702F6">
              <w:rPr>
                <w:lang w:eastAsia="fr-FR"/>
              </w:rPr>
              <w:t>Quantifier les moyens alloués aux projets d’intégration, de développement et de passage à l’échelle.</w:t>
            </w:r>
          </w:p>
        </w:tc>
      </w:tr>
      <w:tr w:rsidR="00D702F6" w:rsidRPr="00D702F6" w14:paraId="14E3B3E1" w14:textId="77777777">
        <w:trPr>
          <w:trHeight w:val="405"/>
        </w:trPr>
        <w:tc>
          <w:tcPr>
            <w:tcW w:w="0" w:type="auto"/>
            <w:tcBorders>
              <w:top w:val="single" w:sz="6" w:space="0" w:color="CCCCCC"/>
              <w:left w:val="single" w:sz="6" w:space="0" w:color="FFFFFF"/>
              <w:bottom w:val="single" w:sz="6" w:space="0" w:color="CCCCCC"/>
              <w:right w:val="single" w:sz="6" w:space="0" w:color="FFFFFF"/>
            </w:tcBorders>
            <w:hideMark/>
          </w:tcPr>
          <w:p w14:paraId="4CECE160" w14:textId="77777777" w:rsidR="00D702F6" w:rsidRPr="00D702F6" w:rsidRDefault="00D702F6" w:rsidP="00D702F6">
            <w:pPr>
              <w:rPr>
                <w:lang w:eastAsia="fr-FR"/>
              </w:rPr>
            </w:pPr>
          </w:p>
        </w:tc>
        <w:tc>
          <w:tcPr>
            <w:tcW w:w="0" w:type="auto"/>
            <w:tcBorders>
              <w:top w:val="single" w:sz="6" w:space="0" w:color="CCCCCC"/>
              <w:left w:val="single" w:sz="6" w:space="0" w:color="FFFFFF"/>
              <w:bottom w:val="single" w:sz="6" w:space="0" w:color="CCCCCC"/>
              <w:right w:val="single" w:sz="6" w:space="0" w:color="FFFFFF"/>
            </w:tcBorders>
            <w:hideMark/>
          </w:tcPr>
          <w:p w14:paraId="368F0268" w14:textId="77777777" w:rsidR="00D702F6" w:rsidRPr="00D702F6" w:rsidRDefault="00D702F6" w:rsidP="00D702F6">
            <w:pPr>
              <w:rPr>
                <w:lang w:eastAsia="fr-FR"/>
              </w:rPr>
            </w:pPr>
          </w:p>
        </w:tc>
        <w:tc>
          <w:tcPr>
            <w:tcW w:w="0" w:type="auto"/>
            <w:tcBorders>
              <w:top w:val="single" w:sz="6" w:space="0" w:color="CCCCCC"/>
              <w:left w:val="single" w:sz="6" w:space="0" w:color="FFFFFF"/>
              <w:bottom w:val="single" w:sz="6" w:space="0" w:color="CCCCCC"/>
              <w:right w:val="single" w:sz="6" w:space="0" w:color="FFFFFF"/>
            </w:tcBorders>
            <w:hideMark/>
          </w:tcPr>
          <w:p w14:paraId="78A767E2" w14:textId="77777777" w:rsidR="00D702F6" w:rsidRDefault="00D702F6" w:rsidP="00D702F6">
            <w:pPr>
              <w:rPr>
                <w:lang w:eastAsia="fr-FR"/>
              </w:rPr>
            </w:pPr>
          </w:p>
          <w:p w14:paraId="275C2427" w14:textId="77777777" w:rsidR="00E76792" w:rsidRPr="00D702F6" w:rsidRDefault="00E76792" w:rsidP="00D702F6">
            <w:pPr>
              <w:rPr>
                <w:lang w:eastAsia="fr-FR"/>
              </w:rPr>
            </w:pPr>
          </w:p>
        </w:tc>
      </w:tr>
      <w:tr w:rsidR="00D702F6" w:rsidRPr="00D702F6" w14:paraId="6CC864E7" w14:textId="77777777" w:rsidTr="00400FA2">
        <w:trPr>
          <w:trHeight w:val="735"/>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55E48"/>
            <w:vAlign w:val="center"/>
            <w:hideMark/>
          </w:tcPr>
          <w:p w14:paraId="7E786BB1" w14:textId="3E649EC7" w:rsidR="00D702F6" w:rsidRPr="00D702F6" w:rsidRDefault="00517094" w:rsidP="00400FA2">
            <w:pPr>
              <w:jc w:val="center"/>
              <w:rPr>
                <w:b/>
                <w:bCs/>
                <w:color w:val="FFFFFF" w:themeColor="background1"/>
                <w:lang w:eastAsia="fr-FR"/>
              </w:rPr>
            </w:pPr>
            <w:r>
              <w:rPr>
                <w:b/>
                <w:bCs/>
                <w:color w:val="FFFFFF" w:themeColor="background1"/>
                <w:sz w:val="24"/>
                <w:szCs w:val="24"/>
                <w:lang w:eastAsia="fr-FR"/>
              </w:rPr>
              <w:lastRenderedPageBreak/>
              <w:t xml:space="preserve">3 - </w:t>
            </w:r>
            <w:r w:rsidR="00D702F6" w:rsidRPr="00D702F6">
              <w:rPr>
                <w:b/>
                <w:bCs/>
                <w:color w:val="FFFFFF" w:themeColor="background1"/>
                <w:sz w:val="24"/>
                <w:szCs w:val="24"/>
                <w:lang w:eastAsia="fr-FR"/>
              </w:rPr>
              <w:t>KPI</w:t>
            </w:r>
            <w:r>
              <w:rPr>
                <w:b/>
                <w:bCs/>
                <w:color w:val="FFFFFF" w:themeColor="background1"/>
                <w:sz w:val="24"/>
                <w:szCs w:val="24"/>
                <w:lang w:eastAsia="fr-FR"/>
              </w:rPr>
              <w:t>s</w:t>
            </w:r>
            <w:r w:rsidR="00D702F6" w:rsidRPr="00D702F6">
              <w:rPr>
                <w:b/>
                <w:bCs/>
                <w:color w:val="FFFFFF" w:themeColor="background1"/>
                <w:sz w:val="24"/>
                <w:szCs w:val="24"/>
                <w:lang w:eastAsia="fr-FR"/>
              </w:rPr>
              <w:t xml:space="preserve"> opérationnel</w:t>
            </w:r>
            <w:r>
              <w:rPr>
                <w:b/>
                <w:bCs/>
                <w:color w:val="FFFFFF" w:themeColor="background1"/>
                <w:sz w:val="24"/>
                <w:szCs w:val="24"/>
                <w:lang w:eastAsia="fr-FR"/>
              </w:rPr>
              <w:t>s</w:t>
            </w:r>
          </w:p>
        </w:tc>
      </w:tr>
      <w:tr w:rsidR="00D702F6" w:rsidRPr="00D702F6" w14:paraId="55F21328" w14:textId="77777777" w:rsidTr="00FA54AA">
        <w:trPr>
          <w:trHeight w:val="735"/>
        </w:trPr>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5ED3D8A5"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Indicateur (KPI)</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002B0CFC"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Mesure</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0E9DC743"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Objectif Stratégique</w:t>
            </w:r>
          </w:p>
        </w:tc>
      </w:tr>
      <w:tr w:rsidR="00D702F6" w:rsidRPr="00D702F6" w14:paraId="4DC85E9A" w14:textId="77777777">
        <w:trPr>
          <w:trHeight w:val="1590"/>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42D5C81E" w14:textId="77777777" w:rsidR="00D702F6" w:rsidRPr="00D702F6" w:rsidRDefault="00D702F6" w:rsidP="00E76792">
            <w:pPr>
              <w:ind w:left="168" w:right="106"/>
              <w:jc w:val="left"/>
              <w:rPr>
                <w:lang w:eastAsia="fr-FR"/>
              </w:rPr>
            </w:pPr>
            <w:r w:rsidRPr="00D702F6">
              <w:rPr>
                <w:lang w:eastAsia="fr-FR"/>
              </w:rPr>
              <w:t>Taux de remédiation</w:t>
            </w:r>
          </w:p>
        </w:tc>
        <w:tc>
          <w:tcPr>
            <w:tcW w:w="0" w:type="auto"/>
            <w:tcBorders>
              <w:top w:val="single" w:sz="6" w:space="0" w:color="CCCCCC"/>
              <w:left w:val="single" w:sz="6" w:space="0" w:color="CCCCCC"/>
              <w:bottom w:val="single" w:sz="6" w:space="0" w:color="CCCCCC"/>
              <w:right w:val="single" w:sz="6" w:space="0" w:color="CCCCCC"/>
            </w:tcBorders>
            <w:hideMark/>
          </w:tcPr>
          <w:p w14:paraId="1E6B0A1B" w14:textId="6511E134" w:rsidR="00D702F6" w:rsidRPr="00D702F6" w:rsidRDefault="00D702F6" w:rsidP="00E76792">
            <w:pPr>
              <w:ind w:left="168" w:right="106"/>
              <w:jc w:val="left"/>
              <w:rPr>
                <w:lang w:eastAsia="fr-FR"/>
              </w:rPr>
            </w:pPr>
            <w:r w:rsidRPr="00D702F6">
              <w:rPr>
                <w:lang w:eastAsia="fr-FR"/>
              </w:rPr>
              <w:t>Proportion entre le nombre de «</w:t>
            </w:r>
            <w:r w:rsidR="00C70D0D">
              <w:rPr>
                <w:lang w:eastAsia="fr-FR"/>
              </w:rPr>
              <w:t> </w:t>
            </w:r>
            <w:r w:rsidRPr="00D702F6">
              <w:rPr>
                <w:lang w:eastAsia="fr-FR"/>
              </w:rPr>
              <w:t>tickets</w:t>
            </w:r>
            <w:r w:rsidR="00400FA2" w:rsidRPr="00400FA2">
              <w:rPr>
                <w:lang w:eastAsia="fr-FR"/>
              </w:rPr>
              <w:t> </w:t>
            </w:r>
            <w:r w:rsidRPr="00D702F6">
              <w:rPr>
                <w:lang w:eastAsia="fr-FR"/>
              </w:rPr>
              <w:t>» liés à des non-conformités majeures d’accessibilité numérique et leur pourcentage de résolution.</w:t>
            </w:r>
          </w:p>
        </w:tc>
        <w:tc>
          <w:tcPr>
            <w:tcW w:w="0" w:type="auto"/>
            <w:tcBorders>
              <w:top w:val="single" w:sz="6" w:space="0" w:color="CCCCCC"/>
              <w:left w:val="single" w:sz="6" w:space="0" w:color="CCCCCC"/>
              <w:bottom w:val="single" w:sz="6" w:space="0" w:color="CCCCCC"/>
              <w:right w:val="single" w:sz="6" w:space="0" w:color="CCCCCC"/>
            </w:tcBorders>
            <w:hideMark/>
          </w:tcPr>
          <w:p w14:paraId="0B6F742B" w14:textId="77777777" w:rsidR="00D702F6" w:rsidRPr="00D702F6" w:rsidRDefault="00D702F6" w:rsidP="00E76792">
            <w:pPr>
              <w:ind w:left="168" w:right="106"/>
              <w:jc w:val="left"/>
              <w:rPr>
                <w:lang w:eastAsia="fr-FR"/>
              </w:rPr>
            </w:pPr>
            <w:r w:rsidRPr="00D702F6">
              <w:rPr>
                <w:lang w:eastAsia="fr-FR"/>
              </w:rPr>
              <w:t>Réduire la « dette d'accessibilité » et garantir la réactivité des équipes de développement.</w:t>
            </w:r>
          </w:p>
        </w:tc>
      </w:tr>
      <w:tr w:rsidR="00D702F6" w:rsidRPr="00D702F6" w14:paraId="2C327E16" w14:textId="77777777">
        <w:trPr>
          <w:trHeight w:val="2235"/>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1AE210A4" w14:textId="77777777" w:rsidR="00D702F6" w:rsidRPr="00D702F6" w:rsidRDefault="00D702F6" w:rsidP="00E76792">
            <w:pPr>
              <w:ind w:left="168" w:right="106"/>
              <w:jc w:val="left"/>
              <w:rPr>
                <w:lang w:eastAsia="fr-FR"/>
              </w:rPr>
            </w:pPr>
            <w:r w:rsidRPr="00D702F6">
              <w:rPr>
                <w:lang w:eastAsia="fr-FR"/>
              </w:rPr>
              <w:t xml:space="preserve">Fréquence d’utilisation d’un </w:t>
            </w:r>
            <w:r w:rsidRPr="00D702F6">
              <w:rPr>
                <w:i/>
                <w:iCs/>
                <w:lang w:eastAsia="fr-FR"/>
              </w:rPr>
              <w:t xml:space="preserve">design system </w:t>
            </w:r>
            <w:r w:rsidRPr="00D702F6">
              <w:rPr>
                <w:lang w:eastAsia="fr-FR"/>
              </w:rPr>
              <w:t>accessible</w:t>
            </w:r>
          </w:p>
        </w:tc>
        <w:tc>
          <w:tcPr>
            <w:tcW w:w="0" w:type="auto"/>
            <w:tcBorders>
              <w:top w:val="single" w:sz="6" w:space="0" w:color="CCCCCC"/>
              <w:left w:val="single" w:sz="6" w:space="0" w:color="CCCCCC"/>
              <w:bottom w:val="single" w:sz="6" w:space="0" w:color="CCCCCC"/>
              <w:right w:val="single" w:sz="6" w:space="0" w:color="CCCCCC"/>
            </w:tcBorders>
            <w:hideMark/>
          </w:tcPr>
          <w:p w14:paraId="6DA51D1F" w14:textId="77777777" w:rsidR="00D702F6" w:rsidRPr="00D702F6" w:rsidRDefault="00D702F6" w:rsidP="00E76792">
            <w:pPr>
              <w:ind w:left="168" w:right="106"/>
              <w:jc w:val="left"/>
              <w:rPr>
                <w:lang w:eastAsia="fr-FR"/>
              </w:rPr>
            </w:pPr>
            <w:r w:rsidRPr="00D702F6">
              <w:rPr>
                <w:lang w:eastAsia="fr-FR"/>
              </w:rPr>
              <w:t xml:space="preserve">Fréquence d'utilisation du </w:t>
            </w:r>
            <w:r w:rsidRPr="00D702F6">
              <w:rPr>
                <w:i/>
                <w:iCs/>
                <w:lang w:eastAsia="fr-FR"/>
              </w:rPr>
              <w:t>design system</w:t>
            </w:r>
            <w:r w:rsidRPr="00D702F6">
              <w:rPr>
                <w:lang w:eastAsia="fr-FR"/>
              </w:rPr>
              <w:t xml:space="preserve"> et de ses composants certifiés accessibles par l'équipe de design/développement par rapport à l'utilisation de composants non standards ou non audités.</w:t>
            </w:r>
          </w:p>
        </w:tc>
        <w:tc>
          <w:tcPr>
            <w:tcW w:w="0" w:type="auto"/>
            <w:tcBorders>
              <w:top w:val="single" w:sz="6" w:space="0" w:color="CCCCCC"/>
              <w:left w:val="single" w:sz="6" w:space="0" w:color="CCCCCC"/>
              <w:bottom w:val="single" w:sz="6" w:space="0" w:color="CCCCCC"/>
              <w:right w:val="single" w:sz="6" w:space="0" w:color="CCCCCC"/>
            </w:tcBorders>
            <w:hideMark/>
          </w:tcPr>
          <w:p w14:paraId="725B1B48" w14:textId="77777777" w:rsidR="00D702F6" w:rsidRPr="00D702F6" w:rsidRDefault="00D702F6" w:rsidP="00E76792">
            <w:pPr>
              <w:ind w:left="168" w:right="106"/>
              <w:jc w:val="left"/>
              <w:rPr>
                <w:lang w:eastAsia="fr-FR"/>
              </w:rPr>
            </w:pPr>
            <w:r w:rsidRPr="00D702F6">
              <w:rPr>
                <w:lang w:eastAsia="fr-FR"/>
              </w:rPr>
              <w:t xml:space="preserve">Mesurer l'adoption et la dépendance au </w:t>
            </w:r>
            <w:r w:rsidRPr="00D702F6">
              <w:rPr>
                <w:i/>
                <w:iCs/>
                <w:lang w:eastAsia="fr-FR"/>
              </w:rPr>
              <w:t>design system</w:t>
            </w:r>
            <w:r w:rsidRPr="00D702F6">
              <w:rPr>
                <w:lang w:eastAsia="fr-FR"/>
              </w:rPr>
              <w:t>, garantissant une cohérence d’accessibilité sur l'ensemble du parc informatique.</w:t>
            </w:r>
          </w:p>
        </w:tc>
      </w:tr>
      <w:tr w:rsidR="00D702F6" w:rsidRPr="00D702F6" w14:paraId="21719CB3" w14:textId="77777777">
        <w:trPr>
          <w:trHeight w:val="1605"/>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281BDF3F" w14:textId="77777777" w:rsidR="00D702F6" w:rsidRPr="00D702F6" w:rsidRDefault="00D702F6" w:rsidP="00E76792">
            <w:pPr>
              <w:ind w:left="168" w:right="106"/>
              <w:jc w:val="left"/>
              <w:rPr>
                <w:lang w:eastAsia="fr-FR"/>
              </w:rPr>
            </w:pPr>
            <w:r w:rsidRPr="00D702F6">
              <w:rPr>
                <w:lang w:eastAsia="fr-FR"/>
              </w:rPr>
              <w:t>Taux de couverture des tests (automatisés ou manuels)</w:t>
            </w:r>
          </w:p>
        </w:tc>
        <w:tc>
          <w:tcPr>
            <w:tcW w:w="0" w:type="auto"/>
            <w:tcBorders>
              <w:top w:val="single" w:sz="6" w:space="0" w:color="CCCCCC"/>
              <w:left w:val="single" w:sz="6" w:space="0" w:color="CCCCCC"/>
              <w:bottom w:val="single" w:sz="6" w:space="0" w:color="CCCCCC"/>
              <w:right w:val="single" w:sz="6" w:space="0" w:color="CCCCCC"/>
            </w:tcBorders>
            <w:hideMark/>
          </w:tcPr>
          <w:p w14:paraId="505031C7" w14:textId="5D3017DF" w:rsidR="00D702F6" w:rsidRPr="00D702F6" w:rsidRDefault="00D702F6" w:rsidP="00E76792">
            <w:pPr>
              <w:ind w:left="168" w:right="106"/>
              <w:jc w:val="left"/>
              <w:rPr>
                <w:lang w:eastAsia="fr-FR"/>
              </w:rPr>
            </w:pPr>
            <w:r w:rsidRPr="00D702F6">
              <w:rPr>
                <w:lang w:eastAsia="fr-FR"/>
              </w:rPr>
              <w:t>Pourcentage de fonctionnalités couvertes par des outils d'audit automatique</w:t>
            </w:r>
            <w:r w:rsidR="00517094">
              <w:rPr>
                <w:lang w:eastAsia="fr-FR"/>
              </w:rPr>
              <w:t>s</w:t>
            </w:r>
            <w:r w:rsidRPr="00D702F6">
              <w:rPr>
                <w:lang w:eastAsia="fr-FR"/>
              </w:rPr>
              <w:t xml:space="preserve"> et manuel</w:t>
            </w:r>
            <w:r w:rsidR="00517094">
              <w:rPr>
                <w:lang w:eastAsia="fr-FR"/>
              </w:rPr>
              <w:t>s</w:t>
            </w:r>
            <w:r w:rsidRPr="00D702F6">
              <w:rPr>
                <w:lang w:eastAsia="fr-FR"/>
              </w:rPr>
              <w:t xml:space="preserve"> (audits complets).</w:t>
            </w:r>
          </w:p>
        </w:tc>
        <w:tc>
          <w:tcPr>
            <w:tcW w:w="0" w:type="auto"/>
            <w:tcBorders>
              <w:top w:val="single" w:sz="6" w:space="0" w:color="CCCCCC"/>
              <w:left w:val="single" w:sz="6" w:space="0" w:color="CCCCCC"/>
              <w:bottom w:val="single" w:sz="6" w:space="0" w:color="CCCCCC"/>
              <w:right w:val="single" w:sz="6" w:space="0" w:color="CCCCCC"/>
            </w:tcBorders>
            <w:hideMark/>
          </w:tcPr>
          <w:p w14:paraId="2F927A7B" w14:textId="77777777" w:rsidR="00D702F6" w:rsidRPr="00D702F6" w:rsidRDefault="00D702F6" w:rsidP="00E76792">
            <w:pPr>
              <w:ind w:left="168" w:right="106"/>
              <w:jc w:val="left"/>
              <w:rPr>
                <w:lang w:eastAsia="fr-FR"/>
              </w:rPr>
            </w:pPr>
            <w:r w:rsidRPr="00D702F6">
              <w:rPr>
                <w:lang w:eastAsia="fr-FR"/>
              </w:rPr>
              <w:t>S'assurer que les outils et les processus de validation sont appliqués de manière exhaustive et continue.</w:t>
            </w:r>
          </w:p>
        </w:tc>
      </w:tr>
      <w:tr w:rsidR="00D702F6" w:rsidRPr="00D702F6" w14:paraId="0737C5CD" w14:textId="77777777">
        <w:trPr>
          <w:trHeight w:val="1620"/>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1E95349A" w14:textId="77777777" w:rsidR="00D702F6" w:rsidRPr="00D702F6" w:rsidRDefault="00D702F6" w:rsidP="00E76792">
            <w:pPr>
              <w:ind w:left="168" w:right="106"/>
              <w:jc w:val="left"/>
              <w:rPr>
                <w:lang w:eastAsia="fr-FR"/>
              </w:rPr>
            </w:pPr>
            <w:r w:rsidRPr="00D702F6">
              <w:rPr>
                <w:lang w:eastAsia="fr-FR"/>
              </w:rPr>
              <w:t xml:space="preserve">Nombre total de tests en situation réelle menés par </w:t>
            </w:r>
            <w:r w:rsidRPr="00D702F6">
              <w:rPr>
                <w:i/>
                <w:iCs/>
                <w:lang w:eastAsia="fr-FR"/>
              </w:rPr>
              <w:t>personae</w:t>
            </w:r>
          </w:p>
        </w:tc>
        <w:tc>
          <w:tcPr>
            <w:tcW w:w="0" w:type="auto"/>
            <w:tcBorders>
              <w:top w:val="single" w:sz="6" w:space="0" w:color="CCCCCC"/>
              <w:left w:val="single" w:sz="6" w:space="0" w:color="CCCCCC"/>
              <w:bottom w:val="single" w:sz="6" w:space="0" w:color="CCCCCC"/>
              <w:right w:val="single" w:sz="6" w:space="0" w:color="CCCCCC"/>
            </w:tcBorders>
            <w:hideMark/>
          </w:tcPr>
          <w:p w14:paraId="5D0FCCEA" w14:textId="7913E009" w:rsidR="00D702F6" w:rsidRPr="00D702F6" w:rsidRDefault="00D702F6" w:rsidP="00E76792">
            <w:pPr>
              <w:ind w:left="168" w:right="106"/>
              <w:jc w:val="left"/>
              <w:rPr>
                <w:lang w:eastAsia="fr-FR"/>
              </w:rPr>
            </w:pPr>
            <w:r w:rsidRPr="00D702F6">
              <w:rPr>
                <w:lang w:eastAsia="fr-FR"/>
              </w:rPr>
              <w:t>Nombre de tests utilisateurs menés spécifiquement avec des personnes en situation de handicap par produit et par an</w:t>
            </w:r>
            <w:r w:rsidR="00710FC2">
              <w:rPr>
                <w:lang w:eastAsia="fr-FR"/>
              </w:rPr>
              <w:t>, atteignant un haut niveau de satisfaction de la part de ces utilisateurs.</w:t>
            </w:r>
          </w:p>
        </w:tc>
        <w:tc>
          <w:tcPr>
            <w:tcW w:w="0" w:type="auto"/>
            <w:tcBorders>
              <w:top w:val="single" w:sz="6" w:space="0" w:color="CCCCCC"/>
              <w:left w:val="single" w:sz="6" w:space="0" w:color="CCCCCC"/>
              <w:bottom w:val="single" w:sz="6" w:space="0" w:color="CCCCCC"/>
              <w:right w:val="single" w:sz="6" w:space="0" w:color="CCCCCC"/>
            </w:tcBorders>
            <w:hideMark/>
          </w:tcPr>
          <w:p w14:paraId="42350619" w14:textId="4813227E" w:rsidR="00D702F6" w:rsidRPr="00D702F6" w:rsidRDefault="00D702F6" w:rsidP="00E76792">
            <w:pPr>
              <w:ind w:left="168" w:right="106"/>
              <w:jc w:val="left"/>
              <w:rPr>
                <w:lang w:eastAsia="fr-FR"/>
              </w:rPr>
            </w:pPr>
            <w:r w:rsidRPr="00D702F6">
              <w:rPr>
                <w:lang w:eastAsia="fr-FR"/>
              </w:rPr>
              <w:t xml:space="preserve">Mesurer l'effort consacré à l'accessibilité d'usage et </w:t>
            </w:r>
            <w:r w:rsidR="00517094">
              <w:rPr>
                <w:lang w:eastAsia="fr-FR"/>
              </w:rPr>
              <w:t>pas</w:t>
            </w:r>
            <w:r w:rsidR="00517094" w:rsidRPr="00D702F6">
              <w:rPr>
                <w:lang w:eastAsia="fr-FR"/>
              </w:rPr>
              <w:t xml:space="preserve"> </w:t>
            </w:r>
            <w:r w:rsidRPr="00D702F6">
              <w:rPr>
                <w:lang w:eastAsia="fr-FR"/>
              </w:rPr>
              <w:t>seulement à la conformité théorique</w:t>
            </w:r>
            <w:r w:rsidR="00C70D0D">
              <w:rPr>
                <w:lang w:eastAsia="fr-FR"/>
              </w:rPr>
              <w:t>.</w:t>
            </w:r>
          </w:p>
        </w:tc>
      </w:tr>
      <w:tr w:rsidR="00D702F6" w:rsidRPr="00D702F6" w14:paraId="05FA21D7" w14:textId="77777777">
        <w:trPr>
          <w:trHeight w:val="1625"/>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hideMark/>
          </w:tcPr>
          <w:p w14:paraId="01ABFF5A" w14:textId="77777777" w:rsidR="00D702F6" w:rsidRPr="00D702F6" w:rsidRDefault="00D702F6" w:rsidP="00E76792">
            <w:pPr>
              <w:ind w:left="168" w:right="106"/>
              <w:jc w:val="left"/>
              <w:rPr>
                <w:lang w:eastAsia="fr-FR"/>
              </w:rPr>
            </w:pPr>
            <w:r w:rsidRPr="00D702F6">
              <w:rPr>
                <w:lang w:eastAsia="fr-FR"/>
              </w:rPr>
              <w:t>Indice de régression d'accessibilité</w:t>
            </w:r>
          </w:p>
        </w:tc>
        <w:tc>
          <w:tcPr>
            <w:tcW w:w="0" w:type="auto"/>
            <w:tcBorders>
              <w:top w:val="single" w:sz="6" w:space="0" w:color="CCCCCC"/>
              <w:left w:val="single" w:sz="6" w:space="0" w:color="CCCCCC"/>
              <w:bottom w:val="single" w:sz="6" w:space="0" w:color="CCCCCC"/>
              <w:right w:val="single" w:sz="6" w:space="0" w:color="CCCCCC"/>
            </w:tcBorders>
            <w:hideMark/>
          </w:tcPr>
          <w:p w14:paraId="3E6FC3D0" w14:textId="77777777" w:rsidR="00D702F6" w:rsidRPr="00D702F6" w:rsidRDefault="00D702F6" w:rsidP="00E76792">
            <w:pPr>
              <w:ind w:left="168" w:right="106"/>
              <w:jc w:val="left"/>
              <w:rPr>
                <w:lang w:eastAsia="fr-FR"/>
              </w:rPr>
            </w:pPr>
            <w:r w:rsidRPr="00D702F6">
              <w:rPr>
                <w:lang w:eastAsia="fr-FR"/>
              </w:rPr>
              <w:t>Nombre de nouveaux défauts d'accessibilité introduits après une mise à jour ou une nouvelle fonctionnalité.</w:t>
            </w:r>
          </w:p>
        </w:tc>
        <w:tc>
          <w:tcPr>
            <w:tcW w:w="0" w:type="auto"/>
            <w:tcBorders>
              <w:top w:val="single" w:sz="6" w:space="0" w:color="CCCCCC"/>
              <w:left w:val="single" w:sz="6" w:space="0" w:color="CCCCCC"/>
              <w:bottom w:val="single" w:sz="6" w:space="0" w:color="CCCCCC"/>
              <w:right w:val="single" w:sz="6" w:space="0" w:color="CCCCCC"/>
            </w:tcBorders>
            <w:hideMark/>
          </w:tcPr>
          <w:p w14:paraId="60B7CB2B" w14:textId="77777777" w:rsidR="00D702F6" w:rsidRPr="00D702F6" w:rsidRDefault="00D702F6" w:rsidP="00E76792">
            <w:pPr>
              <w:ind w:left="168" w:right="106"/>
              <w:jc w:val="left"/>
              <w:rPr>
                <w:lang w:eastAsia="fr-FR"/>
              </w:rPr>
            </w:pPr>
            <w:r w:rsidRPr="00D702F6">
              <w:rPr>
                <w:lang w:eastAsia="fr-FR"/>
              </w:rPr>
              <w:t>Mesurer l'efficacité de la formation et des checklists qualité intégrées au cycle de développement (DevOps).</w:t>
            </w:r>
          </w:p>
        </w:tc>
      </w:tr>
      <w:tr w:rsidR="00D702F6" w:rsidRPr="00D702F6" w14:paraId="4972CE29" w14:textId="77777777">
        <w:trPr>
          <w:trHeight w:val="339"/>
        </w:trPr>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67F0FA30" w14:textId="77777777" w:rsidR="00D702F6" w:rsidRPr="00D702F6" w:rsidRDefault="00D702F6" w:rsidP="00D702F6">
            <w:pPr>
              <w:rPr>
                <w:lang w:eastAsia="fr-FR"/>
              </w:rPr>
            </w:pPr>
          </w:p>
        </w:tc>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02D657DE" w14:textId="77777777" w:rsidR="00D702F6" w:rsidRDefault="00D702F6" w:rsidP="00D702F6">
            <w:pPr>
              <w:rPr>
                <w:lang w:eastAsia="fr-FR"/>
              </w:rPr>
            </w:pPr>
          </w:p>
          <w:p w14:paraId="3FE2D939" w14:textId="77777777" w:rsidR="00E76792" w:rsidRDefault="00E76792" w:rsidP="00D702F6">
            <w:pPr>
              <w:rPr>
                <w:lang w:eastAsia="fr-FR"/>
              </w:rPr>
            </w:pPr>
          </w:p>
          <w:p w14:paraId="10B5B7B6" w14:textId="77777777" w:rsidR="00E76792" w:rsidRDefault="00E76792" w:rsidP="00D702F6">
            <w:pPr>
              <w:rPr>
                <w:lang w:eastAsia="fr-FR"/>
              </w:rPr>
            </w:pPr>
          </w:p>
          <w:p w14:paraId="7E30E1BA" w14:textId="77777777" w:rsidR="00E76792" w:rsidRDefault="00E76792" w:rsidP="00D702F6">
            <w:pPr>
              <w:rPr>
                <w:lang w:eastAsia="fr-FR"/>
              </w:rPr>
            </w:pPr>
          </w:p>
          <w:p w14:paraId="22BAEF69" w14:textId="77777777" w:rsidR="00E76792" w:rsidRPr="00D702F6" w:rsidRDefault="00E76792" w:rsidP="00D702F6">
            <w:pPr>
              <w:rPr>
                <w:lang w:eastAsia="fr-FR"/>
              </w:rPr>
            </w:pPr>
          </w:p>
        </w:tc>
        <w:tc>
          <w:tcPr>
            <w:tcW w:w="0" w:type="auto"/>
            <w:tcBorders>
              <w:top w:val="single" w:sz="6" w:space="0" w:color="CCCCCC"/>
              <w:left w:val="single" w:sz="6" w:space="0" w:color="FFFFFF"/>
              <w:bottom w:val="single" w:sz="6" w:space="0" w:color="CCCCCC"/>
              <w:right w:val="single" w:sz="6" w:space="0" w:color="FFFFFF"/>
            </w:tcBorders>
            <w:shd w:val="clear" w:color="auto" w:fill="FFFFFF"/>
            <w:hideMark/>
          </w:tcPr>
          <w:p w14:paraId="787F5F2A" w14:textId="77777777" w:rsidR="00D702F6" w:rsidRPr="00D702F6" w:rsidRDefault="00D702F6" w:rsidP="00D702F6">
            <w:pPr>
              <w:rPr>
                <w:lang w:eastAsia="fr-FR"/>
              </w:rPr>
            </w:pPr>
          </w:p>
        </w:tc>
      </w:tr>
      <w:tr w:rsidR="00D702F6" w:rsidRPr="00D702F6" w14:paraId="6258FDD4" w14:textId="77777777" w:rsidTr="00400FA2">
        <w:trPr>
          <w:trHeight w:val="720"/>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55E48"/>
            <w:vAlign w:val="center"/>
            <w:hideMark/>
          </w:tcPr>
          <w:p w14:paraId="545BD721" w14:textId="07CCCD5E" w:rsidR="00D702F6" w:rsidRPr="00D702F6" w:rsidRDefault="00517094" w:rsidP="00400FA2">
            <w:pPr>
              <w:jc w:val="center"/>
              <w:rPr>
                <w:b/>
                <w:bCs/>
                <w:color w:val="FFFFFF" w:themeColor="background1"/>
                <w:lang w:eastAsia="fr-FR"/>
              </w:rPr>
            </w:pPr>
            <w:r>
              <w:rPr>
                <w:b/>
                <w:bCs/>
                <w:color w:val="FFFFFF" w:themeColor="background1"/>
                <w:sz w:val="24"/>
                <w:szCs w:val="24"/>
                <w:lang w:eastAsia="fr-FR"/>
              </w:rPr>
              <w:lastRenderedPageBreak/>
              <w:t xml:space="preserve">4 - </w:t>
            </w:r>
            <w:r w:rsidR="00D702F6" w:rsidRPr="00D702F6">
              <w:rPr>
                <w:b/>
                <w:bCs/>
                <w:color w:val="FFFFFF" w:themeColor="background1"/>
                <w:sz w:val="24"/>
                <w:szCs w:val="24"/>
                <w:lang w:eastAsia="fr-FR"/>
              </w:rPr>
              <w:t>KPI</w:t>
            </w:r>
            <w:r>
              <w:rPr>
                <w:b/>
                <w:bCs/>
                <w:color w:val="FFFFFF" w:themeColor="background1"/>
                <w:sz w:val="24"/>
                <w:szCs w:val="24"/>
                <w:lang w:eastAsia="fr-FR"/>
              </w:rPr>
              <w:t>s</w:t>
            </w:r>
            <w:r w:rsidR="00D702F6" w:rsidRPr="00D702F6">
              <w:rPr>
                <w:b/>
                <w:bCs/>
                <w:color w:val="FFFFFF" w:themeColor="background1"/>
                <w:sz w:val="24"/>
                <w:szCs w:val="24"/>
                <w:lang w:eastAsia="fr-FR"/>
              </w:rPr>
              <w:t xml:space="preserve"> de formation</w:t>
            </w:r>
            <w:r w:rsidR="009D1CBC">
              <w:rPr>
                <w:b/>
                <w:bCs/>
                <w:color w:val="FFFFFF" w:themeColor="background1"/>
                <w:sz w:val="24"/>
                <w:szCs w:val="24"/>
                <w:lang w:eastAsia="fr-FR"/>
              </w:rPr>
              <w:t xml:space="preserve"> et d’acculturation</w:t>
            </w:r>
          </w:p>
        </w:tc>
      </w:tr>
      <w:tr w:rsidR="00D702F6" w:rsidRPr="00D702F6" w14:paraId="472A540F" w14:textId="77777777" w:rsidTr="00FA54AA">
        <w:trPr>
          <w:trHeight w:val="675"/>
        </w:trPr>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0B0E9CFD"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Indicateur (KPI)</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4AA949C3"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Mesure</w:t>
            </w:r>
          </w:p>
        </w:tc>
        <w:tc>
          <w:tcPr>
            <w:tcW w:w="0" w:type="auto"/>
            <w:tcBorders>
              <w:top w:val="single" w:sz="6" w:space="0" w:color="CCCCCC"/>
              <w:left w:val="single" w:sz="6" w:space="0" w:color="CCCCCC"/>
              <w:bottom w:val="single" w:sz="6" w:space="0" w:color="CCCCCC"/>
              <w:right w:val="single" w:sz="6" w:space="0" w:color="CCCCCC"/>
            </w:tcBorders>
            <w:shd w:val="clear" w:color="auto" w:fill="307A55"/>
            <w:vAlign w:val="center"/>
            <w:hideMark/>
          </w:tcPr>
          <w:p w14:paraId="5B7F8BFD" w14:textId="77777777" w:rsidR="00D702F6" w:rsidRPr="00D702F6" w:rsidRDefault="00D702F6" w:rsidP="00400FA2">
            <w:pPr>
              <w:jc w:val="center"/>
              <w:rPr>
                <w:b/>
                <w:bCs/>
                <w:color w:val="FFFFFF" w:themeColor="background1"/>
                <w:lang w:eastAsia="fr-FR"/>
              </w:rPr>
            </w:pPr>
            <w:r w:rsidRPr="00D702F6">
              <w:rPr>
                <w:b/>
                <w:bCs/>
                <w:color w:val="FFFFFF" w:themeColor="background1"/>
                <w:lang w:eastAsia="fr-FR"/>
              </w:rPr>
              <w:t>Objectif Stratégique</w:t>
            </w:r>
          </w:p>
        </w:tc>
      </w:tr>
      <w:tr w:rsidR="00D702F6" w:rsidRPr="00D702F6" w14:paraId="6DD263C2" w14:textId="77777777">
        <w:trPr>
          <w:trHeight w:val="1610"/>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3DE7938C" w14:textId="77777777" w:rsidR="00D702F6" w:rsidRPr="00D702F6" w:rsidRDefault="00D702F6" w:rsidP="00E76792">
            <w:pPr>
              <w:ind w:left="168" w:right="106"/>
              <w:jc w:val="left"/>
              <w:rPr>
                <w:lang w:eastAsia="fr-FR"/>
              </w:rPr>
            </w:pPr>
            <w:r w:rsidRPr="00D702F6">
              <w:rPr>
                <w:lang w:eastAsia="fr-FR"/>
              </w:rPr>
              <w:t>Taux de formation des équipes cibles</w:t>
            </w:r>
          </w:p>
        </w:tc>
        <w:tc>
          <w:tcPr>
            <w:tcW w:w="0" w:type="auto"/>
            <w:tcBorders>
              <w:top w:val="single" w:sz="6" w:space="0" w:color="CCCCCC"/>
              <w:left w:val="single" w:sz="6" w:space="0" w:color="CCCCCC"/>
              <w:bottom w:val="single" w:sz="6" w:space="0" w:color="CCCCCC"/>
              <w:right w:val="single" w:sz="6" w:space="0" w:color="CCCCCC"/>
            </w:tcBorders>
            <w:hideMark/>
          </w:tcPr>
          <w:p w14:paraId="7814425D" w14:textId="77777777" w:rsidR="00D702F6" w:rsidRPr="00D702F6" w:rsidRDefault="00D702F6" w:rsidP="00E76792">
            <w:pPr>
              <w:ind w:left="168" w:right="106"/>
              <w:jc w:val="left"/>
              <w:rPr>
                <w:lang w:eastAsia="fr-FR"/>
              </w:rPr>
            </w:pPr>
            <w:r w:rsidRPr="00D702F6">
              <w:rPr>
                <w:lang w:eastAsia="fr-FR"/>
              </w:rPr>
              <w:t>Pourcentage de collaborateurs (développeurs, designers, chefs de produit, autres…) ayant suivi une formation certifiante en accessibilité.</w:t>
            </w:r>
          </w:p>
        </w:tc>
        <w:tc>
          <w:tcPr>
            <w:tcW w:w="0" w:type="auto"/>
            <w:tcBorders>
              <w:top w:val="single" w:sz="6" w:space="0" w:color="CCCCCC"/>
              <w:left w:val="single" w:sz="6" w:space="0" w:color="CCCCCC"/>
              <w:bottom w:val="single" w:sz="6" w:space="0" w:color="CCCCCC"/>
              <w:right w:val="single" w:sz="6" w:space="0" w:color="CCCCCC"/>
            </w:tcBorders>
            <w:hideMark/>
          </w:tcPr>
          <w:p w14:paraId="3C42E831" w14:textId="77777777" w:rsidR="00D702F6" w:rsidRPr="00D702F6" w:rsidRDefault="00D702F6" w:rsidP="00E76792">
            <w:pPr>
              <w:ind w:left="168" w:right="106"/>
              <w:jc w:val="left"/>
              <w:rPr>
                <w:lang w:eastAsia="fr-FR"/>
              </w:rPr>
            </w:pPr>
            <w:r w:rsidRPr="00D702F6">
              <w:rPr>
                <w:lang w:eastAsia="fr-FR"/>
              </w:rPr>
              <w:t>S'assurer que les compétences requises sont présentes dans tous les maillons de la chaîne de conception, production ou maintenance numérique.</w:t>
            </w:r>
          </w:p>
        </w:tc>
      </w:tr>
      <w:tr w:rsidR="00D702F6" w:rsidRPr="00D702F6" w14:paraId="2BB1C5A0" w14:textId="77777777">
        <w:trPr>
          <w:trHeight w:val="2220"/>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3B4A0004" w14:textId="174332BA" w:rsidR="00D702F6" w:rsidRPr="00D702F6" w:rsidRDefault="00D702F6" w:rsidP="00E76792">
            <w:pPr>
              <w:ind w:left="168" w:right="106"/>
              <w:jc w:val="left"/>
              <w:rPr>
                <w:lang w:eastAsia="fr-FR"/>
              </w:rPr>
            </w:pPr>
            <w:r w:rsidRPr="00D702F6">
              <w:rPr>
                <w:lang w:eastAsia="fr-FR"/>
              </w:rPr>
              <w:t xml:space="preserve">Taux de validation des contenus par les référents </w:t>
            </w:r>
            <w:r w:rsidR="00230C35" w:rsidRPr="00230C35">
              <w:rPr>
                <w:lang w:eastAsia="fr-FR"/>
              </w:rPr>
              <w:t>accessibilité numérique</w:t>
            </w:r>
            <w:r w:rsidRPr="00D702F6">
              <w:rPr>
                <w:lang w:eastAsia="fr-FR"/>
              </w:rPr>
              <w:t xml:space="preserve"> dans les métiers</w:t>
            </w:r>
          </w:p>
        </w:tc>
        <w:tc>
          <w:tcPr>
            <w:tcW w:w="0" w:type="auto"/>
            <w:tcBorders>
              <w:top w:val="single" w:sz="6" w:space="0" w:color="CCCCCC"/>
              <w:left w:val="single" w:sz="6" w:space="0" w:color="CCCCCC"/>
              <w:bottom w:val="single" w:sz="6" w:space="0" w:color="CCCCCC"/>
              <w:right w:val="single" w:sz="6" w:space="0" w:color="CCCCCC"/>
            </w:tcBorders>
            <w:hideMark/>
          </w:tcPr>
          <w:p w14:paraId="20EF5AB8" w14:textId="0F1E95C9" w:rsidR="00D702F6" w:rsidRPr="00D702F6" w:rsidRDefault="00D702F6" w:rsidP="00E76792">
            <w:pPr>
              <w:ind w:left="168" w:right="106"/>
              <w:jc w:val="left"/>
              <w:rPr>
                <w:lang w:eastAsia="fr-FR"/>
              </w:rPr>
            </w:pPr>
            <w:r w:rsidRPr="00D702F6">
              <w:rPr>
                <w:lang w:eastAsia="fr-FR"/>
              </w:rPr>
              <w:t xml:space="preserve">Pourcentage de contenus </w:t>
            </w:r>
            <w:r w:rsidR="00517094" w:rsidRPr="00D702F6">
              <w:rPr>
                <w:lang w:eastAsia="fr-FR"/>
              </w:rPr>
              <w:t xml:space="preserve">publiés </w:t>
            </w:r>
            <w:r w:rsidRPr="00D702F6">
              <w:rPr>
                <w:lang w:eastAsia="fr-FR"/>
              </w:rPr>
              <w:t>(textes, documents PDF, vidéos) ayant été validés par les référents accessibilité au sein des directions métiers (Communication, RH, Juridique…).</w:t>
            </w:r>
          </w:p>
        </w:tc>
        <w:tc>
          <w:tcPr>
            <w:tcW w:w="0" w:type="auto"/>
            <w:tcBorders>
              <w:top w:val="single" w:sz="6" w:space="0" w:color="CCCCCC"/>
              <w:left w:val="single" w:sz="6" w:space="0" w:color="CCCCCC"/>
              <w:bottom w:val="single" w:sz="6" w:space="0" w:color="CCCCCC"/>
              <w:right w:val="single" w:sz="6" w:space="0" w:color="CCCCCC"/>
            </w:tcBorders>
            <w:hideMark/>
          </w:tcPr>
          <w:p w14:paraId="19780057" w14:textId="77777777" w:rsidR="00D702F6" w:rsidRPr="00D702F6" w:rsidRDefault="00D702F6" w:rsidP="00E76792">
            <w:pPr>
              <w:ind w:left="168" w:right="106"/>
              <w:jc w:val="left"/>
              <w:rPr>
                <w:lang w:eastAsia="fr-FR"/>
              </w:rPr>
            </w:pPr>
            <w:r w:rsidRPr="00D702F6">
              <w:rPr>
                <w:lang w:eastAsia="fr-FR"/>
              </w:rPr>
              <w:t>Décentraliser la responsabilité de l'accessibilité et l'intégrer dans les pratiques quotidiennes des projets métiers &amp; IT.</w:t>
            </w:r>
          </w:p>
        </w:tc>
      </w:tr>
      <w:tr w:rsidR="00D702F6" w:rsidRPr="00D702F6" w14:paraId="6843080E" w14:textId="77777777">
        <w:trPr>
          <w:trHeight w:val="1575"/>
        </w:trPr>
        <w:tc>
          <w:tcPr>
            <w:tcW w:w="0" w:type="auto"/>
            <w:tcBorders>
              <w:top w:val="single" w:sz="6" w:space="0" w:color="CCCCCC"/>
              <w:left w:val="single" w:sz="6" w:space="0" w:color="CCCCCC"/>
              <w:bottom w:val="single" w:sz="6" w:space="0" w:color="CCCCCC"/>
              <w:right w:val="single" w:sz="6" w:space="0" w:color="CCCCCC"/>
            </w:tcBorders>
            <w:shd w:val="clear" w:color="auto" w:fill="EFEFEF"/>
            <w:hideMark/>
          </w:tcPr>
          <w:p w14:paraId="5DF7518E" w14:textId="77777777" w:rsidR="00D702F6" w:rsidRPr="00D702F6" w:rsidRDefault="00D702F6" w:rsidP="00E76792">
            <w:pPr>
              <w:ind w:left="168" w:right="106"/>
              <w:jc w:val="left"/>
              <w:rPr>
                <w:lang w:eastAsia="fr-FR"/>
              </w:rPr>
            </w:pPr>
            <w:r w:rsidRPr="00D702F6">
              <w:rPr>
                <w:lang w:eastAsia="fr-FR"/>
              </w:rPr>
              <w:t>Taux d’intégration dans les documents contractuels</w:t>
            </w:r>
          </w:p>
        </w:tc>
        <w:tc>
          <w:tcPr>
            <w:tcW w:w="0" w:type="auto"/>
            <w:tcBorders>
              <w:top w:val="single" w:sz="6" w:space="0" w:color="CCCCCC"/>
              <w:left w:val="single" w:sz="6" w:space="0" w:color="CCCCCC"/>
              <w:bottom w:val="single" w:sz="6" w:space="0" w:color="CCCCCC"/>
              <w:right w:val="single" w:sz="6" w:space="0" w:color="CCCCCC"/>
            </w:tcBorders>
            <w:hideMark/>
          </w:tcPr>
          <w:p w14:paraId="7400AAE5" w14:textId="77777777" w:rsidR="00D702F6" w:rsidRPr="00D702F6" w:rsidRDefault="00D702F6" w:rsidP="00E76792">
            <w:pPr>
              <w:ind w:left="168" w:right="106"/>
              <w:jc w:val="left"/>
              <w:rPr>
                <w:lang w:eastAsia="fr-FR"/>
              </w:rPr>
            </w:pPr>
            <w:r w:rsidRPr="00D702F6">
              <w:rPr>
                <w:lang w:eastAsia="fr-FR"/>
              </w:rPr>
              <w:t>Pourcentage de nouveaux appels d'offres ou contrats fournisseurs intégrant des clauses et des exigences claires d'accessibilité.</w:t>
            </w:r>
          </w:p>
        </w:tc>
        <w:tc>
          <w:tcPr>
            <w:tcW w:w="0" w:type="auto"/>
            <w:tcBorders>
              <w:top w:val="single" w:sz="6" w:space="0" w:color="CCCCCC"/>
              <w:left w:val="single" w:sz="6" w:space="0" w:color="CCCCCC"/>
              <w:bottom w:val="single" w:sz="6" w:space="0" w:color="CCCCCC"/>
              <w:right w:val="single" w:sz="6" w:space="0" w:color="CCCCCC"/>
            </w:tcBorders>
            <w:hideMark/>
          </w:tcPr>
          <w:p w14:paraId="58A90C20" w14:textId="77777777" w:rsidR="00D702F6" w:rsidRPr="00D702F6" w:rsidRDefault="00D702F6" w:rsidP="00E76792">
            <w:pPr>
              <w:ind w:left="168" w:right="106"/>
              <w:jc w:val="left"/>
              <w:rPr>
                <w:lang w:eastAsia="fr-FR"/>
              </w:rPr>
            </w:pPr>
            <w:r w:rsidRPr="00D702F6">
              <w:rPr>
                <w:lang w:eastAsia="fr-FR"/>
              </w:rPr>
              <w:t>Formaliser et systématiser l’exigence d’accessibilité auprès des partenaires externes.</w:t>
            </w:r>
          </w:p>
        </w:tc>
      </w:tr>
    </w:tbl>
    <w:p w14:paraId="6E98F885" w14:textId="77777777" w:rsidR="00D702F6" w:rsidRPr="00D702F6" w:rsidRDefault="00D702F6" w:rsidP="00D702F6">
      <w:pPr>
        <w:rPr>
          <w:lang w:eastAsia="fr-FR"/>
        </w:rPr>
      </w:pPr>
    </w:p>
    <w:tbl>
      <w:tblPr>
        <w:tblW w:w="5000" w:type="pct"/>
        <w:jc w:val="center"/>
        <w:tblBorders>
          <w:top w:val="single" w:sz="18" w:space="0" w:color="155E48"/>
          <w:left w:val="single" w:sz="18" w:space="0" w:color="155E48"/>
          <w:bottom w:val="single" w:sz="18" w:space="0" w:color="155E48"/>
          <w:right w:val="single" w:sz="18" w:space="0" w:color="155E48"/>
        </w:tblBorders>
        <w:shd w:val="clear" w:color="auto" w:fill="E2EFD9" w:themeFill="accent6" w:themeFillTint="33"/>
        <w:tblLayout w:type="fixed"/>
        <w:tblCellMar>
          <w:top w:w="284" w:type="dxa"/>
          <w:left w:w="284" w:type="dxa"/>
          <w:bottom w:w="284" w:type="dxa"/>
          <w:right w:w="284" w:type="dxa"/>
        </w:tblCellMar>
        <w:tblLook w:val="0420" w:firstRow="1" w:lastRow="0" w:firstColumn="0" w:lastColumn="0" w:noHBand="0" w:noVBand="1"/>
      </w:tblPr>
      <w:tblGrid>
        <w:gridCol w:w="9070"/>
      </w:tblGrid>
      <w:tr w:rsidR="00D702F6" w:rsidRPr="00C43137" w14:paraId="07ECFBB3" w14:textId="77777777" w:rsidTr="003D17A2">
        <w:trPr>
          <w:jc w:val="center"/>
        </w:trPr>
        <w:tc>
          <w:tcPr>
            <w:tcW w:w="9047" w:type="dxa"/>
            <w:tcBorders>
              <w:top w:val="nil"/>
              <w:left w:val="nil"/>
              <w:bottom w:val="nil"/>
              <w:right w:val="nil"/>
            </w:tcBorders>
            <w:shd w:val="clear" w:color="auto" w:fill="E2EFD9" w:themeFill="accent6" w:themeFillTint="33"/>
          </w:tcPr>
          <w:p w14:paraId="20FA9773" w14:textId="2ACB106D" w:rsidR="00D702F6" w:rsidRPr="00C43137" w:rsidRDefault="004602C8" w:rsidP="004C7112">
            <w:pPr>
              <w:pStyle w:val="retenir"/>
            </w:pPr>
            <w:bookmarkStart w:id="72" w:name="_Toc230077028"/>
            <w:r>
              <w:lastRenderedPageBreak/>
              <w:t>À retenir</w:t>
            </w:r>
            <w:bookmarkEnd w:id="72"/>
          </w:p>
          <w:p w14:paraId="4890DCAF" w14:textId="04AB2283" w:rsidR="00D702F6" w:rsidRDefault="00BA7EFA" w:rsidP="00064C74">
            <w:pPr>
              <w:rPr>
                <w:lang w:eastAsia="fr-FR"/>
              </w:rPr>
            </w:pPr>
            <w:r w:rsidRPr="00BA7EFA">
              <w:rPr>
                <w:lang w:eastAsia="fr-FR"/>
              </w:rPr>
              <w:t xml:space="preserve">Garantir l'accessibilité numérique ne s'improvise pas : </w:t>
            </w:r>
            <w:r w:rsidR="00981EEC">
              <w:rPr>
                <w:lang w:eastAsia="fr-FR"/>
              </w:rPr>
              <w:t>celle-ci</w:t>
            </w:r>
            <w:r w:rsidR="00981EEC" w:rsidRPr="00BA7EFA">
              <w:rPr>
                <w:lang w:eastAsia="fr-FR"/>
              </w:rPr>
              <w:t xml:space="preserve"> </w:t>
            </w:r>
            <w:r w:rsidRPr="00BA7EFA">
              <w:rPr>
                <w:lang w:eastAsia="fr-FR"/>
              </w:rPr>
              <w:t xml:space="preserve">s'anticipe, se structure et s'entretient tout au long du cycle de vie des projets, </w:t>
            </w:r>
            <w:r w:rsidR="00D327BA">
              <w:rPr>
                <w:lang w:eastAsia="fr-FR"/>
              </w:rPr>
              <w:t>en combinant</w:t>
            </w:r>
            <w:r w:rsidRPr="00BA7EFA">
              <w:rPr>
                <w:lang w:eastAsia="fr-FR"/>
              </w:rPr>
              <w:t xml:space="preserve"> de</w:t>
            </w:r>
            <w:r w:rsidR="00D327BA">
              <w:rPr>
                <w:lang w:eastAsia="fr-FR"/>
              </w:rPr>
              <w:t>s</w:t>
            </w:r>
            <w:r w:rsidRPr="00BA7EFA">
              <w:rPr>
                <w:lang w:eastAsia="fr-FR"/>
              </w:rPr>
              <w:t xml:space="preserve"> méthodes, </w:t>
            </w:r>
            <w:r w:rsidR="00D327BA">
              <w:rPr>
                <w:lang w:eastAsia="fr-FR"/>
              </w:rPr>
              <w:t xml:space="preserve">des </w:t>
            </w:r>
            <w:r w:rsidR="00D327BA" w:rsidRPr="00BA7EFA">
              <w:rPr>
                <w:lang w:eastAsia="fr-FR"/>
              </w:rPr>
              <w:t xml:space="preserve">outils </w:t>
            </w:r>
            <w:r w:rsidRPr="00BA7EFA">
              <w:rPr>
                <w:lang w:eastAsia="fr-FR"/>
              </w:rPr>
              <w:t xml:space="preserve">et </w:t>
            </w:r>
            <w:r w:rsidR="00D327BA">
              <w:rPr>
                <w:lang w:eastAsia="fr-FR"/>
              </w:rPr>
              <w:t>une</w:t>
            </w:r>
            <w:r w:rsidR="00D327BA" w:rsidRPr="00BA7EFA">
              <w:rPr>
                <w:lang w:eastAsia="fr-FR"/>
              </w:rPr>
              <w:t xml:space="preserve"> </w:t>
            </w:r>
            <w:r w:rsidRPr="00BA7EFA">
              <w:rPr>
                <w:lang w:eastAsia="fr-FR"/>
              </w:rPr>
              <w:t>gouvernance adapté</w:t>
            </w:r>
            <w:r w:rsidR="009D1CBC">
              <w:rPr>
                <w:lang w:eastAsia="fr-FR"/>
              </w:rPr>
              <w:t>e</w:t>
            </w:r>
            <w:r>
              <w:rPr>
                <w:lang w:eastAsia="fr-FR"/>
              </w:rPr>
              <w:t xml:space="preserve">. </w:t>
            </w:r>
            <w:r w:rsidRPr="00BA7EFA">
              <w:rPr>
                <w:lang w:eastAsia="fr-FR"/>
              </w:rPr>
              <w:t>Pour y parvenir, plusieurs bonnes pratiques sont à mettre en œuvre</w:t>
            </w:r>
            <w:r w:rsidR="009D1CBC">
              <w:rPr>
                <w:lang w:eastAsia="fr-FR"/>
              </w:rPr>
              <w:t> </w:t>
            </w:r>
            <w:r w:rsidRPr="00BA7EFA">
              <w:rPr>
                <w:lang w:eastAsia="fr-FR"/>
              </w:rPr>
              <w:t>:</w:t>
            </w:r>
          </w:p>
          <w:p w14:paraId="12C806CE" w14:textId="335DC6C3" w:rsidR="00186503" w:rsidRDefault="00D702F6">
            <w:pPr>
              <w:pStyle w:val="Paragraphedeliste"/>
              <w:numPr>
                <w:ilvl w:val="0"/>
                <w:numId w:val="49"/>
              </w:numPr>
              <w:rPr>
                <w:lang w:eastAsia="fr-FR"/>
              </w:rPr>
            </w:pPr>
            <w:r>
              <w:rPr>
                <w:lang w:eastAsia="fr-FR"/>
              </w:rPr>
              <w:t xml:space="preserve">Prendre en compte l’accessibilité numérique </w:t>
            </w:r>
            <w:r w:rsidR="00402C31" w:rsidRPr="00F234C7">
              <w:rPr>
                <w:i/>
                <w:iCs/>
                <w:lang w:eastAsia="fr-FR"/>
              </w:rPr>
              <w:t>by design</w:t>
            </w:r>
            <w:r w:rsidR="00402C31">
              <w:rPr>
                <w:lang w:eastAsia="fr-FR"/>
              </w:rPr>
              <w:t xml:space="preserve"> </w:t>
            </w:r>
            <w:r>
              <w:rPr>
                <w:lang w:eastAsia="fr-FR"/>
              </w:rPr>
              <w:t xml:space="preserve">dès le cadrage des projets, et </w:t>
            </w:r>
            <w:r w:rsidR="00D327BA">
              <w:rPr>
                <w:lang w:eastAsia="fr-FR"/>
              </w:rPr>
              <w:t xml:space="preserve">à chaque phase, </w:t>
            </w:r>
            <w:r>
              <w:rPr>
                <w:lang w:eastAsia="fr-FR"/>
              </w:rPr>
              <w:t xml:space="preserve">tout au long de </w:t>
            </w:r>
            <w:r w:rsidR="00D327BA">
              <w:rPr>
                <w:lang w:eastAsia="fr-FR"/>
              </w:rPr>
              <w:t xml:space="preserve">leur </w:t>
            </w:r>
            <w:r>
              <w:rPr>
                <w:lang w:eastAsia="fr-FR"/>
              </w:rPr>
              <w:t>cycle de vie</w:t>
            </w:r>
            <w:r w:rsidR="009D1CBC">
              <w:rPr>
                <w:lang w:eastAsia="fr-FR"/>
              </w:rPr>
              <w:t xml:space="preserve"> </w:t>
            </w:r>
            <w:r>
              <w:rPr>
                <w:lang w:eastAsia="fr-FR"/>
              </w:rPr>
              <w:t>;</w:t>
            </w:r>
          </w:p>
          <w:p w14:paraId="1EB9D7FE" w14:textId="225861E5" w:rsidR="00186503" w:rsidRDefault="00186503">
            <w:pPr>
              <w:pStyle w:val="Paragraphedeliste"/>
              <w:numPr>
                <w:ilvl w:val="0"/>
                <w:numId w:val="49"/>
              </w:numPr>
              <w:rPr>
                <w:lang w:eastAsia="fr-FR"/>
              </w:rPr>
            </w:pPr>
            <w:r>
              <w:rPr>
                <w:lang w:eastAsia="fr-FR"/>
              </w:rPr>
              <w:t xml:space="preserve">Intégrer des </w:t>
            </w:r>
            <w:r w:rsidRPr="00110AD0">
              <w:rPr>
                <w:i/>
                <w:iCs/>
                <w:lang w:eastAsia="fr-FR"/>
              </w:rPr>
              <w:t>personae</w:t>
            </w:r>
            <w:r>
              <w:rPr>
                <w:lang w:eastAsia="fr-FR"/>
              </w:rPr>
              <w:t xml:space="preserve"> représentati</w:t>
            </w:r>
            <w:r w:rsidR="009D1CBC">
              <w:rPr>
                <w:lang w:eastAsia="fr-FR"/>
              </w:rPr>
              <w:t>ve</w:t>
            </w:r>
            <w:r>
              <w:rPr>
                <w:lang w:eastAsia="fr-FR"/>
              </w:rPr>
              <w:t>s de situations de handicap ;</w:t>
            </w:r>
          </w:p>
          <w:p w14:paraId="5A9FE5DE" w14:textId="52041C28" w:rsidR="00186503" w:rsidRDefault="00186503">
            <w:pPr>
              <w:pStyle w:val="Paragraphedeliste"/>
              <w:numPr>
                <w:ilvl w:val="0"/>
                <w:numId w:val="49"/>
              </w:numPr>
              <w:rPr>
                <w:lang w:eastAsia="fr-FR"/>
              </w:rPr>
            </w:pPr>
            <w:r>
              <w:rPr>
                <w:lang w:eastAsia="fr-FR"/>
              </w:rPr>
              <w:t>Concevoir des parcours en tenant compte des contraintes réelles d’usage ;</w:t>
            </w:r>
          </w:p>
          <w:p w14:paraId="00C58760" w14:textId="768B024B" w:rsidR="00186503" w:rsidRDefault="00186503">
            <w:pPr>
              <w:pStyle w:val="Paragraphedeliste"/>
              <w:numPr>
                <w:ilvl w:val="0"/>
                <w:numId w:val="49"/>
              </w:numPr>
              <w:rPr>
                <w:lang w:eastAsia="fr-FR"/>
              </w:rPr>
            </w:pPr>
            <w:r>
              <w:rPr>
                <w:lang w:eastAsia="fr-FR"/>
              </w:rPr>
              <w:t>Mesurer la qualité d’expérience et non uniquement la conformité ;</w:t>
            </w:r>
          </w:p>
          <w:p w14:paraId="665E98B2" w14:textId="77777777" w:rsidR="00D702F6" w:rsidRDefault="00D702F6">
            <w:pPr>
              <w:pStyle w:val="Paragraphedeliste"/>
              <w:numPr>
                <w:ilvl w:val="0"/>
                <w:numId w:val="49"/>
              </w:numPr>
              <w:rPr>
                <w:lang w:eastAsia="fr-FR"/>
              </w:rPr>
            </w:pPr>
            <w:r>
              <w:rPr>
                <w:lang w:eastAsia="fr-FR"/>
              </w:rPr>
              <w:t>Pour les systèmes existants, arbitrer entre une maintenance corrective (patchs) et une refonte complète, cette dernière étant souvent plus rentable et robuste à terme ;</w:t>
            </w:r>
          </w:p>
          <w:p w14:paraId="5614C253" w14:textId="3F9B3987" w:rsidR="00D702F6" w:rsidRDefault="009D1CBC">
            <w:pPr>
              <w:pStyle w:val="Paragraphedeliste"/>
              <w:numPr>
                <w:ilvl w:val="0"/>
                <w:numId w:val="49"/>
              </w:numPr>
              <w:rPr>
                <w:lang w:eastAsia="fr-FR"/>
              </w:rPr>
            </w:pPr>
            <w:r>
              <w:rPr>
                <w:lang w:eastAsia="fr-FR"/>
              </w:rPr>
              <w:t>I</w:t>
            </w:r>
            <w:r w:rsidR="00D702F6">
              <w:rPr>
                <w:lang w:eastAsia="fr-FR"/>
              </w:rPr>
              <w:t>ntégr</w:t>
            </w:r>
            <w:r>
              <w:rPr>
                <w:lang w:eastAsia="fr-FR"/>
              </w:rPr>
              <w:t xml:space="preserve">er </w:t>
            </w:r>
            <w:r w:rsidR="00D702F6">
              <w:rPr>
                <w:lang w:eastAsia="fr-FR"/>
              </w:rPr>
              <w:t>des utilisateurs en situation de handicap,</w:t>
            </w:r>
            <w:r>
              <w:rPr>
                <w:lang w:eastAsia="fr-FR"/>
              </w:rPr>
              <w:t xml:space="preserve"> tout au long des phases de tests et lors des pré-audits</w:t>
            </w:r>
            <w:r w:rsidR="00D702F6">
              <w:rPr>
                <w:lang w:eastAsia="fr-FR"/>
              </w:rPr>
              <w:t xml:space="preserve"> ;</w:t>
            </w:r>
          </w:p>
          <w:p w14:paraId="756FC5F0" w14:textId="3122115C" w:rsidR="00D702F6" w:rsidRDefault="00BA7EFA">
            <w:pPr>
              <w:pStyle w:val="Paragraphedeliste"/>
              <w:numPr>
                <w:ilvl w:val="0"/>
                <w:numId w:val="49"/>
              </w:numPr>
              <w:rPr>
                <w:lang w:eastAsia="fr-FR"/>
              </w:rPr>
            </w:pPr>
            <w:r>
              <w:rPr>
                <w:lang w:eastAsia="fr-FR"/>
              </w:rPr>
              <w:t>Élaborer</w:t>
            </w:r>
            <w:r w:rsidR="00D702F6">
              <w:rPr>
                <w:lang w:eastAsia="fr-FR"/>
              </w:rPr>
              <w:t xml:space="preserve"> des standards de conception </w:t>
            </w:r>
            <w:r w:rsidR="00C70D0D">
              <w:rPr>
                <w:lang w:eastAsia="fr-FR"/>
              </w:rPr>
              <w:t xml:space="preserve">au sein des </w:t>
            </w:r>
            <w:r w:rsidR="00D702F6" w:rsidRPr="00F234C7">
              <w:rPr>
                <w:i/>
                <w:iCs/>
                <w:lang w:eastAsia="fr-FR"/>
              </w:rPr>
              <w:t xml:space="preserve">design </w:t>
            </w:r>
            <w:proofErr w:type="spellStart"/>
            <w:r w:rsidR="00D702F6" w:rsidRPr="00F234C7">
              <w:rPr>
                <w:i/>
                <w:iCs/>
                <w:lang w:eastAsia="fr-FR"/>
              </w:rPr>
              <w:t>system</w:t>
            </w:r>
            <w:r w:rsidR="00110AD0">
              <w:rPr>
                <w:i/>
                <w:iCs/>
                <w:lang w:eastAsia="fr-FR"/>
              </w:rPr>
              <w:t>s</w:t>
            </w:r>
            <w:proofErr w:type="spellEnd"/>
            <w:r w:rsidR="00C70D0D">
              <w:rPr>
                <w:i/>
                <w:iCs/>
                <w:lang w:eastAsia="fr-FR"/>
              </w:rPr>
              <w:t>,</w:t>
            </w:r>
            <w:r w:rsidR="00D702F6">
              <w:rPr>
                <w:lang w:eastAsia="fr-FR"/>
              </w:rPr>
              <w:t xml:space="preserve"> intégrant par défaut les exigences d’accessibilité numérique ;</w:t>
            </w:r>
          </w:p>
          <w:p w14:paraId="5C097595" w14:textId="0B885559" w:rsidR="00D702F6" w:rsidRDefault="00C70D0D">
            <w:pPr>
              <w:pStyle w:val="Paragraphedeliste"/>
              <w:numPr>
                <w:ilvl w:val="0"/>
                <w:numId w:val="49"/>
              </w:numPr>
              <w:rPr>
                <w:lang w:eastAsia="fr-FR"/>
              </w:rPr>
            </w:pPr>
            <w:r>
              <w:rPr>
                <w:lang w:eastAsia="fr-FR"/>
              </w:rPr>
              <w:t>Inclure</w:t>
            </w:r>
            <w:r w:rsidR="00D327BA">
              <w:rPr>
                <w:lang w:eastAsia="fr-FR"/>
              </w:rPr>
              <w:t>,</w:t>
            </w:r>
            <w:r>
              <w:rPr>
                <w:lang w:eastAsia="fr-FR"/>
              </w:rPr>
              <w:t xml:space="preserve"> </w:t>
            </w:r>
            <w:r w:rsidR="00D702F6">
              <w:rPr>
                <w:lang w:eastAsia="fr-FR"/>
              </w:rPr>
              <w:t xml:space="preserve">dans le </w:t>
            </w:r>
            <w:r w:rsidR="00D702F6" w:rsidRPr="00F234C7">
              <w:rPr>
                <w:i/>
                <w:iCs/>
                <w:lang w:eastAsia="fr-FR"/>
              </w:rPr>
              <w:t>design system</w:t>
            </w:r>
            <w:r w:rsidR="00D702F6">
              <w:rPr>
                <w:lang w:eastAsia="fr-FR"/>
              </w:rPr>
              <w:t xml:space="preserve"> des projets</w:t>
            </w:r>
            <w:r w:rsidR="00D327BA">
              <w:rPr>
                <w:lang w:eastAsia="fr-FR"/>
              </w:rPr>
              <w:t>,</w:t>
            </w:r>
            <w:r w:rsidR="00D702F6">
              <w:rPr>
                <w:lang w:eastAsia="fr-FR"/>
              </w:rPr>
              <w:t xml:space="preserve"> des règles de blocage ou d’accord suivant le respect ou non des critères d’accessibilité numérique ;</w:t>
            </w:r>
          </w:p>
          <w:p w14:paraId="71F0B675" w14:textId="59B88FED" w:rsidR="00D702F6" w:rsidRDefault="00D702F6">
            <w:pPr>
              <w:pStyle w:val="Paragraphedeliste"/>
              <w:numPr>
                <w:ilvl w:val="0"/>
                <w:numId w:val="49"/>
              </w:numPr>
              <w:rPr>
                <w:lang w:eastAsia="fr-FR"/>
              </w:rPr>
            </w:pPr>
            <w:r>
              <w:rPr>
                <w:lang w:eastAsia="fr-FR"/>
              </w:rPr>
              <w:t xml:space="preserve">S’outiller (formation, accompagnement externe, audits, suivi automatique de tests…) et veiller à la formation des développeurs, en particulier </w:t>
            </w:r>
            <w:r w:rsidR="00981EEC">
              <w:rPr>
                <w:lang w:eastAsia="fr-FR"/>
              </w:rPr>
              <w:t xml:space="preserve">concernant les </w:t>
            </w:r>
            <w:r>
              <w:rPr>
                <w:lang w:eastAsia="fr-FR"/>
              </w:rPr>
              <w:t>outils de tests et l’interprétation des résultats ;</w:t>
            </w:r>
          </w:p>
          <w:p w14:paraId="3A94A4D5" w14:textId="5B903DD7" w:rsidR="00D702F6" w:rsidRDefault="00D702F6">
            <w:pPr>
              <w:pStyle w:val="Paragraphedeliste"/>
              <w:numPr>
                <w:ilvl w:val="0"/>
                <w:numId w:val="49"/>
              </w:numPr>
              <w:rPr>
                <w:lang w:eastAsia="fr-FR"/>
              </w:rPr>
            </w:pPr>
            <w:r>
              <w:rPr>
                <w:lang w:eastAsia="fr-FR"/>
              </w:rPr>
              <w:t xml:space="preserve">Mettre régulièrement à jour la déclaration d’accessibilité numérique, </w:t>
            </w:r>
            <w:r w:rsidR="0056162A">
              <w:rPr>
                <w:lang w:eastAsia="fr-FR"/>
              </w:rPr>
              <w:t>tâche dévolue aux</w:t>
            </w:r>
            <w:r>
              <w:rPr>
                <w:lang w:eastAsia="fr-FR"/>
              </w:rPr>
              <w:t xml:space="preserve"> référents uniquement ;</w:t>
            </w:r>
          </w:p>
          <w:p w14:paraId="13BE55C4" w14:textId="4942A2E5" w:rsidR="00D702F6" w:rsidRPr="00C43137" w:rsidRDefault="00D702F6">
            <w:pPr>
              <w:pStyle w:val="Paragraphedeliste"/>
              <w:numPr>
                <w:ilvl w:val="0"/>
                <w:numId w:val="49"/>
              </w:numPr>
              <w:rPr>
                <w:lang w:eastAsia="fr-FR"/>
              </w:rPr>
            </w:pPr>
            <w:r>
              <w:rPr>
                <w:lang w:eastAsia="fr-FR"/>
              </w:rPr>
              <w:t>Suivre l’évolution et les axes d'amélioration, à travers un tableau de bord de KPI «</w:t>
            </w:r>
            <w:r w:rsidR="0056162A">
              <w:rPr>
                <w:lang w:eastAsia="fr-FR"/>
              </w:rPr>
              <w:t> </w:t>
            </w:r>
            <w:r>
              <w:rPr>
                <w:lang w:eastAsia="fr-FR"/>
              </w:rPr>
              <w:t xml:space="preserve">accessibilité numérique ». </w:t>
            </w:r>
          </w:p>
        </w:tc>
      </w:tr>
    </w:tbl>
    <w:p w14:paraId="1882F531" w14:textId="192AD512" w:rsidR="00D702F6" w:rsidRPr="00D702F6" w:rsidRDefault="00D702F6" w:rsidP="00D702F6">
      <w:pPr>
        <w:rPr>
          <w:lang w:eastAsia="fr-FR"/>
        </w:rPr>
      </w:pPr>
      <w:r w:rsidRPr="00D702F6">
        <w:rPr>
          <w:lang w:eastAsia="fr-FR"/>
        </w:rPr>
        <w:br/>
      </w:r>
      <w:r w:rsidRPr="00D702F6">
        <w:rPr>
          <w:lang w:eastAsia="fr-FR"/>
        </w:rPr>
        <w:br/>
      </w:r>
    </w:p>
    <w:p w14:paraId="73052932" w14:textId="3E1CE167" w:rsidR="00D702F6" w:rsidRDefault="00CC3540" w:rsidP="00D702F6">
      <w:pPr>
        <w:pStyle w:val="Titre1"/>
      </w:pPr>
      <w:bookmarkStart w:id="73" w:name="_Toc230077029"/>
      <w:r>
        <w:lastRenderedPageBreak/>
        <w:t xml:space="preserve">L’essentiel des </w:t>
      </w:r>
      <w:r w:rsidR="0098395F">
        <w:t>Principes d’action</w:t>
      </w:r>
      <w:r w:rsidR="0098395F" w:rsidRPr="00D702F6">
        <w:t xml:space="preserve"> </w:t>
      </w:r>
      <w:r w:rsidR="00D702F6" w:rsidRPr="00D702F6">
        <w:t xml:space="preserve">pour accompagner le passage </w:t>
      </w:r>
      <w:r>
        <w:t>à</w:t>
      </w:r>
      <w:r w:rsidR="00D702F6" w:rsidRPr="00D702F6">
        <w:t xml:space="preserve"> l’échelle</w:t>
      </w:r>
      <w:bookmarkEnd w:id="73"/>
    </w:p>
    <w:p w14:paraId="6CB02CA1" w14:textId="5ACF686C" w:rsidR="00010689" w:rsidRDefault="00010689" w:rsidP="00010689">
      <w:pPr>
        <w:tabs>
          <w:tab w:val="left" w:pos="1208"/>
        </w:tabs>
        <w:rPr>
          <w:lang w:eastAsia="fr-FR"/>
        </w:rPr>
      </w:pPr>
      <w:r>
        <w:rPr>
          <w:lang w:eastAsia="fr-FR"/>
        </w:rPr>
        <w:t>Après avoir examiné les exigences du cadre réglementaire, défini les principes d'une gouvernance structurée et détaillé les mécanismes de pilotage indispensables au déploiement</w:t>
      </w:r>
      <w:r w:rsidR="00037982">
        <w:rPr>
          <w:lang w:eastAsia="fr-FR"/>
        </w:rPr>
        <w:t xml:space="preserve"> à l’échelle de l’accessibilité numérique</w:t>
      </w:r>
      <w:r>
        <w:rPr>
          <w:lang w:eastAsia="fr-FR"/>
        </w:rPr>
        <w:t>, cette quatrième partie s'attache</w:t>
      </w:r>
      <w:r w:rsidR="00C21ECB">
        <w:rPr>
          <w:lang w:eastAsia="fr-FR"/>
        </w:rPr>
        <w:t xml:space="preserve"> à délivrer une </w:t>
      </w:r>
      <w:r w:rsidR="00DC6797" w:rsidRPr="00402C31">
        <w:rPr>
          <w:b/>
          <w:bCs/>
          <w:lang w:eastAsia="fr-FR"/>
        </w:rPr>
        <w:t>vue synthétique</w:t>
      </w:r>
      <w:r w:rsidR="00C21ECB" w:rsidRPr="00402C31">
        <w:rPr>
          <w:b/>
          <w:bCs/>
          <w:lang w:eastAsia="fr-FR"/>
        </w:rPr>
        <w:t xml:space="preserve"> des principes essentiels </w:t>
      </w:r>
      <w:r w:rsidR="00C21ECB">
        <w:rPr>
          <w:lang w:eastAsia="fr-FR"/>
        </w:rPr>
        <w:t>à ne pas manquer pour mener à bien les démarches d’accessibilité numérique.</w:t>
      </w:r>
      <w:r>
        <w:rPr>
          <w:lang w:eastAsia="fr-FR"/>
        </w:rPr>
        <w:t xml:space="preserve"> </w:t>
      </w:r>
    </w:p>
    <w:p w14:paraId="358E7FE9" w14:textId="0B1D1504" w:rsidR="00010689" w:rsidRDefault="00010689" w:rsidP="00010689">
      <w:pPr>
        <w:tabs>
          <w:tab w:val="left" w:pos="1208"/>
        </w:tabs>
        <w:rPr>
          <w:lang w:eastAsia="fr-FR"/>
        </w:rPr>
      </w:pPr>
      <w:r>
        <w:rPr>
          <w:lang w:eastAsia="fr-FR"/>
        </w:rPr>
        <w:t xml:space="preserve">Conçue comme la synthèse pratique des réflexions du groupe de travail, cette section a pour ambition de répondre aux exigences de </w:t>
      </w:r>
      <w:r w:rsidR="00402C31">
        <w:rPr>
          <w:lang w:eastAsia="fr-FR"/>
        </w:rPr>
        <w:t>déploiement à l’échelle de l’accessibilité numérique</w:t>
      </w:r>
      <w:r>
        <w:rPr>
          <w:lang w:eastAsia="fr-FR"/>
        </w:rPr>
        <w:t xml:space="preserve"> et </w:t>
      </w:r>
      <w:r w:rsidR="00402C31">
        <w:rPr>
          <w:lang w:eastAsia="fr-FR"/>
        </w:rPr>
        <w:t>propose</w:t>
      </w:r>
      <w:r>
        <w:rPr>
          <w:lang w:eastAsia="fr-FR"/>
        </w:rPr>
        <w:t xml:space="preserve"> deux </w:t>
      </w:r>
      <w:r w:rsidR="00402C31">
        <w:rPr>
          <w:lang w:eastAsia="fr-FR"/>
        </w:rPr>
        <w:t xml:space="preserve">outils opérationnels </w:t>
      </w:r>
      <w:r>
        <w:rPr>
          <w:lang w:eastAsia="fr-FR"/>
        </w:rPr>
        <w:t>:</w:t>
      </w:r>
    </w:p>
    <w:p w14:paraId="2334861A" w14:textId="37428477" w:rsidR="00010689" w:rsidRDefault="00402C31">
      <w:pPr>
        <w:pStyle w:val="Paragraphedeliste"/>
        <w:numPr>
          <w:ilvl w:val="0"/>
          <w:numId w:val="68"/>
        </w:numPr>
        <w:tabs>
          <w:tab w:val="left" w:pos="1208"/>
        </w:tabs>
        <w:ind w:left="714" w:hanging="357"/>
        <w:rPr>
          <w:lang w:eastAsia="fr-FR"/>
        </w:rPr>
      </w:pPr>
      <w:r>
        <w:rPr>
          <w:b/>
          <w:bCs/>
          <w:lang w:eastAsia="fr-FR"/>
        </w:rPr>
        <w:t>U</w:t>
      </w:r>
      <w:r w:rsidR="00010689" w:rsidRPr="00110AD0">
        <w:rPr>
          <w:b/>
          <w:bCs/>
          <w:lang w:eastAsia="fr-FR"/>
        </w:rPr>
        <w:t>ne grille d'action opérationnelle</w:t>
      </w:r>
      <w:r>
        <w:rPr>
          <w:b/>
          <w:bCs/>
          <w:lang w:eastAsia="fr-FR"/>
        </w:rPr>
        <w:t xml:space="preserve"> (4.1)</w:t>
      </w:r>
      <w:r w:rsidR="00010689">
        <w:rPr>
          <w:lang w:eastAsia="fr-FR"/>
        </w:rPr>
        <w:t xml:space="preserve"> : face aux points de blocage récurrents (fonctionnement en silos, hétérogénéité des compétences, démonstration de la rentabilité), cette partie recense l'ensemble des leviers stratégiques mobilisables</w:t>
      </w:r>
      <w:r w:rsidR="00D327BA">
        <w:rPr>
          <w:lang w:eastAsia="fr-FR"/>
        </w:rPr>
        <w:t xml:space="preserve"> et</w:t>
      </w:r>
      <w:r w:rsidR="00010689">
        <w:rPr>
          <w:lang w:eastAsia="fr-FR"/>
        </w:rPr>
        <w:t xml:space="preserve"> constitue un référentiel d'actions directement applicables par les organisations pour engager leur transformation.</w:t>
      </w:r>
    </w:p>
    <w:p w14:paraId="4A84813C" w14:textId="7428F515" w:rsidR="00010689" w:rsidRDefault="00402C31">
      <w:pPr>
        <w:pStyle w:val="Paragraphedeliste"/>
        <w:numPr>
          <w:ilvl w:val="0"/>
          <w:numId w:val="68"/>
        </w:numPr>
        <w:tabs>
          <w:tab w:val="left" w:pos="1208"/>
        </w:tabs>
        <w:rPr>
          <w:lang w:eastAsia="fr-FR"/>
        </w:rPr>
      </w:pPr>
      <w:r>
        <w:rPr>
          <w:b/>
          <w:bCs/>
          <w:lang w:eastAsia="fr-FR"/>
        </w:rPr>
        <w:t xml:space="preserve">Une méthodologie </w:t>
      </w:r>
      <w:r w:rsidR="00010689" w:rsidRPr="00110AD0">
        <w:rPr>
          <w:b/>
          <w:bCs/>
          <w:lang w:eastAsia="fr-FR"/>
        </w:rPr>
        <w:t>de résolution</w:t>
      </w:r>
      <w:r w:rsidR="00010689">
        <w:rPr>
          <w:lang w:eastAsia="fr-FR"/>
        </w:rPr>
        <w:t xml:space="preserve"> </w:t>
      </w:r>
      <w:r w:rsidR="00010689" w:rsidRPr="00110AD0">
        <w:rPr>
          <w:b/>
          <w:bCs/>
          <w:lang w:eastAsia="fr-FR"/>
        </w:rPr>
        <w:t>de</w:t>
      </w:r>
      <w:r>
        <w:rPr>
          <w:b/>
          <w:bCs/>
          <w:lang w:eastAsia="fr-FR"/>
        </w:rPr>
        <w:t>s</w:t>
      </w:r>
      <w:r w:rsidR="00010689" w:rsidRPr="00110AD0">
        <w:rPr>
          <w:b/>
          <w:bCs/>
          <w:lang w:eastAsia="fr-FR"/>
        </w:rPr>
        <w:t xml:space="preserve"> trois chantiers</w:t>
      </w:r>
      <w:r w:rsidR="00010689">
        <w:rPr>
          <w:lang w:eastAsia="fr-FR"/>
        </w:rPr>
        <w:t xml:space="preserve"> identifiés comme prioritaires par les participants du groupe</w:t>
      </w:r>
      <w:r>
        <w:rPr>
          <w:lang w:eastAsia="fr-FR"/>
        </w:rPr>
        <w:t xml:space="preserve"> </w:t>
      </w:r>
      <w:r w:rsidRPr="00402C31">
        <w:rPr>
          <w:b/>
          <w:bCs/>
          <w:lang w:eastAsia="fr-FR"/>
        </w:rPr>
        <w:t>(4.2)</w:t>
      </w:r>
      <w:r w:rsidR="00010689">
        <w:rPr>
          <w:lang w:eastAsia="fr-FR"/>
        </w:rPr>
        <w:t xml:space="preserve"> :</w:t>
      </w:r>
    </w:p>
    <w:p w14:paraId="6C78991F" w14:textId="719FD60F" w:rsidR="00010689" w:rsidRDefault="00010689">
      <w:pPr>
        <w:pStyle w:val="Paragraphedeliste"/>
        <w:numPr>
          <w:ilvl w:val="2"/>
          <w:numId w:val="76"/>
        </w:numPr>
        <w:tabs>
          <w:tab w:val="left" w:pos="1208"/>
        </w:tabs>
        <w:rPr>
          <w:lang w:eastAsia="fr-FR"/>
        </w:rPr>
      </w:pPr>
      <w:r>
        <w:rPr>
          <w:lang w:eastAsia="fr-FR"/>
        </w:rPr>
        <w:t>Investir dans la sensibilisation et les formations adaptées</w:t>
      </w:r>
      <w:r w:rsidR="00D327BA">
        <w:rPr>
          <w:lang w:eastAsia="fr-FR"/>
        </w:rPr>
        <w:t> ;</w:t>
      </w:r>
      <w:r>
        <w:rPr>
          <w:lang w:eastAsia="fr-FR"/>
        </w:rPr>
        <w:t xml:space="preserve"> </w:t>
      </w:r>
    </w:p>
    <w:p w14:paraId="69973B96" w14:textId="7FCE2408" w:rsidR="00010689" w:rsidRDefault="00010689">
      <w:pPr>
        <w:pStyle w:val="Paragraphedeliste"/>
        <w:numPr>
          <w:ilvl w:val="2"/>
          <w:numId w:val="76"/>
        </w:numPr>
        <w:tabs>
          <w:tab w:val="left" w:pos="1208"/>
        </w:tabs>
        <w:rPr>
          <w:lang w:eastAsia="fr-FR"/>
        </w:rPr>
      </w:pPr>
      <w:r>
        <w:rPr>
          <w:lang w:eastAsia="fr-FR"/>
        </w:rPr>
        <w:t>Avoir une gouvernance structurée et suivie dans le temps avec des instances et des comités dédiés</w:t>
      </w:r>
      <w:r w:rsidR="00D327BA">
        <w:rPr>
          <w:lang w:eastAsia="fr-FR"/>
        </w:rPr>
        <w:t> ;</w:t>
      </w:r>
    </w:p>
    <w:p w14:paraId="1E877073" w14:textId="7FA14205" w:rsidR="00010689" w:rsidRDefault="00010689">
      <w:pPr>
        <w:pStyle w:val="Paragraphedeliste"/>
        <w:numPr>
          <w:ilvl w:val="2"/>
          <w:numId w:val="76"/>
        </w:numPr>
        <w:tabs>
          <w:tab w:val="left" w:pos="1208"/>
        </w:tabs>
        <w:rPr>
          <w:lang w:eastAsia="fr-FR"/>
        </w:rPr>
      </w:pPr>
      <w:r>
        <w:rPr>
          <w:lang w:eastAsia="fr-FR"/>
        </w:rPr>
        <w:t>Assurer un suivi itératif sur tout le cycle de vie des projets</w:t>
      </w:r>
      <w:r w:rsidR="00D327BA">
        <w:rPr>
          <w:lang w:eastAsia="fr-FR"/>
        </w:rPr>
        <w:t>.</w:t>
      </w:r>
      <w:r>
        <w:rPr>
          <w:lang w:eastAsia="fr-FR"/>
        </w:rPr>
        <w:t xml:space="preserve"> </w:t>
      </w:r>
    </w:p>
    <w:p w14:paraId="6ACB4898" w14:textId="77777777" w:rsidR="00010689" w:rsidRDefault="00010689" w:rsidP="00A76094">
      <w:pPr>
        <w:pStyle w:val="Paragraphedeliste"/>
        <w:tabs>
          <w:tab w:val="left" w:pos="1208"/>
        </w:tabs>
        <w:ind w:left="1440"/>
        <w:rPr>
          <w:lang w:eastAsia="fr-FR"/>
        </w:rPr>
      </w:pPr>
    </w:p>
    <w:p w14:paraId="1124D45E" w14:textId="77777777" w:rsidR="00014773" w:rsidRDefault="00014773" w:rsidP="00014773">
      <w:pPr>
        <w:tabs>
          <w:tab w:val="left" w:pos="1208"/>
        </w:tabs>
        <w:rPr>
          <w:lang w:eastAsia="fr-FR"/>
        </w:rPr>
      </w:pPr>
    </w:p>
    <w:p w14:paraId="721CCD7A" w14:textId="77777777" w:rsidR="00010689" w:rsidRDefault="00010689" w:rsidP="00014773">
      <w:pPr>
        <w:tabs>
          <w:tab w:val="left" w:pos="1208"/>
        </w:tabs>
        <w:rPr>
          <w:lang w:eastAsia="fr-FR"/>
        </w:rPr>
      </w:pPr>
    </w:p>
    <w:p w14:paraId="01B31724" w14:textId="77777777" w:rsidR="00010689" w:rsidRDefault="00010689" w:rsidP="00014773">
      <w:pPr>
        <w:tabs>
          <w:tab w:val="left" w:pos="1208"/>
        </w:tabs>
        <w:rPr>
          <w:lang w:eastAsia="fr-FR"/>
        </w:rPr>
      </w:pPr>
    </w:p>
    <w:p w14:paraId="674F48EA" w14:textId="77777777" w:rsidR="00010689" w:rsidRDefault="00010689" w:rsidP="00014773">
      <w:pPr>
        <w:tabs>
          <w:tab w:val="left" w:pos="1208"/>
        </w:tabs>
        <w:rPr>
          <w:lang w:eastAsia="fr-FR"/>
        </w:rPr>
      </w:pPr>
    </w:p>
    <w:p w14:paraId="6589E91D" w14:textId="77777777" w:rsidR="00014773" w:rsidRDefault="00014773" w:rsidP="00014773">
      <w:pPr>
        <w:tabs>
          <w:tab w:val="left" w:pos="1208"/>
        </w:tabs>
        <w:rPr>
          <w:lang w:eastAsia="fr-FR"/>
        </w:rPr>
      </w:pPr>
    </w:p>
    <w:p w14:paraId="0AE0B4D3" w14:textId="77777777" w:rsidR="00014773" w:rsidRDefault="00014773" w:rsidP="00014773">
      <w:pPr>
        <w:tabs>
          <w:tab w:val="left" w:pos="1208"/>
        </w:tabs>
        <w:rPr>
          <w:lang w:eastAsia="fr-FR"/>
        </w:rPr>
      </w:pPr>
    </w:p>
    <w:p w14:paraId="29CB5558" w14:textId="77777777" w:rsidR="00014773" w:rsidRDefault="00014773" w:rsidP="00014773">
      <w:pPr>
        <w:tabs>
          <w:tab w:val="left" w:pos="1208"/>
        </w:tabs>
        <w:rPr>
          <w:lang w:eastAsia="fr-FR"/>
        </w:rPr>
      </w:pPr>
    </w:p>
    <w:p w14:paraId="5D4A5B69" w14:textId="77777777" w:rsidR="00014773" w:rsidRDefault="00014773" w:rsidP="00014773">
      <w:pPr>
        <w:tabs>
          <w:tab w:val="left" w:pos="1208"/>
        </w:tabs>
        <w:rPr>
          <w:lang w:eastAsia="fr-FR"/>
        </w:rPr>
      </w:pPr>
    </w:p>
    <w:p w14:paraId="556261EE" w14:textId="77777777" w:rsidR="00014773" w:rsidRDefault="00014773" w:rsidP="00014773">
      <w:pPr>
        <w:tabs>
          <w:tab w:val="left" w:pos="1208"/>
        </w:tabs>
        <w:rPr>
          <w:lang w:eastAsia="fr-FR"/>
        </w:rPr>
      </w:pPr>
    </w:p>
    <w:p w14:paraId="126E0AD0" w14:textId="1D5C709A" w:rsidR="00402C31" w:rsidRPr="00402C31" w:rsidRDefault="00037982" w:rsidP="00402C31">
      <w:pPr>
        <w:pStyle w:val="Titre2"/>
        <w:rPr>
          <w:lang w:val="fr-FR"/>
        </w:rPr>
      </w:pPr>
      <w:bookmarkStart w:id="74" w:name="_Toc230077030"/>
      <w:r w:rsidRPr="00037982">
        <w:rPr>
          <w:lang w:val="fr-FR"/>
        </w:rPr>
        <w:lastRenderedPageBreak/>
        <w:t>Points de blocage et leviers de résolution identifiés par le groupe de travail</w:t>
      </w:r>
      <w:bookmarkEnd w:id="74"/>
    </w:p>
    <w:tbl>
      <w:tblPr>
        <w:tblW w:w="9498" w:type="dxa"/>
        <w:tblInd w:w="-150" w:type="dxa"/>
        <w:tblCellMar>
          <w:top w:w="15" w:type="dxa"/>
          <w:left w:w="15" w:type="dxa"/>
          <w:bottom w:w="15" w:type="dxa"/>
          <w:right w:w="15" w:type="dxa"/>
        </w:tblCellMar>
        <w:tblLook w:val="04A0" w:firstRow="1" w:lastRow="0" w:firstColumn="1" w:lastColumn="0" w:noHBand="0" w:noVBand="1"/>
      </w:tblPr>
      <w:tblGrid>
        <w:gridCol w:w="3119"/>
        <w:gridCol w:w="6379"/>
      </w:tblGrid>
      <w:tr w:rsidR="00D702F6" w:rsidRPr="00D702F6" w14:paraId="7273DF40" w14:textId="77777777" w:rsidTr="00C6698B">
        <w:trPr>
          <w:trHeight w:val="409"/>
        </w:trPr>
        <w:tc>
          <w:tcPr>
            <w:tcW w:w="3119" w:type="dxa"/>
            <w:tcBorders>
              <w:top w:val="single" w:sz="6" w:space="0" w:color="CCCCCC"/>
              <w:left w:val="single" w:sz="6" w:space="0" w:color="CCCCCC"/>
              <w:bottom w:val="single" w:sz="6" w:space="0" w:color="CCCCCC"/>
              <w:right w:val="single" w:sz="6" w:space="0" w:color="CCCCCC"/>
            </w:tcBorders>
            <w:shd w:val="clear" w:color="auto" w:fill="155E48"/>
            <w:tcMar>
              <w:top w:w="40" w:type="dxa"/>
              <w:left w:w="40" w:type="dxa"/>
              <w:bottom w:w="40" w:type="dxa"/>
              <w:right w:w="40" w:type="dxa"/>
            </w:tcMar>
            <w:hideMark/>
          </w:tcPr>
          <w:p w14:paraId="280A5F8C" w14:textId="41772567" w:rsidR="00D702F6" w:rsidRPr="00D702F6" w:rsidRDefault="00D702F6" w:rsidP="00D702F6">
            <w:pPr>
              <w:jc w:val="center"/>
              <w:rPr>
                <w:b/>
                <w:bCs/>
                <w:color w:val="FFFFFF" w:themeColor="background1"/>
                <w:lang w:eastAsia="fr-FR"/>
              </w:rPr>
            </w:pPr>
            <w:r w:rsidRPr="00D702F6">
              <w:rPr>
                <w:b/>
                <w:bCs/>
                <w:color w:val="FFFFFF" w:themeColor="background1"/>
                <w:lang w:eastAsia="fr-FR"/>
              </w:rPr>
              <w:t>Points de blocage identifiés</w:t>
            </w:r>
          </w:p>
        </w:tc>
        <w:tc>
          <w:tcPr>
            <w:tcW w:w="6379" w:type="dxa"/>
            <w:tcBorders>
              <w:top w:val="single" w:sz="6" w:space="0" w:color="CCCCCC"/>
              <w:left w:val="single" w:sz="6" w:space="0" w:color="CCCCCC"/>
              <w:bottom w:val="single" w:sz="6" w:space="0" w:color="CCCCCC"/>
              <w:right w:val="single" w:sz="6" w:space="0" w:color="CCCCCC"/>
            </w:tcBorders>
            <w:shd w:val="clear" w:color="auto" w:fill="155E48"/>
            <w:tcMar>
              <w:top w:w="40" w:type="dxa"/>
              <w:left w:w="40" w:type="dxa"/>
              <w:bottom w:w="40" w:type="dxa"/>
              <w:right w:w="40" w:type="dxa"/>
            </w:tcMar>
            <w:hideMark/>
          </w:tcPr>
          <w:p w14:paraId="3100456B" w14:textId="77777777" w:rsidR="00D702F6" w:rsidRPr="00D702F6" w:rsidRDefault="00D702F6" w:rsidP="00D702F6">
            <w:pPr>
              <w:jc w:val="center"/>
              <w:rPr>
                <w:b/>
                <w:bCs/>
                <w:color w:val="FFFFFF" w:themeColor="background1"/>
                <w:lang w:eastAsia="fr-FR"/>
              </w:rPr>
            </w:pPr>
            <w:r w:rsidRPr="00D702F6">
              <w:rPr>
                <w:b/>
                <w:bCs/>
                <w:color w:val="FFFFFF" w:themeColor="background1"/>
                <w:lang w:eastAsia="fr-FR"/>
              </w:rPr>
              <w:t>Leviers de résolution stratégiques</w:t>
            </w:r>
          </w:p>
        </w:tc>
      </w:tr>
      <w:tr w:rsidR="00D702F6" w:rsidRPr="00D702F6" w14:paraId="5556F088" w14:textId="77777777" w:rsidTr="00C6698B">
        <w:trPr>
          <w:trHeight w:val="1430"/>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177F58B3" w14:textId="77777777" w:rsidR="00D702F6" w:rsidRPr="00D702F6" w:rsidRDefault="00D702F6" w:rsidP="00014773">
            <w:pPr>
              <w:ind w:left="99" w:right="243"/>
              <w:jc w:val="left"/>
              <w:rPr>
                <w:lang w:eastAsia="fr-FR"/>
              </w:rPr>
            </w:pPr>
            <w:r w:rsidRPr="00D702F6">
              <w:rPr>
                <w:b/>
                <w:bCs/>
                <w:lang w:eastAsia="fr-FR"/>
              </w:rPr>
              <w:t>Organisation en silos, manque d’appui et de coordination</w:t>
            </w:r>
          </w:p>
          <w:p w14:paraId="768D3E70" w14:textId="29BD2434" w:rsidR="00D702F6" w:rsidRPr="00D702F6" w:rsidRDefault="00D702F6" w:rsidP="00646CD1">
            <w:pPr>
              <w:ind w:left="99" w:right="243"/>
              <w:jc w:val="left"/>
              <w:rPr>
                <w:lang w:eastAsia="fr-FR"/>
              </w:rPr>
            </w:pPr>
            <w:r w:rsidRPr="00D702F6">
              <w:rPr>
                <w:lang w:eastAsia="fr-FR"/>
              </w:rPr>
              <w:t>Difficulté à identifier les parties prenantes et à mobiliser l’ensemble de la chaîne d’action</w:t>
            </w:r>
            <w:r w:rsidR="0056162A">
              <w:rPr>
                <w:lang w:eastAsia="fr-FR"/>
              </w:rPr>
              <w:t>.</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23A1333E" w14:textId="77777777" w:rsidR="00D702F6" w:rsidRPr="00D702F6" w:rsidRDefault="00D702F6" w:rsidP="00037982">
            <w:pPr>
              <w:ind w:right="243"/>
              <w:jc w:val="left"/>
              <w:rPr>
                <w:lang w:eastAsia="fr-FR"/>
              </w:rPr>
            </w:pPr>
            <w:r w:rsidRPr="00D702F6">
              <w:rPr>
                <w:b/>
                <w:bCs/>
                <w:lang w:eastAsia="fr-FR"/>
              </w:rPr>
              <w:t>Gouvernance structurée et transversale</w:t>
            </w:r>
          </w:p>
          <w:p w14:paraId="7A37A25E" w14:textId="77C79E06" w:rsidR="00D702F6" w:rsidRPr="00D702F6" w:rsidRDefault="0056162A">
            <w:pPr>
              <w:numPr>
                <w:ilvl w:val="0"/>
                <w:numId w:val="42"/>
              </w:numPr>
              <w:spacing w:line="276" w:lineRule="auto"/>
              <w:jc w:val="left"/>
              <w:rPr>
                <w:lang w:eastAsia="fr-FR"/>
              </w:rPr>
            </w:pPr>
            <w:r w:rsidRPr="00D702F6">
              <w:rPr>
                <w:lang w:eastAsia="fr-FR"/>
              </w:rPr>
              <w:t>M</w:t>
            </w:r>
            <w:r>
              <w:rPr>
                <w:lang w:eastAsia="fr-FR"/>
              </w:rPr>
              <w:t>ettre</w:t>
            </w:r>
            <w:r w:rsidRPr="00D702F6">
              <w:rPr>
                <w:lang w:eastAsia="fr-FR"/>
              </w:rPr>
              <w:t xml:space="preserve"> </w:t>
            </w:r>
            <w:r w:rsidR="00D702F6" w:rsidRPr="00D702F6">
              <w:rPr>
                <w:lang w:eastAsia="fr-FR"/>
              </w:rPr>
              <w:t xml:space="preserve">en place une </w:t>
            </w:r>
            <w:r w:rsidR="00D702F6" w:rsidRPr="00D702F6">
              <w:rPr>
                <w:i/>
                <w:iCs/>
                <w:lang w:eastAsia="fr-FR"/>
              </w:rPr>
              <w:t xml:space="preserve">Design </w:t>
            </w:r>
            <w:proofErr w:type="spellStart"/>
            <w:r w:rsidR="00D702F6" w:rsidRPr="00D702F6">
              <w:rPr>
                <w:i/>
                <w:iCs/>
                <w:lang w:eastAsia="fr-FR"/>
              </w:rPr>
              <w:t>Authority</w:t>
            </w:r>
            <w:proofErr w:type="spellEnd"/>
            <w:r w:rsidR="00D702F6" w:rsidRPr="00D702F6">
              <w:rPr>
                <w:lang w:eastAsia="fr-FR"/>
              </w:rPr>
              <w:t xml:space="preserve"> ou un comité de pilotage dédié</w:t>
            </w:r>
            <w:r>
              <w:rPr>
                <w:lang w:eastAsia="fr-FR"/>
              </w:rPr>
              <w:t>.</w:t>
            </w:r>
          </w:p>
          <w:p w14:paraId="435CEFFA" w14:textId="367C6C92" w:rsidR="00D702F6" w:rsidRPr="00D702F6" w:rsidRDefault="00710FC2">
            <w:pPr>
              <w:numPr>
                <w:ilvl w:val="0"/>
                <w:numId w:val="42"/>
              </w:numPr>
              <w:spacing w:line="276" w:lineRule="auto"/>
              <w:jc w:val="left"/>
              <w:rPr>
                <w:lang w:eastAsia="fr-FR"/>
              </w:rPr>
            </w:pPr>
            <w:r w:rsidRPr="00710FC2">
              <w:rPr>
                <w:lang w:eastAsia="fr-FR"/>
              </w:rPr>
              <w:t xml:space="preserve">Nommer des référents </w:t>
            </w:r>
            <w:r w:rsidR="00230C35" w:rsidRPr="00230C35">
              <w:rPr>
                <w:lang w:eastAsia="fr-FR"/>
              </w:rPr>
              <w:t>accessibilité numérique</w:t>
            </w:r>
            <w:r w:rsidRPr="00710FC2">
              <w:rPr>
                <w:lang w:eastAsia="fr-FR"/>
              </w:rPr>
              <w:t xml:space="preserve"> au sein des métiers pour relayer la démarche et accompagner les équipes, en complément d’un référent central garant de la cohérence et des arbitrages</w:t>
            </w:r>
            <w:r w:rsidR="0056162A">
              <w:rPr>
                <w:lang w:eastAsia="fr-FR"/>
              </w:rPr>
              <w:t>.</w:t>
            </w:r>
          </w:p>
          <w:p w14:paraId="5F6F1F29" w14:textId="2C484DF5" w:rsidR="00D702F6" w:rsidRPr="00D702F6" w:rsidRDefault="00D702F6">
            <w:pPr>
              <w:numPr>
                <w:ilvl w:val="0"/>
                <w:numId w:val="42"/>
              </w:numPr>
              <w:spacing w:line="276" w:lineRule="auto"/>
              <w:jc w:val="left"/>
              <w:rPr>
                <w:lang w:eastAsia="fr-FR"/>
              </w:rPr>
            </w:pPr>
            <w:r w:rsidRPr="00D702F6">
              <w:rPr>
                <w:lang w:eastAsia="fr-FR"/>
              </w:rPr>
              <w:t>Appuyer la démarche par un sponsoring de haut niveau</w:t>
            </w:r>
            <w:r w:rsidR="0056162A">
              <w:rPr>
                <w:lang w:eastAsia="fr-FR"/>
              </w:rPr>
              <w:t>.</w:t>
            </w:r>
          </w:p>
          <w:p w14:paraId="450B63D3" w14:textId="074A1866" w:rsidR="00D702F6" w:rsidRPr="00D702F6" w:rsidRDefault="00D702F6">
            <w:pPr>
              <w:numPr>
                <w:ilvl w:val="0"/>
                <w:numId w:val="42"/>
              </w:numPr>
              <w:spacing w:line="276" w:lineRule="auto"/>
              <w:jc w:val="left"/>
              <w:rPr>
                <w:lang w:eastAsia="fr-FR"/>
              </w:rPr>
            </w:pPr>
            <w:r w:rsidRPr="00D702F6">
              <w:rPr>
                <w:lang w:eastAsia="fr-FR"/>
              </w:rPr>
              <w:t xml:space="preserve">Identifier précisément les parties prenantes (direction, référents) et travailler en mode </w:t>
            </w:r>
            <w:r w:rsidR="00710FC2">
              <w:rPr>
                <w:lang w:eastAsia="fr-FR"/>
              </w:rPr>
              <w:t>produit.</w:t>
            </w:r>
          </w:p>
          <w:p w14:paraId="61018020" w14:textId="63EEFD17" w:rsidR="00D702F6" w:rsidRPr="00D702F6" w:rsidRDefault="00D702F6">
            <w:pPr>
              <w:numPr>
                <w:ilvl w:val="0"/>
                <w:numId w:val="42"/>
              </w:numPr>
              <w:spacing w:line="276" w:lineRule="auto"/>
              <w:jc w:val="left"/>
              <w:rPr>
                <w:lang w:eastAsia="fr-FR"/>
              </w:rPr>
            </w:pPr>
            <w:r w:rsidRPr="00D702F6">
              <w:rPr>
                <w:lang w:eastAsia="fr-FR"/>
              </w:rPr>
              <w:t>Assurer un suivi dans le temps via des instances dédiées</w:t>
            </w:r>
            <w:r w:rsidR="0056162A">
              <w:rPr>
                <w:lang w:eastAsia="fr-FR"/>
              </w:rPr>
              <w:t>.</w:t>
            </w:r>
          </w:p>
          <w:p w14:paraId="119D29BD" w14:textId="77777777" w:rsidR="00D702F6" w:rsidRPr="00D702F6" w:rsidRDefault="00D702F6" w:rsidP="00BA7EFA">
            <w:pPr>
              <w:jc w:val="left"/>
              <w:rPr>
                <w:lang w:eastAsia="fr-FR"/>
              </w:rPr>
            </w:pPr>
          </w:p>
        </w:tc>
      </w:tr>
      <w:tr w:rsidR="00D702F6" w:rsidRPr="00D702F6" w14:paraId="4ABE6F12" w14:textId="77777777" w:rsidTr="00646CD1">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3566614" w14:textId="77777777" w:rsidR="00D702F6" w:rsidRPr="00D702F6" w:rsidRDefault="00D702F6" w:rsidP="00A76094">
            <w:pPr>
              <w:ind w:left="99" w:right="243"/>
              <w:jc w:val="left"/>
              <w:rPr>
                <w:lang w:eastAsia="fr-FR"/>
              </w:rPr>
            </w:pPr>
            <w:r w:rsidRPr="00D702F6">
              <w:rPr>
                <w:b/>
                <w:bCs/>
                <w:lang w:eastAsia="fr-FR"/>
              </w:rPr>
              <w:t>Compétences en accessibilité hétérogènes</w:t>
            </w:r>
          </w:p>
          <w:p w14:paraId="47E2B9E2" w14:textId="26698A8C" w:rsidR="00D702F6" w:rsidRPr="00D702F6" w:rsidRDefault="00D702F6" w:rsidP="00646CD1">
            <w:pPr>
              <w:ind w:left="99" w:right="243"/>
              <w:jc w:val="left"/>
              <w:rPr>
                <w:lang w:eastAsia="fr-FR"/>
              </w:rPr>
            </w:pPr>
            <w:r w:rsidRPr="00D702F6">
              <w:rPr>
                <w:lang w:eastAsia="fr-FR"/>
              </w:rPr>
              <w:t>Paradoxe des métiers (Com/Marketing) qui pourraient craindre une dégradation de la créativité ou de la qualité de leur travail.</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6001EDD7" w14:textId="77777777" w:rsidR="00D702F6" w:rsidRPr="00D702F6" w:rsidRDefault="00D702F6" w:rsidP="00A76094">
            <w:pPr>
              <w:ind w:left="99" w:right="243"/>
              <w:jc w:val="left"/>
              <w:rPr>
                <w:lang w:eastAsia="fr-FR"/>
              </w:rPr>
            </w:pPr>
            <w:r w:rsidRPr="00D702F6">
              <w:rPr>
                <w:b/>
                <w:bCs/>
                <w:lang w:eastAsia="fr-FR"/>
              </w:rPr>
              <w:t>Formation contextualisée</w:t>
            </w:r>
          </w:p>
          <w:p w14:paraId="450E29AC" w14:textId="0165E3E0" w:rsidR="00D702F6" w:rsidRPr="00D702F6" w:rsidRDefault="00D702F6">
            <w:pPr>
              <w:numPr>
                <w:ilvl w:val="0"/>
                <w:numId w:val="43"/>
              </w:numPr>
              <w:spacing w:line="276" w:lineRule="auto"/>
              <w:jc w:val="left"/>
              <w:rPr>
                <w:lang w:eastAsia="fr-FR"/>
              </w:rPr>
            </w:pPr>
            <w:r w:rsidRPr="00D702F6">
              <w:rPr>
                <w:lang w:eastAsia="fr-FR"/>
              </w:rPr>
              <w:t>Créer de</w:t>
            </w:r>
            <w:r w:rsidR="0056162A">
              <w:rPr>
                <w:lang w:eastAsia="fr-FR"/>
              </w:rPr>
              <w:t>s</w:t>
            </w:r>
            <w:r w:rsidRPr="00D702F6">
              <w:rPr>
                <w:lang w:eastAsia="fr-FR"/>
              </w:rPr>
              <w:t xml:space="preserve"> guides opérationnels par métier (</w:t>
            </w:r>
            <w:proofErr w:type="gramStart"/>
            <w:r w:rsidRPr="00D702F6">
              <w:rPr>
                <w:lang w:eastAsia="fr-FR"/>
              </w:rPr>
              <w:t>ex:</w:t>
            </w:r>
            <w:proofErr w:type="gramEnd"/>
            <w:r w:rsidRPr="00D702F6">
              <w:rPr>
                <w:lang w:eastAsia="fr-FR"/>
              </w:rPr>
              <w:t xml:space="preserve"> InDesign, ligne éditoriale)</w:t>
            </w:r>
            <w:r w:rsidR="0056162A">
              <w:rPr>
                <w:lang w:eastAsia="fr-FR"/>
              </w:rPr>
              <w:t>.</w:t>
            </w:r>
          </w:p>
          <w:p w14:paraId="4B6179C9" w14:textId="53832FFB" w:rsidR="00D702F6" w:rsidRPr="00D702F6" w:rsidRDefault="00D702F6">
            <w:pPr>
              <w:numPr>
                <w:ilvl w:val="0"/>
                <w:numId w:val="43"/>
              </w:numPr>
              <w:spacing w:line="276" w:lineRule="auto"/>
              <w:jc w:val="left"/>
              <w:rPr>
                <w:lang w:eastAsia="fr-FR"/>
              </w:rPr>
            </w:pPr>
            <w:r w:rsidRPr="00D702F6">
              <w:rPr>
                <w:lang w:eastAsia="fr-FR"/>
              </w:rPr>
              <w:t>Valoriser les bénéfices de l’accessibilité (SEO amélioré, note dédiée pour la Direction financière ou juridique)</w:t>
            </w:r>
            <w:r w:rsidR="0056162A">
              <w:rPr>
                <w:lang w:eastAsia="fr-FR"/>
              </w:rPr>
              <w:t>.</w:t>
            </w:r>
          </w:p>
          <w:p w14:paraId="4665CEE1" w14:textId="6DFB20B1" w:rsidR="00D702F6" w:rsidRPr="00D702F6" w:rsidRDefault="00D702F6" w:rsidP="00BA7EFA">
            <w:pPr>
              <w:numPr>
                <w:ilvl w:val="0"/>
                <w:numId w:val="43"/>
              </w:numPr>
              <w:spacing w:line="276" w:lineRule="auto"/>
              <w:jc w:val="left"/>
              <w:rPr>
                <w:lang w:eastAsia="fr-FR"/>
              </w:rPr>
            </w:pPr>
            <w:r w:rsidRPr="00D702F6">
              <w:rPr>
                <w:lang w:eastAsia="fr-FR"/>
              </w:rPr>
              <w:t xml:space="preserve">Sensibiliser systématiquement </w:t>
            </w:r>
            <w:r w:rsidR="00555BB6" w:rsidRPr="00D702F6">
              <w:rPr>
                <w:lang w:eastAsia="fr-FR"/>
              </w:rPr>
              <w:t xml:space="preserve">les collaborateurs </w:t>
            </w:r>
            <w:r w:rsidRPr="00D702F6">
              <w:rPr>
                <w:lang w:eastAsia="fr-FR"/>
              </w:rPr>
              <w:t>aux enjeux d’accessibilité.</w:t>
            </w:r>
          </w:p>
        </w:tc>
      </w:tr>
      <w:tr w:rsidR="00D702F6" w:rsidRPr="00D702F6" w14:paraId="0DAAA49A" w14:textId="77777777" w:rsidTr="00C6698B">
        <w:trPr>
          <w:trHeight w:val="1905"/>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6B7DD82" w14:textId="77777777" w:rsidR="00D702F6" w:rsidRPr="00D702F6" w:rsidRDefault="00D702F6" w:rsidP="00A76094">
            <w:pPr>
              <w:ind w:left="99" w:right="243"/>
              <w:jc w:val="left"/>
              <w:rPr>
                <w:lang w:eastAsia="fr-FR"/>
              </w:rPr>
            </w:pPr>
            <w:r w:rsidRPr="00D702F6">
              <w:rPr>
                <w:b/>
                <w:bCs/>
                <w:lang w:eastAsia="fr-FR"/>
              </w:rPr>
              <w:t>Démontrabilité du ROI</w:t>
            </w:r>
          </w:p>
          <w:p w14:paraId="259C35C5" w14:textId="3A05DA56" w:rsidR="00D702F6" w:rsidRPr="00D702F6" w:rsidRDefault="00D702F6" w:rsidP="00646CD1">
            <w:pPr>
              <w:ind w:left="99" w:right="243"/>
              <w:jc w:val="left"/>
              <w:rPr>
                <w:lang w:eastAsia="fr-FR"/>
              </w:rPr>
            </w:pPr>
            <w:r w:rsidRPr="00D702F6">
              <w:rPr>
                <w:lang w:eastAsia="fr-FR"/>
              </w:rPr>
              <w:t>Rentabilité directe complexe à isoler, coûts difficiles à justifier</w:t>
            </w:r>
            <w:r w:rsidR="0056162A">
              <w:rPr>
                <w:lang w:eastAsia="fr-FR"/>
              </w:rPr>
              <w:t>,</w:t>
            </w:r>
            <w:r w:rsidRPr="00D702F6">
              <w:rPr>
                <w:lang w:eastAsia="fr-FR"/>
              </w:rPr>
              <w:t xml:space="preserve"> et </w:t>
            </w:r>
            <w:r w:rsidR="0056162A" w:rsidRPr="00D702F6">
              <w:rPr>
                <w:lang w:eastAsia="fr-FR"/>
              </w:rPr>
              <w:t>fre</w:t>
            </w:r>
            <w:r w:rsidR="0056162A">
              <w:rPr>
                <w:lang w:eastAsia="fr-FR"/>
              </w:rPr>
              <w:t>ins</w:t>
            </w:r>
            <w:r w:rsidR="0056162A" w:rsidRPr="00D702F6">
              <w:rPr>
                <w:lang w:eastAsia="fr-FR"/>
              </w:rPr>
              <w:t xml:space="preserve"> </w:t>
            </w:r>
            <w:r w:rsidR="0056162A">
              <w:rPr>
                <w:lang w:eastAsia="fr-FR"/>
              </w:rPr>
              <w:t>liés à</w:t>
            </w:r>
            <w:r w:rsidR="0056162A" w:rsidRPr="00D702F6">
              <w:rPr>
                <w:lang w:eastAsia="fr-FR"/>
              </w:rPr>
              <w:t xml:space="preserve"> </w:t>
            </w:r>
            <w:r w:rsidRPr="00D702F6">
              <w:rPr>
                <w:lang w:eastAsia="fr-FR"/>
              </w:rPr>
              <w:t>une rigidité des contrats fournisseurs.</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74C78B6C" w14:textId="77777777" w:rsidR="00D702F6" w:rsidRPr="00D702F6" w:rsidRDefault="00D702F6" w:rsidP="00A76094">
            <w:pPr>
              <w:ind w:left="99" w:right="243"/>
              <w:jc w:val="left"/>
              <w:rPr>
                <w:lang w:eastAsia="fr-FR"/>
              </w:rPr>
            </w:pPr>
            <w:r w:rsidRPr="00D702F6">
              <w:rPr>
                <w:b/>
                <w:bCs/>
                <w:lang w:eastAsia="fr-FR"/>
              </w:rPr>
              <w:t>Pilotage par les risques réputationnels</w:t>
            </w:r>
          </w:p>
          <w:p w14:paraId="263CABAB" w14:textId="4A37EFE9" w:rsidR="00D702F6" w:rsidRPr="00D702F6" w:rsidRDefault="00D702F6">
            <w:pPr>
              <w:numPr>
                <w:ilvl w:val="0"/>
                <w:numId w:val="44"/>
              </w:numPr>
              <w:spacing w:line="276" w:lineRule="auto"/>
              <w:jc w:val="left"/>
              <w:rPr>
                <w:lang w:eastAsia="fr-FR"/>
              </w:rPr>
            </w:pPr>
            <w:r w:rsidRPr="00D702F6">
              <w:rPr>
                <w:lang w:eastAsia="fr-FR"/>
              </w:rPr>
              <w:t>Valorisation de l'accessibilité comme un rempart contre la dégradation de l’image de marque (souvent plus craint</w:t>
            </w:r>
            <w:r w:rsidR="00D327BA">
              <w:rPr>
                <w:lang w:eastAsia="fr-FR"/>
              </w:rPr>
              <w:t>e</w:t>
            </w:r>
            <w:r w:rsidRPr="00D702F6">
              <w:rPr>
                <w:lang w:eastAsia="fr-FR"/>
              </w:rPr>
              <w:t xml:space="preserve"> que la sanction).</w:t>
            </w:r>
          </w:p>
          <w:p w14:paraId="0092754C" w14:textId="34B97BD2" w:rsidR="00D702F6" w:rsidRPr="00D702F6" w:rsidRDefault="00D702F6">
            <w:pPr>
              <w:numPr>
                <w:ilvl w:val="0"/>
                <w:numId w:val="44"/>
              </w:numPr>
              <w:spacing w:line="276" w:lineRule="auto"/>
              <w:jc w:val="left"/>
              <w:rPr>
                <w:lang w:eastAsia="fr-FR"/>
              </w:rPr>
            </w:pPr>
            <w:r w:rsidRPr="00D702F6">
              <w:rPr>
                <w:lang w:eastAsia="fr-FR"/>
              </w:rPr>
              <w:t>Action sur les achats et les clauses de marché (pondération dans les RFP et inscription native)</w:t>
            </w:r>
            <w:r w:rsidR="0056162A">
              <w:rPr>
                <w:lang w:eastAsia="fr-FR"/>
              </w:rPr>
              <w:t>.</w:t>
            </w:r>
          </w:p>
        </w:tc>
      </w:tr>
      <w:tr w:rsidR="00D702F6" w:rsidRPr="00D702F6" w14:paraId="7A613BA8" w14:textId="77777777" w:rsidTr="00646CD1">
        <w:trPr>
          <w:trHeight w:val="648"/>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66796011" w14:textId="56947355" w:rsidR="00D702F6" w:rsidRPr="00D702F6" w:rsidRDefault="00D702F6" w:rsidP="00A76094">
            <w:pPr>
              <w:ind w:left="99" w:right="243"/>
              <w:jc w:val="left"/>
              <w:rPr>
                <w:lang w:eastAsia="fr-FR"/>
              </w:rPr>
            </w:pPr>
            <w:r w:rsidRPr="00D702F6">
              <w:rPr>
                <w:b/>
                <w:bCs/>
                <w:lang w:eastAsia="fr-FR"/>
              </w:rPr>
              <w:t xml:space="preserve">Vision </w:t>
            </w:r>
            <w:r w:rsidR="0056162A">
              <w:rPr>
                <w:b/>
                <w:bCs/>
                <w:lang w:eastAsia="fr-FR"/>
              </w:rPr>
              <w:t xml:space="preserve">« </w:t>
            </w:r>
            <w:proofErr w:type="spellStart"/>
            <w:r w:rsidRPr="00D702F6">
              <w:rPr>
                <w:b/>
                <w:bCs/>
                <w:lang w:eastAsia="fr-FR"/>
              </w:rPr>
              <w:t>court-termiste</w:t>
            </w:r>
            <w:proofErr w:type="spellEnd"/>
            <w:r w:rsidR="0056162A">
              <w:rPr>
                <w:b/>
                <w:bCs/>
                <w:lang w:eastAsia="fr-FR"/>
              </w:rPr>
              <w:t xml:space="preserve"> »</w:t>
            </w:r>
            <w:r w:rsidRPr="00D702F6">
              <w:rPr>
                <w:b/>
                <w:bCs/>
                <w:lang w:eastAsia="fr-FR"/>
              </w:rPr>
              <w:t> </w:t>
            </w:r>
          </w:p>
          <w:p w14:paraId="6BF6F200" w14:textId="69E0A0DB" w:rsidR="00D702F6" w:rsidRPr="00D702F6" w:rsidRDefault="00D702F6" w:rsidP="00646CD1">
            <w:pPr>
              <w:ind w:left="99" w:right="243"/>
              <w:jc w:val="left"/>
              <w:rPr>
                <w:lang w:eastAsia="fr-FR"/>
              </w:rPr>
            </w:pPr>
            <w:r w:rsidRPr="00D702F6">
              <w:rPr>
                <w:lang w:eastAsia="fr-FR"/>
              </w:rPr>
              <w:t>Accessibilité traitée comme une correction de dernière minute plutôt que comme une qualité intrinsèque. </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7BAEDF8F" w14:textId="77777777" w:rsidR="00D702F6" w:rsidRPr="00D702F6" w:rsidRDefault="00D702F6" w:rsidP="00A76094">
            <w:pPr>
              <w:ind w:left="99" w:right="243"/>
              <w:jc w:val="left"/>
              <w:rPr>
                <w:lang w:eastAsia="fr-FR"/>
              </w:rPr>
            </w:pPr>
            <w:r w:rsidRPr="00D702F6">
              <w:rPr>
                <w:b/>
                <w:bCs/>
                <w:lang w:eastAsia="fr-FR"/>
              </w:rPr>
              <w:t>Intégration native au cycle de vie produits</w:t>
            </w:r>
          </w:p>
          <w:p w14:paraId="7EC37100" w14:textId="7765AF25" w:rsidR="00D702F6" w:rsidRPr="00D702F6" w:rsidRDefault="00D702F6">
            <w:pPr>
              <w:numPr>
                <w:ilvl w:val="0"/>
                <w:numId w:val="45"/>
              </w:numPr>
              <w:jc w:val="left"/>
              <w:rPr>
                <w:lang w:eastAsia="fr-FR"/>
              </w:rPr>
            </w:pPr>
            <w:r w:rsidRPr="00D702F6">
              <w:rPr>
                <w:lang w:eastAsia="fr-FR"/>
              </w:rPr>
              <w:t>Penser long terme (vie complète du produit) et intégrer l'</w:t>
            </w:r>
            <w:r w:rsidR="00230C35" w:rsidRPr="00230C35">
              <w:rPr>
                <w:lang w:eastAsia="fr-FR"/>
              </w:rPr>
              <w:t>accessibilité numérique</w:t>
            </w:r>
            <w:r w:rsidRPr="00D702F6">
              <w:rPr>
                <w:lang w:eastAsia="fr-FR"/>
              </w:rPr>
              <w:t xml:space="preserve"> nativement (avant, pendant, après).</w:t>
            </w:r>
          </w:p>
          <w:p w14:paraId="2AD2F72D" w14:textId="77777777" w:rsidR="00D702F6" w:rsidRPr="00D702F6" w:rsidRDefault="00D702F6">
            <w:pPr>
              <w:numPr>
                <w:ilvl w:val="0"/>
                <w:numId w:val="45"/>
              </w:numPr>
              <w:jc w:val="left"/>
              <w:rPr>
                <w:lang w:eastAsia="fr-FR"/>
              </w:rPr>
            </w:pPr>
            <w:r w:rsidRPr="00D702F6">
              <w:rPr>
                <w:lang w:eastAsia="fr-FR"/>
              </w:rPr>
              <w:t xml:space="preserve">Réaliser des </w:t>
            </w:r>
            <w:r w:rsidRPr="00D702F6">
              <w:rPr>
                <w:b/>
                <w:bCs/>
                <w:lang w:eastAsia="fr-FR"/>
              </w:rPr>
              <w:t>pré-audits</w:t>
            </w:r>
            <w:r w:rsidRPr="00D702F6">
              <w:rPr>
                <w:lang w:eastAsia="fr-FR"/>
              </w:rPr>
              <w:t xml:space="preserve"> réguliers et des tests avec des </w:t>
            </w:r>
            <w:r w:rsidRPr="00D702F6">
              <w:rPr>
                <w:b/>
                <w:bCs/>
                <w:lang w:eastAsia="fr-FR"/>
              </w:rPr>
              <w:t>agents en situation de handicap</w:t>
            </w:r>
            <w:r w:rsidRPr="00D702F6">
              <w:rPr>
                <w:lang w:eastAsia="fr-FR"/>
              </w:rPr>
              <w:t>.</w:t>
            </w:r>
          </w:p>
        </w:tc>
      </w:tr>
      <w:tr w:rsidR="00D702F6" w:rsidRPr="00D702F6" w14:paraId="5F9465FD" w14:textId="77777777" w:rsidTr="00646CD1">
        <w:trPr>
          <w:trHeight w:val="4303"/>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7F3A92B7" w14:textId="77777777" w:rsidR="00D702F6" w:rsidRPr="00D702F6" w:rsidRDefault="00D702F6" w:rsidP="00A76094">
            <w:pPr>
              <w:ind w:left="99" w:right="243"/>
              <w:jc w:val="left"/>
              <w:rPr>
                <w:lang w:eastAsia="fr-FR"/>
              </w:rPr>
            </w:pPr>
            <w:r w:rsidRPr="00D702F6">
              <w:rPr>
                <w:b/>
                <w:bCs/>
                <w:lang w:eastAsia="fr-FR"/>
              </w:rPr>
              <w:lastRenderedPageBreak/>
              <w:t>Déficit d’acculturation et de compétences</w:t>
            </w:r>
          </w:p>
          <w:p w14:paraId="0806FBF3" w14:textId="721622DC" w:rsidR="00D702F6" w:rsidRPr="00D702F6" w:rsidRDefault="00D702F6" w:rsidP="00646CD1">
            <w:pPr>
              <w:ind w:left="99" w:right="243"/>
              <w:jc w:val="left"/>
              <w:rPr>
                <w:lang w:eastAsia="fr-FR"/>
              </w:rPr>
            </w:pPr>
            <w:r w:rsidRPr="00D702F6">
              <w:rPr>
                <w:lang w:eastAsia="fr-FR"/>
              </w:rPr>
              <w:t>Perception théorique du handicap et manque de savoir-faire interne</w:t>
            </w:r>
            <w:r w:rsidR="0056162A">
              <w:rPr>
                <w:lang w:eastAsia="fr-FR"/>
              </w:rPr>
              <w:t>.</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EFC3EE5" w14:textId="7946649A" w:rsidR="00D702F6" w:rsidRPr="00D702F6" w:rsidRDefault="00D702F6" w:rsidP="00A76094">
            <w:pPr>
              <w:ind w:left="99" w:right="243"/>
              <w:jc w:val="left"/>
              <w:rPr>
                <w:lang w:eastAsia="fr-FR"/>
              </w:rPr>
            </w:pPr>
            <w:r w:rsidRPr="00D702F6">
              <w:rPr>
                <w:b/>
                <w:bCs/>
                <w:lang w:eastAsia="fr-FR"/>
              </w:rPr>
              <w:t>Investissement dans les ressources humaine</w:t>
            </w:r>
            <w:r w:rsidR="00E717B1">
              <w:rPr>
                <w:b/>
                <w:bCs/>
                <w:lang w:eastAsia="fr-FR"/>
              </w:rPr>
              <w:t>s</w:t>
            </w:r>
            <w:r w:rsidRPr="00D702F6">
              <w:rPr>
                <w:b/>
                <w:bCs/>
                <w:lang w:eastAsia="fr-FR"/>
              </w:rPr>
              <w:t xml:space="preserve"> et la fédération de la communauté</w:t>
            </w:r>
          </w:p>
          <w:p w14:paraId="7E0591B5" w14:textId="64914956" w:rsidR="00D702F6" w:rsidRPr="00D702F6" w:rsidRDefault="001E440D">
            <w:pPr>
              <w:numPr>
                <w:ilvl w:val="0"/>
                <w:numId w:val="46"/>
              </w:numPr>
              <w:rPr>
                <w:lang w:eastAsia="fr-FR"/>
              </w:rPr>
            </w:pPr>
            <w:r>
              <w:rPr>
                <w:lang w:eastAsia="fr-FR"/>
              </w:rPr>
              <w:t>Faire se rencontrer</w:t>
            </w:r>
            <w:r w:rsidR="00D702F6" w:rsidRPr="00D702F6">
              <w:rPr>
                <w:lang w:eastAsia="fr-FR"/>
              </w:rPr>
              <w:t xml:space="preserve"> </w:t>
            </w:r>
            <w:r>
              <w:rPr>
                <w:lang w:eastAsia="fr-FR"/>
              </w:rPr>
              <w:t>l</w:t>
            </w:r>
            <w:r w:rsidR="00D702F6" w:rsidRPr="00D702F6">
              <w:rPr>
                <w:lang w:eastAsia="fr-FR"/>
              </w:rPr>
              <w:t>e</w:t>
            </w:r>
            <w:r>
              <w:rPr>
                <w:lang w:eastAsia="fr-FR"/>
              </w:rPr>
              <w:t xml:space="preserve">s collaborateurs </w:t>
            </w:r>
            <w:r w:rsidR="00D702F6" w:rsidRPr="00D702F6">
              <w:rPr>
                <w:lang w:eastAsia="fr-FR"/>
              </w:rPr>
              <w:t>en situation de handicap</w:t>
            </w:r>
            <w:r>
              <w:rPr>
                <w:lang w:eastAsia="fr-FR"/>
              </w:rPr>
              <w:t xml:space="preserve"> </w:t>
            </w:r>
            <w:r w:rsidR="00E717B1">
              <w:rPr>
                <w:lang w:eastAsia="fr-FR"/>
              </w:rPr>
              <w:t xml:space="preserve">et </w:t>
            </w:r>
            <w:r>
              <w:rPr>
                <w:lang w:eastAsia="fr-FR"/>
              </w:rPr>
              <w:t>les équipes « valide</w:t>
            </w:r>
            <w:r w:rsidR="00037982">
              <w:rPr>
                <w:lang w:eastAsia="fr-FR"/>
              </w:rPr>
              <w:t>s</w:t>
            </w:r>
            <w:r>
              <w:rPr>
                <w:lang w:eastAsia="fr-FR"/>
              </w:rPr>
              <w:t xml:space="preserve"> » </w:t>
            </w:r>
            <w:r w:rsidR="00D702F6" w:rsidRPr="00D702F6">
              <w:rPr>
                <w:lang w:eastAsia="fr-FR"/>
              </w:rPr>
              <w:t xml:space="preserve">pour confronter </w:t>
            </w:r>
            <w:r>
              <w:rPr>
                <w:lang w:eastAsia="fr-FR"/>
              </w:rPr>
              <w:t xml:space="preserve">ces dernières </w:t>
            </w:r>
            <w:r w:rsidR="00D702F6" w:rsidRPr="00D702F6">
              <w:rPr>
                <w:lang w:eastAsia="fr-FR"/>
              </w:rPr>
              <w:t>à la réalité</w:t>
            </w:r>
            <w:r>
              <w:rPr>
                <w:lang w:eastAsia="fr-FR"/>
              </w:rPr>
              <w:t xml:space="preserve"> du handicap</w:t>
            </w:r>
            <w:r w:rsidR="0056162A">
              <w:rPr>
                <w:lang w:eastAsia="fr-FR"/>
              </w:rPr>
              <w:t>.</w:t>
            </w:r>
          </w:p>
          <w:p w14:paraId="36B3C7A3" w14:textId="0887A222" w:rsidR="00D702F6" w:rsidRPr="00D702F6" w:rsidRDefault="00D702F6">
            <w:pPr>
              <w:numPr>
                <w:ilvl w:val="0"/>
                <w:numId w:val="46"/>
              </w:numPr>
              <w:rPr>
                <w:lang w:eastAsia="fr-FR"/>
              </w:rPr>
            </w:pPr>
            <w:r w:rsidRPr="00D702F6">
              <w:rPr>
                <w:lang w:eastAsia="fr-FR"/>
              </w:rPr>
              <w:t>Créer d</w:t>
            </w:r>
            <w:r w:rsidR="0056162A">
              <w:rPr>
                <w:lang w:eastAsia="fr-FR"/>
              </w:rPr>
              <w:t xml:space="preserve">es </w:t>
            </w:r>
            <w:r w:rsidRPr="00D702F6">
              <w:rPr>
                <w:lang w:eastAsia="fr-FR"/>
              </w:rPr>
              <w:t>outils et de</w:t>
            </w:r>
            <w:r w:rsidR="0056162A">
              <w:rPr>
                <w:lang w:eastAsia="fr-FR"/>
              </w:rPr>
              <w:t>s</w:t>
            </w:r>
            <w:r w:rsidRPr="00D702F6">
              <w:rPr>
                <w:lang w:eastAsia="fr-FR"/>
              </w:rPr>
              <w:t xml:space="preserve"> guides opérationnels, avec cas concrets</w:t>
            </w:r>
            <w:r w:rsidR="0056162A">
              <w:rPr>
                <w:lang w:eastAsia="fr-FR"/>
              </w:rPr>
              <w:t>.</w:t>
            </w:r>
          </w:p>
          <w:p w14:paraId="29FE8DDC" w14:textId="16DBAE7A" w:rsidR="00D702F6" w:rsidRPr="00D702F6" w:rsidRDefault="00D702F6">
            <w:pPr>
              <w:numPr>
                <w:ilvl w:val="0"/>
                <w:numId w:val="46"/>
              </w:numPr>
              <w:rPr>
                <w:lang w:eastAsia="fr-FR"/>
              </w:rPr>
            </w:pPr>
            <w:r w:rsidRPr="00D702F6">
              <w:rPr>
                <w:lang w:eastAsia="fr-FR"/>
              </w:rPr>
              <w:t xml:space="preserve">Capitaliser sur des formations en interne et </w:t>
            </w:r>
            <w:r w:rsidR="0056162A">
              <w:rPr>
                <w:lang w:eastAsia="fr-FR"/>
              </w:rPr>
              <w:t xml:space="preserve">sur </w:t>
            </w:r>
            <w:r w:rsidRPr="00D702F6">
              <w:rPr>
                <w:lang w:eastAsia="fr-FR"/>
              </w:rPr>
              <w:t xml:space="preserve">le recrutement de profils </w:t>
            </w:r>
            <w:r w:rsidR="0056162A">
              <w:rPr>
                <w:lang w:eastAsia="fr-FR"/>
              </w:rPr>
              <w:t>ayant</w:t>
            </w:r>
            <w:r w:rsidR="0056162A" w:rsidRPr="00D702F6">
              <w:rPr>
                <w:lang w:eastAsia="fr-FR"/>
              </w:rPr>
              <w:t xml:space="preserve"> </w:t>
            </w:r>
            <w:r w:rsidRPr="00D702F6">
              <w:rPr>
                <w:lang w:eastAsia="fr-FR"/>
              </w:rPr>
              <w:t>des compétences en accessibilité</w:t>
            </w:r>
            <w:r w:rsidR="0056162A">
              <w:rPr>
                <w:lang w:eastAsia="fr-FR"/>
              </w:rPr>
              <w:t>.</w:t>
            </w:r>
          </w:p>
          <w:p w14:paraId="2594FC01" w14:textId="4B59C3A6" w:rsidR="00D702F6" w:rsidRPr="00D702F6" w:rsidRDefault="00D702F6">
            <w:pPr>
              <w:numPr>
                <w:ilvl w:val="0"/>
                <w:numId w:val="46"/>
              </w:numPr>
              <w:rPr>
                <w:lang w:eastAsia="fr-FR"/>
              </w:rPr>
            </w:pPr>
            <w:r w:rsidRPr="00D702F6">
              <w:rPr>
                <w:lang w:eastAsia="fr-FR"/>
              </w:rPr>
              <w:t xml:space="preserve">Valoriser les </w:t>
            </w:r>
            <w:r w:rsidR="0056162A">
              <w:rPr>
                <w:lang w:eastAsia="fr-FR"/>
              </w:rPr>
              <w:t xml:space="preserve">« </w:t>
            </w:r>
            <w:r w:rsidRPr="00D702F6">
              <w:rPr>
                <w:lang w:eastAsia="fr-FR"/>
              </w:rPr>
              <w:t>victoires</w:t>
            </w:r>
            <w:r w:rsidR="0056162A">
              <w:rPr>
                <w:lang w:eastAsia="fr-FR"/>
              </w:rPr>
              <w:t xml:space="preserve"> »</w:t>
            </w:r>
            <w:r w:rsidRPr="00D702F6">
              <w:rPr>
                <w:lang w:eastAsia="fr-FR"/>
              </w:rPr>
              <w:t xml:space="preserve"> internes pour maintenir l’engagement</w:t>
            </w:r>
            <w:r w:rsidR="0056162A">
              <w:rPr>
                <w:lang w:eastAsia="fr-FR"/>
              </w:rPr>
              <w:t>.</w:t>
            </w:r>
          </w:p>
        </w:tc>
      </w:tr>
      <w:tr w:rsidR="00D702F6" w:rsidRPr="00D702F6" w14:paraId="6F0CD57E" w14:textId="77777777" w:rsidTr="00646CD1">
        <w:trPr>
          <w:trHeight w:val="3051"/>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5B197A84" w14:textId="77777777" w:rsidR="00D702F6" w:rsidRPr="00D702F6" w:rsidRDefault="00D702F6" w:rsidP="00A76094">
            <w:pPr>
              <w:ind w:left="99" w:right="243"/>
              <w:jc w:val="left"/>
              <w:rPr>
                <w:lang w:eastAsia="fr-FR"/>
              </w:rPr>
            </w:pPr>
            <w:r w:rsidRPr="00D702F6">
              <w:rPr>
                <w:b/>
                <w:bCs/>
                <w:lang w:eastAsia="fr-FR"/>
              </w:rPr>
              <w:t>Approche technique isolée</w:t>
            </w:r>
          </w:p>
          <w:p w14:paraId="2E70D135" w14:textId="57823EDB" w:rsidR="00D702F6" w:rsidRPr="00D702F6" w:rsidRDefault="00D702F6" w:rsidP="00646CD1">
            <w:pPr>
              <w:ind w:left="99" w:right="243"/>
              <w:jc w:val="left"/>
              <w:rPr>
                <w:lang w:eastAsia="fr-FR"/>
              </w:rPr>
            </w:pPr>
            <w:r w:rsidRPr="00014773">
              <w:rPr>
                <w:lang w:eastAsia="fr-FR"/>
              </w:rPr>
              <w:t>Complexité</w:t>
            </w:r>
            <w:r w:rsidRPr="00D702F6">
              <w:rPr>
                <w:lang w:eastAsia="fr-FR"/>
              </w:rPr>
              <w:t xml:space="preserve"> à maintenir l'accessibilité sur la durée du produit.</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3916A31D" w14:textId="77777777" w:rsidR="00D702F6" w:rsidRPr="00D702F6" w:rsidRDefault="00D702F6" w:rsidP="00A76094">
            <w:pPr>
              <w:ind w:left="99" w:right="243"/>
              <w:jc w:val="left"/>
              <w:rPr>
                <w:lang w:eastAsia="fr-FR"/>
              </w:rPr>
            </w:pPr>
            <w:r w:rsidRPr="00D702F6">
              <w:rPr>
                <w:b/>
                <w:bCs/>
                <w:lang w:eastAsia="fr-FR"/>
              </w:rPr>
              <w:t>Industrialisation de la démarche</w:t>
            </w:r>
          </w:p>
          <w:p w14:paraId="5B14AB7E" w14:textId="2344788E" w:rsidR="009F5E7E" w:rsidRDefault="009F5E7E">
            <w:pPr>
              <w:numPr>
                <w:ilvl w:val="0"/>
                <w:numId w:val="47"/>
              </w:numPr>
              <w:rPr>
                <w:lang w:eastAsia="fr-FR"/>
              </w:rPr>
            </w:pPr>
            <w:r>
              <w:rPr>
                <w:lang w:eastAsia="fr-FR"/>
              </w:rPr>
              <w:t>Dépasser la simple approche de « projet de mise en conformité » pour faire de l’accessibilité en continu et nativement.</w:t>
            </w:r>
          </w:p>
          <w:p w14:paraId="347C669A" w14:textId="298E81C2" w:rsidR="00D702F6" w:rsidRPr="00D702F6" w:rsidRDefault="00D702F6">
            <w:pPr>
              <w:numPr>
                <w:ilvl w:val="0"/>
                <w:numId w:val="47"/>
              </w:numPr>
              <w:rPr>
                <w:lang w:eastAsia="fr-FR"/>
              </w:rPr>
            </w:pPr>
            <w:r w:rsidRPr="00D702F6">
              <w:rPr>
                <w:lang w:eastAsia="fr-FR"/>
              </w:rPr>
              <w:t xml:space="preserve">Utilisation d'un </w:t>
            </w:r>
            <w:r w:rsidRPr="00F234C7">
              <w:rPr>
                <w:i/>
                <w:iCs/>
                <w:lang w:eastAsia="fr-FR"/>
              </w:rPr>
              <w:t>Design System</w:t>
            </w:r>
            <w:r w:rsidRPr="00D702F6">
              <w:rPr>
                <w:lang w:eastAsia="fr-FR"/>
              </w:rPr>
              <w:t xml:space="preserve"> intégrant nativement des composants accessibles pour harmoniser et faciliter : </w:t>
            </w:r>
          </w:p>
          <w:p w14:paraId="2378FE55" w14:textId="5B4DEA70" w:rsidR="00D702F6" w:rsidRPr="00D702F6" w:rsidRDefault="00D702F6">
            <w:pPr>
              <w:numPr>
                <w:ilvl w:val="1"/>
                <w:numId w:val="47"/>
              </w:numPr>
              <w:ind w:left="1434" w:hanging="357"/>
              <w:contextualSpacing/>
              <w:rPr>
                <w:lang w:eastAsia="fr-FR"/>
              </w:rPr>
            </w:pPr>
            <w:proofErr w:type="gramStart"/>
            <w:r w:rsidRPr="00D702F6">
              <w:rPr>
                <w:lang w:eastAsia="fr-FR"/>
              </w:rPr>
              <w:t>l'adhésion</w:t>
            </w:r>
            <w:proofErr w:type="gramEnd"/>
            <w:r w:rsidR="0056162A">
              <w:rPr>
                <w:lang w:eastAsia="fr-FR"/>
              </w:rPr>
              <w:t>,</w:t>
            </w:r>
          </w:p>
          <w:p w14:paraId="73C1DB4B" w14:textId="0C571F77" w:rsidR="00D702F6" w:rsidRPr="00D702F6" w:rsidRDefault="00D702F6">
            <w:pPr>
              <w:numPr>
                <w:ilvl w:val="1"/>
                <w:numId w:val="47"/>
              </w:numPr>
              <w:ind w:left="1434" w:hanging="357"/>
              <w:contextualSpacing/>
              <w:rPr>
                <w:lang w:eastAsia="fr-FR"/>
              </w:rPr>
            </w:pPr>
            <w:proofErr w:type="gramStart"/>
            <w:r w:rsidRPr="00D702F6">
              <w:rPr>
                <w:lang w:eastAsia="fr-FR"/>
              </w:rPr>
              <w:t>les</w:t>
            </w:r>
            <w:proofErr w:type="gramEnd"/>
            <w:r w:rsidRPr="00D702F6">
              <w:rPr>
                <w:lang w:eastAsia="fr-FR"/>
              </w:rPr>
              <w:t xml:space="preserve"> opérations de maintenance</w:t>
            </w:r>
            <w:r w:rsidR="0056162A">
              <w:rPr>
                <w:lang w:eastAsia="fr-FR"/>
              </w:rPr>
              <w:t>,</w:t>
            </w:r>
          </w:p>
          <w:p w14:paraId="6203A51D" w14:textId="77777777" w:rsidR="00D702F6" w:rsidRDefault="00D702F6">
            <w:pPr>
              <w:numPr>
                <w:ilvl w:val="1"/>
                <w:numId w:val="47"/>
              </w:numPr>
              <w:ind w:left="1434" w:hanging="357"/>
              <w:contextualSpacing/>
              <w:rPr>
                <w:lang w:eastAsia="fr-FR"/>
              </w:rPr>
            </w:pPr>
            <w:proofErr w:type="gramStart"/>
            <w:r w:rsidRPr="00D702F6">
              <w:rPr>
                <w:lang w:eastAsia="fr-FR"/>
              </w:rPr>
              <w:t>le</w:t>
            </w:r>
            <w:proofErr w:type="gramEnd"/>
            <w:r w:rsidRPr="00D702F6">
              <w:rPr>
                <w:lang w:eastAsia="fr-FR"/>
              </w:rPr>
              <w:t xml:space="preserve"> maintien durable des compétences internes.</w:t>
            </w:r>
          </w:p>
          <w:p w14:paraId="6F06B2F8" w14:textId="77777777" w:rsidR="00646CD1" w:rsidRPr="00D702F6" w:rsidRDefault="00646CD1" w:rsidP="00646CD1">
            <w:pPr>
              <w:contextualSpacing/>
              <w:rPr>
                <w:lang w:eastAsia="fr-FR"/>
              </w:rPr>
            </w:pPr>
          </w:p>
        </w:tc>
      </w:tr>
      <w:tr w:rsidR="00D702F6" w:rsidRPr="00D702F6" w14:paraId="669B3210" w14:textId="77777777" w:rsidTr="00646CD1">
        <w:trPr>
          <w:trHeight w:val="2672"/>
        </w:trPr>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5A673749" w14:textId="77777777" w:rsidR="00D702F6" w:rsidRPr="00D702F6" w:rsidRDefault="00D702F6" w:rsidP="00A76094">
            <w:pPr>
              <w:ind w:left="99" w:right="243"/>
              <w:jc w:val="left"/>
              <w:rPr>
                <w:lang w:eastAsia="fr-FR"/>
              </w:rPr>
            </w:pPr>
            <w:r w:rsidRPr="00D702F6">
              <w:rPr>
                <w:b/>
                <w:bCs/>
                <w:lang w:eastAsia="fr-FR"/>
              </w:rPr>
              <w:t>Gestion de l’existant</w:t>
            </w:r>
          </w:p>
          <w:p w14:paraId="34FB0E17" w14:textId="66F7A35F" w:rsidR="00D702F6" w:rsidRPr="00D702F6" w:rsidRDefault="00D702F6" w:rsidP="00646CD1">
            <w:pPr>
              <w:spacing w:line="276" w:lineRule="auto"/>
              <w:ind w:left="99" w:right="243"/>
              <w:jc w:val="left"/>
              <w:rPr>
                <w:lang w:eastAsia="fr-FR"/>
              </w:rPr>
            </w:pPr>
            <w:r w:rsidRPr="00D702F6">
              <w:rPr>
                <w:lang w:eastAsia="fr-FR"/>
              </w:rPr>
              <w:t>Difficulté à piloter la mise en conformité d’un vaste patrimoine (</w:t>
            </w:r>
            <w:proofErr w:type="spellStart"/>
            <w:r w:rsidR="00037982" w:rsidRPr="00037982">
              <w:rPr>
                <w:i/>
                <w:iCs/>
                <w:lang w:eastAsia="fr-FR"/>
              </w:rPr>
              <w:t>l</w:t>
            </w:r>
            <w:r w:rsidRPr="00037982">
              <w:rPr>
                <w:i/>
                <w:iCs/>
                <w:lang w:eastAsia="fr-FR"/>
              </w:rPr>
              <w:t>egacy</w:t>
            </w:r>
            <w:proofErr w:type="spellEnd"/>
            <w:r w:rsidRPr="00D702F6">
              <w:rPr>
                <w:lang w:eastAsia="fr-FR"/>
              </w:rPr>
              <w:t>) numérique.</w:t>
            </w:r>
          </w:p>
        </w:tc>
        <w:tc>
          <w:tcPr>
            <w:tcW w:w="63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1E5864BF" w14:textId="77777777" w:rsidR="00D702F6" w:rsidRPr="00D702F6" w:rsidRDefault="00D702F6" w:rsidP="00646CD1">
            <w:pPr>
              <w:ind w:right="243"/>
              <w:jc w:val="left"/>
              <w:rPr>
                <w:lang w:eastAsia="fr-FR"/>
              </w:rPr>
            </w:pPr>
            <w:r w:rsidRPr="00D702F6">
              <w:rPr>
                <w:b/>
                <w:bCs/>
                <w:lang w:eastAsia="fr-FR"/>
              </w:rPr>
              <w:t>Pilotage Opérationnel</w:t>
            </w:r>
          </w:p>
          <w:p w14:paraId="401DA570" w14:textId="4DFC8A0C" w:rsidR="00D702F6" w:rsidRPr="00D702F6" w:rsidRDefault="00D702F6">
            <w:pPr>
              <w:numPr>
                <w:ilvl w:val="0"/>
                <w:numId w:val="48"/>
              </w:numPr>
              <w:spacing w:line="276" w:lineRule="auto"/>
              <w:rPr>
                <w:lang w:eastAsia="fr-FR"/>
              </w:rPr>
            </w:pPr>
            <w:r w:rsidRPr="00D702F6">
              <w:rPr>
                <w:lang w:eastAsia="fr-FR"/>
              </w:rPr>
              <w:t>Définir un schéma pluriannuel avec déclinaison financière (feuille de route claire sur 1-3-5 ans)</w:t>
            </w:r>
            <w:r w:rsidR="0056162A">
              <w:rPr>
                <w:lang w:eastAsia="fr-FR"/>
              </w:rPr>
              <w:t>.</w:t>
            </w:r>
          </w:p>
          <w:p w14:paraId="4C60A06A" w14:textId="29EF470C" w:rsidR="00D702F6" w:rsidRPr="00D702F6" w:rsidRDefault="00D702F6">
            <w:pPr>
              <w:numPr>
                <w:ilvl w:val="0"/>
                <w:numId w:val="48"/>
              </w:numPr>
              <w:spacing w:line="276" w:lineRule="auto"/>
              <w:rPr>
                <w:lang w:eastAsia="fr-FR"/>
              </w:rPr>
            </w:pPr>
            <w:r w:rsidRPr="00D702F6">
              <w:rPr>
                <w:lang w:eastAsia="fr-FR"/>
              </w:rPr>
              <w:t xml:space="preserve">Déployer un outil de </w:t>
            </w:r>
            <w:r w:rsidRPr="00D702F6">
              <w:rPr>
                <w:i/>
                <w:iCs/>
                <w:lang w:eastAsia="fr-FR"/>
              </w:rPr>
              <w:t>monitoring</w:t>
            </w:r>
            <w:r w:rsidRPr="00D702F6">
              <w:rPr>
                <w:lang w:eastAsia="fr-FR"/>
              </w:rPr>
              <w:t xml:space="preserve"> des sites pour suivre leur niveau d’accessibilité dans le temps</w:t>
            </w:r>
            <w:r w:rsidR="0056162A">
              <w:rPr>
                <w:lang w:eastAsia="fr-FR"/>
              </w:rPr>
              <w:t>.</w:t>
            </w:r>
          </w:p>
          <w:p w14:paraId="31F6DD79" w14:textId="238B6C87" w:rsidR="00D702F6" w:rsidRPr="00D702F6" w:rsidRDefault="00D702F6">
            <w:pPr>
              <w:numPr>
                <w:ilvl w:val="0"/>
                <w:numId w:val="48"/>
              </w:numPr>
              <w:spacing w:line="276" w:lineRule="auto"/>
              <w:rPr>
                <w:lang w:eastAsia="fr-FR"/>
              </w:rPr>
            </w:pPr>
            <w:r w:rsidRPr="00D702F6">
              <w:rPr>
                <w:lang w:eastAsia="fr-FR"/>
              </w:rPr>
              <w:t>Prioriser l’accessibilité dans les arbitrages métiers et assurer le maintien de l’héritage (gestion de la dette technique)</w:t>
            </w:r>
            <w:r w:rsidR="0056162A">
              <w:rPr>
                <w:lang w:eastAsia="fr-FR"/>
              </w:rPr>
              <w:t>.</w:t>
            </w:r>
          </w:p>
        </w:tc>
      </w:tr>
    </w:tbl>
    <w:p w14:paraId="51D3C87B" w14:textId="77777777" w:rsidR="00BA7EFA" w:rsidRDefault="00BA7EFA" w:rsidP="002D2C27">
      <w:pPr>
        <w:rPr>
          <w:lang w:eastAsia="fr-FR"/>
        </w:rPr>
      </w:pPr>
    </w:p>
    <w:p w14:paraId="2DC5911E" w14:textId="39329E36" w:rsidR="00BA7EFA" w:rsidRDefault="00BA7EFA" w:rsidP="00BA7EFA">
      <w:pPr>
        <w:pStyle w:val="Titre2"/>
        <w:rPr>
          <w:lang w:val="fr-FR"/>
        </w:rPr>
      </w:pPr>
      <w:bookmarkStart w:id="75" w:name="_Toc230077031"/>
      <w:r w:rsidRPr="00F234C7">
        <w:rPr>
          <w:lang w:val="fr-FR"/>
        </w:rPr>
        <w:t>Les chantiers prioritaires identifiés par le groupe de travail</w:t>
      </w:r>
      <w:bookmarkEnd w:id="75"/>
    </w:p>
    <w:p w14:paraId="2E81CFAB" w14:textId="77777777" w:rsidR="00DC6797" w:rsidRDefault="00DC6797" w:rsidP="00C328FA">
      <w:r w:rsidRPr="00DC6797">
        <w:t xml:space="preserve">Sans prétendre à l'exhaustivité des leviers d'accessibilité présentés dans ce document, les chantiers suivants ont été isolés par le groupe de travail pour leur caractère structurant. Ils </w:t>
      </w:r>
      <w:r w:rsidR="00CF439F">
        <w:t>peuvent servir de</w:t>
      </w:r>
      <w:r w:rsidRPr="00DC6797">
        <w:t xml:space="preserve"> </w:t>
      </w:r>
      <w:r w:rsidR="00CF439F">
        <w:t>guide de démarrage, offrant u</w:t>
      </w:r>
      <w:r w:rsidR="00CF439F" w:rsidRPr="00CF439F">
        <w:t xml:space="preserve">ne vue synthétique et opérationnelle des actions essentielles pour amorcer efficacement </w:t>
      </w:r>
      <w:r w:rsidR="00CF439F">
        <w:t>une</w:t>
      </w:r>
      <w:r w:rsidR="00CF439F" w:rsidRPr="00CF439F">
        <w:t xml:space="preserve"> démarche d'accessibilité</w:t>
      </w:r>
      <w:r w:rsidR="00CF439F">
        <w:t xml:space="preserve"> numérique.</w:t>
      </w:r>
      <w:r w:rsidR="00402C31">
        <w:t xml:space="preserve"> </w:t>
      </w:r>
    </w:p>
    <w:p w14:paraId="713B5DEF" w14:textId="5745DED1" w:rsidR="00BA7EFA" w:rsidRPr="00F234C7" w:rsidRDefault="00BA7EFA" w:rsidP="00BA7EFA">
      <w:pPr>
        <w:pStyle w:val="Titre3"/>
        <w:rPr>
          <w:lang w:val="fr-FR"/>
        </w:rPr>
      </w:pPr>
      <w:bookmarkStart w:id="76" w:name="_Toc230077032"/>
      <w:r w:rsidRPr="00F234C7">
        <w:rPr>
          <w:lang w:val="fr-FR"/>
        </w:rPr>
        <w:lastRenderedPageBreak/>
        <w:t>Investir dans les formations et sensibilisations adaptées</w:t>
      </w:r>
      <w:bookmarkEnd w:id="76"/>
    </w:p>
    <w:p w14:paraId="656C065F" w14:textId="77777777" w:rsidR="00BA7EFA" w:rsidRPr="00402C31" w:rsidRDefault="00BA7EFA" w:rsidP="00BA7EFA">
      <w:pPr>
        <w:rPr>
          <w:lang w:eastAsia="fr-FR"/>
        </w:rPr>
      </w:pPr>
      <w:r w:rsidRPr="00402C31">
        <w:rPr>
          <w:lang w:eastAsia="fr-FR"/>
        </w:rPr>
        <w:t>La sensibilisation et la formation à l’accessibilité numérique doivent s'étendre à l'ensemble des collaborateurs. L'enjeu est de créer une chaîne de responsabilité numérique accessible, de la formation initiale en école jusqu’au maintien en accessibilité des solutions numériques, en impliquant des compétences transverses. </w:t>
      </w:r>
    </w:p>
    <w:p w14:paraId="7C3D53EF" w14:textId="30B136C9" w:rsidR="00BA7EFA" w:rsidRPr="00BA7EFA" w:rsidRDefault="00BA7EFA" w:rsidP="00BA7EFA">
      <w:pPr>
        <w:rPr>
          <w:lang w:eastAsia="fr-FR"/>
        </w:rPr>
      </w:pPr>
      <w:r w:rsidRPr="00402C31">
        <w:rPr>
          <w:lang w:eastAsia="fr-FR"/>
        </w:rPr>
        <w:t>La formation et la sensibilisation se jouent ainsi à plusieurs niveaux</w:t>
      </w:r>
      <w:r w:rsidRPr="00BA7EFA">
        <w:rPr>
          <w:lang w:eastAsia="fr-FR"/>
        </w:rPr>
        <w:t xml:space="preserve"> : </w:t>
      </w:r>
      <w:r w:rsidR="00140986">
        <w:rPr>
          <w:lang w:eastAsia="fr-FR"/>
        </w:rPr>
        <w:t xml:space="preserve">équipes </w:t>
      </w:r>
      <w:r w:rsidRPr="00BA7EFA">
        <w:rPr>
          <w:lang w:eastAsia="fr-FR"/>
        </w:rPr>
        <w:t>techniques (développeurs, designers…), utilisateurs de bureautique</w:t>
      </w:r>
      <w:r w:rsidR="00140986">
        <w:rPr>
          <w:lang w:eastAsia="fr-FR"/>
        </w:rPr>
        <w:t>,</w:t>
      </w:r>
      <w:r w:rsidRPr="00BA7EFA">
        <w:rPr>
          <w:lang w:eastAsia="fr-FR"/>
        </w:rPr>
        <w:t xml:space="preserve"> et décideurs. Les directions numériques peuvent être à l’initiative de telles formations, mais d’autres départements doivent être également fortement parties prenantes comme le </w:t>
      </w:r>
      <w:r w:rsidR="00140986">
        <w:rPr>
          <w:lang w:eastAsia="fr-FR"/>
        </w:rPr>
        <w:t xml:space="preserve">service </w:t>
      </w:r>
      <w:r w:rsidRPr="00BA7EFA">
        <w:rPr>
          <w:lang w:eastAsia="fr-FR"/>
        </w:rPr>
        <w:t>juridique ou les RH.</w:t>
      </w:r>
    </w:p>
    <w:p w14:paraId="57C9E777" w14:textId="3536CF23" w:rsidR="00BA7EFA" w:rsidRDefault="00BA7EFA">
      <w:pPr>
        <w:pStyle w:val="Paragraphedeliste"/>
        <w:numPr>
          <w:ilvl w:val="0"/>
          <w:numId w:val="74"/>
        </w:numPr>
        <w:rPr>
          <w:lang w:eastAsia="fr-FR"/>
        </w:rPr>
      </w:pPr>
      <w:r w:rsidRPr="00605612">
        <w:rPr>
          <w:b/>
          <w:bCs/>
          <w:lang w:eastAsia="fr-FR"/>
        </w:rPr>
        <w:t>La première étape est la sensibilisation des décideurs</w:t>
      </w:r>
      <w:r w:rsidRPr="00BA7EFA">
        <w:rPr>
          <w:lang w:eastAsia="fr-FR"/>
        </w:rPr>
        <w:t xml:space="preserve"> (chefs de projets SI, dirigeants…). L'ampleur des risques (amendes, risque d'image) </w:t>
      </w:r>
      <w:r w:rsidR="00140986">
        <w:rPr>
          <w:lang w:eastAsia="fr-FR"/>
        </w:rPr>
        <w:t>comme celle</w:t>
      </w:r>
      <w:r w:rsidR="00140986" w:rsidRPr="00BA7EFA">
        <w:rPr>
          <w:lang w:eastAsia="fr-FR"/>
        </w:rPr>
        <w:t xml:space="preserve"> </w:t>
      </w:r>
      <w:r w:rsidRPr="00BA7EFA">
        <w:rPr>
          <w:lang w:eastAsia="fr-FR"/>
        </w:rPr>
        <w:t>des opportunités (élargissement du marché, RSE)</w:t>
      </w:r>
      <w:r w:rsidR="00140986">
        <w:rPr>
          <w:lang w:eastAsia="fr-FR"/>
        </w:rPr>
        <w:t>,</w:t>
      </w:r>
      <w:r w:rsidRPr="00BA7EFA">
        <w:rPr>
          <w:lang w:eastAsia="fr-FR"/>
        </w:rPr>
        <w:t xml:space="preserve"> associés à l’accessibilité numérique</w:t>
      </w:r>
      <w:r w:rsidR="00140986">
        <w:rPr>
          <w:lang w:eastAsia="fr-FR"/>
        </w:rPr>
        <w:t>,</w:t>
      </w:r>
      <w:r w:rsidRPr="00BA7EFA">
        <w:rPr>
          <w:lang w:eastAsia="fr-FR"/>
        </w:rPr>
        <w:t xml:space="preserve"> doivent être spécifiquement présentés au top management, de </w:t>
      </w:r>
      <w:r w:rsidR="00140986">
        <w:rPr>
          <w:lang w:eastAsia="fr-FR"/>
        </w:rPr>
        <w:t xml:space="preserve">la </w:t>
      </w:r>
      <w:r w:rsidRPr="00BA7EFA">
        <w:rPr>
          <w:lang w:eastAsia="fr-FR"/>
        </w:rPr>
        <w:t xml:space="preserve">manière la plus réaliste possible. L’enjeu est de pouvoir obtenir un </w:t>
      </w:r>
      <w:r w:rsidRPr="00605612">
        <w:rPr>
          <w:i/>
          <w:iCs/>
          <w:lang w:eastAsia="fr-FR"/>
        </w:rPr>
        <w:t xml:space="preserve">sponsoring </w:t>
      </w:r>
      <w:r w:rsidRPr="00BA7EFA">
        <w:rPr>
          <w:lang w:eastAsia="fr-FR"/>
        </w:rPr>
        <w:t xml:space="preserve">de haut niveau et une allocation budgétaire à la mesure des travaux à engager. Il est par ailleurs essentiel de rappeler que </w:t>
      </w:r>
      <w:r w:rsidR="00140986">
        <w:rPr>
          <w:lang w:eastAsia="fr-FR"/>
        </w:rPr>
        <w:t>« </w:t>
      </w:r>
      <w:r w:rsidRPr="00BA7EFA">
        <w:rPr>
          <w:lang w:eastAsia="fr-FR"/>
        </w:rPr>
        <w:t>nul n'est censé ignorer la loi</w:t>
      </w:r>
      <w:r w:rsidR="00140986">
        <w:rPr>
          <w:lang w:eastAsia="fr-FR"/>
        </w:rPr>
        <w:t> »</w:t>
      </w:r>
      <w:r w:rsidRPr="00BA7EFA">
        <w:rPr>
          <w:lang w:eastAsia="fr-FR"/>
        </w:rPr>
        <w:t xml:space="preserve"> et que les enjeux juridiques et financiers concernent chaque poste de direction (Juridique, Finance, DSI</w:t>
      </w:r>
      <w:r w:rsidR="00037982">
        <w:rPr>
          <w:lang w:eastAsia="fr-FR"/>
        </w:rPr>
        <w:t>, etc.</w:t>
      </w:r>
      <w:r w:rsidRPr="00BA7EFA">
        <w:rPr>
          <w:lang w:eastAsia="fr-FR"/>
        </w:rPr>
        <w:t xml:space="preserve">) et </w:t>
      </w:r>
      <w:r w:rsidR="00140986">
        <w:rPr>
          <w:lang w:eastAsia="fr-FR"/>
        </w:rPr>
        <w:t xml:space="preserve">les </w:t>
      </w:r>
      <w:r w:rsidRPr="00BA7EFA">
        <w:rPr>
          <w:lang w:eastAsia="fr-FR"/>
        </w:rPr>
        <w:t>mandataire</w:t>
      </w:r>
      <w:r w:rsidR="00140986">
        <w:rPr>
          <w:lang w:eastAsia="fr-FR"/>
        </w:rPr>
        <w:t>s</w:t>
      </w:r>
      <w:r w:rsidRPr="00BA7EFA">
        <w:rPr>
          <w:lang w:eastAsia="fr-FR"/>
        </w:rPr>
        <w:t xml:space="preserve"> socia</w:t>
      </w:r>
      <w:r w:rsidR="00140986">
        <w:rPr>
          <w:lang w:eastAsia="fr-FR"/>
        </w:rPr>
        <w:t>ux</w:t>
      </w:r>
      <w:r w:rsidRPr="00BA7EFA">
        <w:rPr>
          <w:lang w:eastAsia="fr-FR"/>
        </w:rPr>
        <w:t>. </w:t>
      </w:r>
    </w:p>
    <w:p w14:paraId="2B06DDFF" w14:textId="77777777" w:rsidR="00605612" w:rsidRPr="00BA7EFA" w:rsidRDefault="00605612" w:rsidP="00605612">
      <w:pPr>
        <w:pStyle w:val="Paragraphedeliste"/>
        <w:ind w:left="360"/>
        <w:rPr>
          <w:lang w:eastAsia="fr-FR"/>
        </w:rPr>
      </w:pPr>
    </w:p>
    <w:p w14:paraId="5DFD4BFB" w14:textId="7BACF047" w:rsidR="00402C31" w:rsidRDefault="00BA7EFA">
      <w:pPr>
        <w:pStyle w:val="Paragraphedeliste"/>
        <w:numPr>
          <w:ilvl w:val="0"/>
          <w:numId w:val="74"/>
        </w:numPr>
        <w:rPr>
          <w:lang w:eastAsia="fr-FR"/>
        </w:rPr>
      </w:pPr>
      <w:r w:rsidRPr="00605612">
        <w:rPr>
          <w:b/>
          <w:bCs/>
          <w:lang w:eastAsia="fr-FR"/>
        </w:rPr>
        <w:t>La deuxième étape est la mobilisation des</w:t>
      </w:r>
      <w:r w:rsidRPr="00BA7EFA">
        <w:rPr>
          <w:lang w:eastAsia="fr-FR"/>
        </w:rPr>
        <w:t xml:space="preserve"> </w:t>
      </w:r>
      <w:r w:rsidRPr="00605612">
        <w:rPr>
          <w:b/>
          <w:bCs/>
          <w:lang w:eastAsia="fr-FR"/>
        </w:rPr>
        <w:t xml:space="preserve">équipes </w:t>
      </w:r>
      <w:r w:rsidR="00402C31">
        <w:rPr>
          <w:lang w:eastAsia="fr-FR"/>
        </w:rPr>
        <w:t xml:space="preserve">par le déploiement de deux dispositifs de formation : </w:t>
      </w:r>
    </w:p>
    <w:p w14:paraId="5D08F01F" w14:textId="5856E1F6" w:rsidR="00605612" w:rsidRDefault="00402C31">
      <w:pPr>
        <w:pStyle w:val="Paragraphedeliste"/>
        <w:numPr>
          <w:ilvl w:val="0"/>
          <w:numId w:val="77"/>
        </w:numPr>
        <w:rPr>
          <w:lang w:eastAsia="fr-FR"/>
        </w:rPr>
      </w:pPr>
      <w:r w:rsidRPr="00402C31">
        <w:rPr>
          <w:b/>
          <w:bCs/>
          <w:lang w:eastAsia="fr-FR"/>
        </w:rPr>
        <w:t xml:space="preserve">La formation des </w:t>
      </w:r>
      <w:r>
        <w:rPr>
          <w:b/>
          <w:bCs/>
          <w:lang w:eastAsia="fr-FR"/>
        </w:rPr>
        <w:t>équipes techniques</w:t>
      </w:r>
      <w:r w:rsidRPr="00402C31">
        <w:rPr>
          <w:b/>
          <w:bCs/>
          <w:lang w:eastAsia="fr-FR"/>
        </w:rPr>
        <w:t xml:space="preserve"> directement concernés par la démarche</w:t>
      </w:r>
      <w:r>
        <w:rPr>
          <w:lang w:eastAsia="fr-FR"/>
        </w:rPr>
        <w:t xml:space="preserve"> (développeurs </w:t>
      </w:r>
      <w:r w:rsidRPr="00402C31">
        <w:rPr>
          <w:i/>
          <w:iCs/>
          <w:lang w:eastAsia="fr-FR"/>
        </w:rPr>
        <w:t>front end</w:t>
      </w:r>
      <w:r>
        <w:rPr>
          <w:lang w:eastAsia="fr-FR"/>
        </w:rPr>
        <w:t xml:space="preserve">, </w:t>
      </w:r>
      <w:r w:rsidRPr="00402C31">
        <w:rPr>
          <w:i/>
          <w:iCs/>
          <w:lang w:eastAsia="fr-FR"/>
        </w:rPr>
        <w:t xml:space="preserve">business </w:t>
      </w:r>
      <w:proofErr w:type="spellStart"/>
      <w:r w:rsidRPr="00402C31">
        <w:rPr>
          <w:i/>
          <w:iCs/>
          <w:lang w:eastAsia="fr-FR"/>
        </w:rPr>
        <w:t>analysts</w:t>
      </w:r>
      <w:proofErr w:type="spellEnd"/>
      <w:r>
        <w:rPr>
          <w:lang w:eastAsia="fr-FR"/>
        </w:rPr>
        <w:t>, testeurs …)</w:t>
      </w:r>
      <w:r w:rsidR="00605612">
        <w:rPr>
          <w:lang w:eastAsia="fr-FR"/>
        </w:rPr>
        <w:t>. Elles doivent bénéficier de formations certifiantes et continues avec des modules spécifiques :</w:t>
      </w:r>
    </w:p>
    <w:p w14:paraId="3AF0BE50" w14:textId="77777777" w:rsidR="00605612" w:rsidRDefault="00605612">
      <w:pPr>
        <w:pStyle w:val="Paragraphedeliste"/>
        <w:numPr>
          <w:ilvl w:val="1"/>
          <w:numId w:val="77"/>
        </w:numPr>
        <w:rPr>
          <w:lang w:eastAsia="fr-FR"/>
        </w:rPr>
      </w:pPr>
      <w:r>
        <w:rPr>
          <w:lang w:eastAsia="fr-FR"/>
        </w:rPr>
        <w:t xml:space="preserve">Développement </w:t>
      </w:r>
      <w:proofErr w:type="spellStart"/>
      <w:r>
        <w:rPr>
          <w:lang w:eastAsia="fr-FR"/>
        </w:rPr>
        <w:t>front-end</w:t>
      </w:r>
      <w:proofErr w:type="spellEnd"/>
      <w:r>
        <w:rPr>
          <w:lang w:eastAsia="fr-FR"/>
        </w:rPr>
        <w:t xml:space="preserve"> accessible (RGAA), </w:t>
      </w:r>
    </w:p>
    <w:p w14:paraId="40C1CFDD" w14:textId="77777777" w:rsidR="00605612" w:rsidRDefault="00605612">
      <w:pPr>
        <w:pStyle w:val="Paragraphedeliste"/>
        <w:numPr>
          <w:ilvl w:val="1"/>
          <w:numId w:val="77"/>
        </w:numPr>
        <w:rPr>
          <w:lang w:eastAsia="fr-FR"/>
        </w:rPr>
      </w:pPr>
      <w:r>
        <w:rPr>
          <w:lang w:eastAsia="fr-FR"/>
        </w:rPr>
        <w:t xml:space="preserve">Conception UX/UI inclusive, </w:t>
      </w:r>
    </w:p>
    <w:p w14:paraId="66503217" w14:textId="77777777" w:rsidR="00605612" w:rsidRDefault="00605612">
      <w:pPr>
        <w:pStyle w:val="Paragraphedeliste"/>
        <w:numPr>
          <w:ilvl w:val="1"/>
          <w:numId w:val="77"/>
        </w:numPr>
        <w:rPr>
          <w:lang w:eastAsia="fr-FR"/>
        </w:rPr>
      </w:pPr>
      <w:r>
        <w:rPr>
          <w:lang w:eastAsia="fr-FR"/>
        </w:rPr>
        <w:t xml:space="preserve">Maîtrise des outils de tests automatiques. </w:t>
      </w:r>
    </w:p>
    <w:p w14:paraId="5958BC51" w14:textId="2D9E9045" w:rsidR="00402C31" w:rsidRDefault="00402C31" w:rsidP="00605612">
      <w:pPr>
        <w:pStyle w:val="Paragraphedeliste"/>
        <w:rPr>
          <w:lang w:eastAsia="fr-FR"/>
        </w:rPr>
      </w:pPr>
    </w:p>
    <w:p w14:paraId="668DD5D1" w14:textId="5FE941F9" w:rsidR="00402C31" w:rsidRDefault="00402C31">
      <w:pPr>
        <w:pStyle w:val="Paragraphedeliste"/>
        <w:numPr>
          <w:ilvl w:val="0"/>
          <w:numId w:val="77"/>
        </w:numPr>
        <w:rPr>
          <w:lang w:eastAsia="fr-FR"/>
        </w:rPr>
      </w:pPr>
      <w:r w:rsidRPr="00402C31">
        <w:rPr>
          <w:b/>
          <w:bCs/>
          <w:lang w:eastAsia="fr-FR"/>
        </w:rPr>
        <w:t xml:space="preserve">La formation, au sein des métiers, des utilisateurs quotidiens </w:t>
      </w:r>
      <w:r w:rsidRPr="00402C31">
        <w:rPr>
          <w:lang w:eastAsia="fr-FR"/>
        </w:rPr>
        <w:t>qui produisent des contenus numériques</w:t>
      </w:r>
      <w:r>
        <w:rPr>
          <w:lang w:eastAsia="fr-FR"/>
        </w:rPr>
        <w:t xml:space="preserve"> (documents bureautiques, PDF, e-mails, vidéos) ou valident des procédures (formations spécifiques à la rédaction et à la création de supports accessibles montrant comment concilier qualité éditoriale et conformité ; des check-lists par fonctions métiers ; des cas d’usage comme la construction d’une newsletter, la rédaction d’un PDF…). </w:t>
      </w:r>
    </w:p>
    <w:p w14:paraId="34C3C883" w14:textId="2661375B" w:rsidR="00605612" w:rsidRPr="00605612" w:rsidRDefault="00BA7EFA" w:rsidP="00BA7EFA">
      <w:pPr>
        <w:rPr>
          <w:i/>
          <w:iCs/>
          <w:lang w:eastAsia="fr-FR"/>
        </w:rPr>
      </w:pPr>
      <w:r w:rsidRPr="00BA7EFA">
        <w:rPr>
          <w:i/>
          <w:iCs/>
          <w:lang w:eastAsia="fr-FR"/>
        </w:rPr>
        <w:t>NB : Il est d'ailleurs pertinent de soutenir l'intégration de modules d'accessibilité numérique dans les formations initiales des écoles d'ingénieur, d’informatique et de design, à l'image des initiatives prises pour l'écoconception (Loi REEN - 2021). </w:t>
      </w:r>
    </w:p>
    <w:p w14:paraId="204BCBDB" w14:textId="70381AB4" w:rsidR="00BA7EFA" w:rsidRPr="00BA7EFA" w:rsidRDefault="00BA7EFA">
      <w:pPr>
        <w:pStyle w:val="Paragraphedeliste"/>
        <w:numPr>
          <w:ilvl w:val="0"/>
          <w:numId w:val="74"/>
        </w:numPr>
        <w:rPr>
          <w:lang w:eastAsia="fr-FR"/>
        </w:rPr>
      </w:pPr>
      <w:r w:rsidRPr="00605612">
        <w:rPr>
          <w:b/>
          <w:bCs/>
          <w:lang w:eastAsia="fr-FR"/>
        </w:rPr>
        <w:t>La troisième étape est l’internalisation des compétences clés permettant de garantir la pérennité de la démarche</w:t>
      </w:r>
      <w:r w:rsidRPr="00BA7EFA">
        <w:rPr>
          <w:lang w:eastAsia="fr-FR"/>
        </w:rPr>
        <w:t xml:space="preserve">, même si les audits et les tests utilisateurs peuvent rester externalisés (avec accompagnement) vers des prestataires qualifiés. Concrètement, </w:t>
      </w:r>
      <w:r w:rsidR="00605612">
        <w:rPr>
          <w:lang w:eastAsia="fr-FR"/>
        </w:rPr>
        <w:t>cette internalisation</w:t>
      </w:r>
      <w:r w:rsidRPr="00BA7EFA">
        <w:rPr>
          <w:lang w:eastAsia="fr-FR"/>
        </w:rPr>
        <w:t xml:space="preserve"> peut</w:t>
      </w:r>
      <w:r w:rsidR="000A15FE">
        <w:rPr>
          <w:lang w:eastAsia="fr-FR"/>
        </w:rPr>
        <w:t xml:space="preserve"> </w:t>
      </w:r>
      <w:r w:rsidRPr="00BA7EFA">
        <w:rPr>
          <w:lang w:eastAsia="fr-FR"/>
        </w:rPr>
        <w:t>être assuré de plusieurs manières :</w:t>
      </w:r>
    </w:p>
    <w:p w14:paraId="16D85C3D" w14:textId="47CF73A2" w:rsidR="00BA7EFA" w:rsidRPr="00BA7EFA" w:rsidRDefault="00605612">
      <w:pPr>
        <w:numPr>
          <w:ilvl w:val="0"/>
          <w:numId w:val="50"/>
        </w:numPr>
        <w:rPr>
          <w:lang w:eastAsia="fr-FR"/>
        </w:rPr>
      </w:pPr>
      <w:r>
        <w:rPr>
          <w:b/>
          <w:bCs/>
          <w:lang w:eastAsia="fr-FR"/>
        </w:rPr>
        <w:lastRenderedPageBreak/>
        <w:t>L’i</w:t>
      </w:r>
      <w:r w:rsidR="00BA7EFA" w:rsidRPr="00BA7EFA">
        <w:rPr>
          <w:b/>
          <w:bCs/>
          <w:lang w:eastAsia="fr-FR"/>
        </w:rPr>
        <w:t>dentification des relais internes et des ambassadeurs</w:t>
      </w:r>
      <w:r w:rsidR="00BA7EFA" w:rsidRPr="00BA7EFA">
        <w:rPr>
          <w:lang w:eastAsia="fr-FR"/>
        </w:rPr>
        <w:t xml:space="preserve"> dans chaque direction, qui contribuent </w:t>
      </w:r>
      <w:r>
        <w:rPr>
          <w:lang w:eastAsia="fr-FR"/>
        </w:rPr>
        <w:t xml:space="preserve">ou sont susceptibles de contribuer </w:t>
      </w:r>
      <w:r w:rsidR="00BA7EFA" w:rsidRPr="00BA7EFA">
        <w:rPr>
          <w:lang w:eastAsia="fr-FR"/>
        </w:rPr>
        <w:t>à l'essaimage des bonnes pratiques</w:t>
      </w:r>
      <w:r w:rsidR="00E717B1">
        <w:rPr>
          <w:lang w:eastAsia="fr-FR"/>
        </w:rPr>
        <w:t>.</w:t>
      </w:r>
    </w:p>
    <w:p w14:paraId="0557552C" w14:textId="5D5542CE" w:rsidR="00BA7EFA" w:rsidRPr="00BA7EFA" w:rsidRDefault="00605612">
      <w:pPr>
        <w:numPr>
          <w:ilvl w:val="0"/>
          <w:numId w:val="50"/>
        </w:numPr>
        <w:rPr>
          <w:lang w:eastAsia="fr-FR"/>
        </w:rPr>
      </w:pPr>
      <w:r>
        <w:rPr>
          <w:b/>
          <w:bCs/>
          <w:lang w:eastAsia="fr-FR"/>
        </w:rPr>
        <w:t>La m</w:t>
      </w:r>
      <w:r w:rsidR="001C39FA">
        <w:rPr>
          <w:b/>
          <w:bCs/>
          <w:lang w:eastAsia="fr-FR"/>
        </w:rPr>
        <w:t>ise à contribution</w:t>
      </w:r>
      <w:r w:rsidR="001C39FA" w:rsidRPr="00BA7EFA">
        <w:rPr>
          <w:b/>
          <w:bCs/>
          <w:lang w:eastAsia="fr-FR"/>
        </w:rPr>
        <w:t xml:space="preserve"> </w:t>
      </w:r>
      <w:r w:rsidR="00BA7EFA" w:rsidRPr="00BA7EFA">
        <w:rPr>
          <w:b/>
          <w:bCs/>
          <w:lang w:eastAsia="fr-FR"/>
        </w:rPr>
        <w:t>des personnes en situation de handicap</w:t>
      </w:r>
      <w:r w:rsidR="00BA7EFA" w:rsidRPr="00BA7EFA">
        <w:rPr>
          <w:lang w:eastAsia="fr-FR"/>
        </w:rPr>
        <w:t xml:space="preserve"> : c’est l’une des meilleures manières de sensibiliser les collaborateurs et de garantir l'accessibilité d'usage. De plus, leur présence et leur participation aux tests utilisateurs sont la façon la plus concrète et humaine de provoquer une prise de conscience durable chez les équipes produit.</w:t>
      </w:r>
    </w:p>
    <w:p w14:paraId="026B37A1" w14:textId="007BAF18" w:rsidR="00BA7EFA" w:rsidRPr="00BA7EFA" w:rsidRDefault="00605612">
      <w:pPr>
        <w:numPr>
          <w:ilvl w:val="0"/>
          <w:numId w:val="50"/>
        </w:numPr>
        <w:rPr>
          <w:lang w:eastAsia="fr-FR"/>
        </w:rPr>
      </w:pPr>
      <w:r>
        <w:rPr>
          <w:b/>
          <w:bCs/>
          <w:lang w:eastAsia="fr-FR"/>
        </w:rPr>
        <w:t>L’i</w:t>
      </w:r>
      <w:r w:rsidR="00BA7EFA" w:rsidRPr="00BA7EFA">
        <w:rPr>
          <w:b/>
          <w:bCs/>
          <w:lang w:eastAsia="fr-FR"/>
        </w:rPr>
        <w:t>ntégration par défaut</w:t>
      </w:r>
      <w:r>
        <w:rPr>
          <w:b/>
          <w:bCs/>
          <w:lang w:eastAsia="fr-FR"/>
        </w:rPr>
        <w:t>,</w:t>
      </w:r>
      <w:r w:rsidR="00BA7EFA" w:rsidRPr="00BA7EFA">
        <w:rPr>
          <w:b/>
          <w:bCs/>
          <w:lang w:eastAsia="fr-FR"/>
        </w:rPr>
        <w:t xml:space="preserve"> dans les offres d'emploi</w:t>
      </w:r>
      <w:r>
        <w:rPr>
          <w:b/>
          <w:bCs/>
          <w:lang w:eastAsia="fr-FR"/>
        </w:rPr>
        <w:t>,</w:t>
      </w:r>
      <w:r w:rsidR="00BA7EFA" w:rsidRPr="00BA7EFA">
        <w:rPr>
          <w:lang w:eastAsia="fr-FR"/>
        </w:rPr>
        <w:t xml:space="preserve"> </w:t>
      </w:r>
      <w:r w:rsidR="00BA7EFA" w:rsidRPr="00BA7EFA">
        <w:rPr>
          <w:b/>
          <w:bCs/>
          <w:lang w:eastAsia="fr-FR"/>
        </w:rPr>
        <w:t>d</w:t>
      </w:r>
      <w:r>
        <w:rPr>
          <w:b/>
          <w:bCs/>
          <w:lang w:eastAsia="fr-FR"/>
        </w:rPr>
        <w:t xml:space="preserve">’exigences de </w:t>
      </w:r>
      <w:r w:rsidR="00BA7EFA" w:rsidRPr="00BA7EFA">
        <w:rPr>
          <w:b/>
          <w:bCs/>
          <w:lang w:eastAsia="fr-FR"/>
        </w:rPr>
        <w:t xml:space="preserve">compétences en accessibilité numérique </w:t>
      </w:r>
      <w:r w:rsidR="00BA7EFA" w:rsidRPr="00BA7EFA">
        <w:rPr>
          <w:lang w:eastAsia="fr-FR"/>
        </w:rPr>
        <w:t xml:space="preserve">pour les postes techniques (Développeurs, UX/UI, QA). Des modules de sensibilisation obligatoires peuvent par ailleurs être inclus dans le </w:t>
      </w:r>
      <w:r w:rsidR="00BA7EFA" w:rsidRPr="00BA7EFA">
        <w:rPr>
          <w:b/>
          <w:bCs/>
          <w:lang w:eastAsia="fr-FR"/>
        </w:rPr>
        <w:t xml:space="preserve">parcours </w:t>
      </w:r>
      <w:r w:rsidR="00BA7EFA" w:rsidRPr="00BA7EFA">
        <w:rPr>
          <w:b/>
          <w:bCs/>
          <w:i/>
          <w:iCs/>
          <w:lang w:eastAsia="fr-FR"/>
        </w:rPr>
        <w:t>d'</w:t>
      </w:r>
      <w:proofErr w:type="spellStart"/>
      <w:r w:rsidR="00BA7EFA" w:rsidRPr="00BA7EFA">
        <w:rPr>
          <w:b/>
          <w:bCs/>
          <w:i/>
          <w:iCs/>
          <w:lang w:eastAsia="fr-FR"/>
        </w:rPr>
        <w:t>onboarding</w:t>
      </w:r>
      <w:proofErr w:type="spellEnd"/>
      <w:r w:rsidR="00BA7EFA" w:rsidRPr="00BA7EFA">
        <w:rPr>
          <w:i/>
          <w:iCs/>
          <w:lang w:eastAsia="fr-FR"/>
        </w:rPr>
        <w:t xml:space="preserve"> </w:t>
      </w:r>
      <w:r w:rsidR="00BA7EFA" w:rsidRPr="00BA7EFA">
        <w:rPr>
          <w:lang w:eastAsia="fr-FR"/>
        </w:rPr>
        <w:t>de tout nouvel arrivant dans l'organisation.</w:t>
      </w:r>
    </w:p>
    <w:p w14:paraId="018E6261" w14:textId="6304A6B5" w:rsidR="00BA7EFA" w:rsidRDefault="00BA7EFA" w:rsidP="00BA7EFA">
      <w:pPr>
        <w:pStyle w:val="Titre3"/>
        <w:rPr>
          <w:lang w:val="fr-FR"/>
        </w:rPr>
      </w:pPr>
      <w:bookmarkStart w:id="77" w:name="_Toc230077033"/>
      <w:r w:rsidRPr="00BA7EFA">
        <w:rPr>
          <w:lang w:val="fr-FR"/>
        </w:rPr>
        <w:t>Avoir une gouvernance structurée et suivie dans le temps</w:t>
      </w:r>
      <w:bookmarkEnd w:id="77"/>
    </w:p>
    <w:p w14:paraId="209BD1B9" w14:textId="374540AE" w:rsidR="00BA7EFA" w:rsidRPr="00BA7EFA" w:rsidRDefault="00BA7EFA" w:rsidP="00BA7EFA">
      <w:pPr>
        <w:rPr>
          <w:lang w:eastAsia="fr-FR"/>
        </w:rPr>
      </w:pPr>
      <w:r w:rsidRPr="00BA7EFA">
        <w:rPr>
          <w:lang w:eastAsia="fr-FR"/>
        </w:rPr>
        <w:t>Placer l’accessibilité numérique au niveau d’un sujet de transformation d'entreprise implique différentes actions concrètes</w:t>
      </w:r>
      <w:r w:rsidR="00605612">
        <w:rPr>
          <w:lang w:eastAsia="fr-FR"/>
        </w:rPr>
        <w:t>, en trois étapes</w:t>
      </w:r>
      <w:r w:rsidRPr="00BA7EFA">
        <w:rPr>
          <w:lang w:eastAsia="fr-FR"/>
        </w:rPr>
        <w:t>. </w:t>
      </w:r>
    </w:p>
    <w:p w14:paraId="14C969F2" w14:textId="722F5C48" w:rsidR="00BA7EFA" w:rsidRPr="00BA7EFA" w:rsidRDefault="00BA7EFA">
      <w:pPr>
        <w:pStyle w:val="Paragraphedeliste"/>
        <w:numPr>
          <w:ilvl w:val="0"/>
          <w:numId w:val="74"/>
        </w:numPr>
        <w:rPr>
          <w:lang w:eastAsia="fr-FR"/>
        </w:rPr>
      </w:pPr>
      <w:r w:rsidRPr="00605612">
        <w:rPr>
          <w:b/>
          <w:bCs/>
          <w:lang w:eastAsia="fr-FR"/>
        </w:rPr>
        <w:t xml:space="preserve">La première étape est d’assurer </w:t>
      </w:r>
      <w:r w:rsidR="00F12632" w:rsidRPr="00605612">
        <w:rPr>
          <w:b/>
          <w:bCs/>
          <w:lang w:eastAsia="fr-FR"/>
        </w:rPr>
        <w:t xml:space="preserve">à la démarche </w:t>
      </w:r>
      <w:r w:rsidRPr="00605612">
        <w:rPr>
          <w:b/>
          <w:bCs/>
          <w:lang w:eastAsia="fr-FR"/>
        </w:rPr>
        <w:t xml:space="preserve">un portage de haut niveau </w:t>
      </w:r>
      <w:r w:rsidRPr="00BA7EFA">
        <w:rPr>
          <w:lang w:eastAsia="fr-FR"/>
        </w:rPr>
        <w:t xml:space="preserve">qui </w:t>
      </w:r>
      <w:r w:rsidR="004D6D25">
        <w:rPr>
          <w:lang w:eastAsia="fr-FR"/>
        </w:rPr>
        <w:t>permet</w:t>
      </w:r>
      <w:r w:rsidR="004D6D25" w:rsidRPr="00BA7EFA">
        <w:rPr>
          <w:lang w:eastAsia="fr-FR"/>
        </w:rPr>
        <w:t xml:space="preserve"> </w:t>
      </w:r>
      <w:r w:rsidRPr="00BA7EFA">
        <w:rPr>
          <w:lang w:eastAsia="fr-FR"/>
        </w:rPr>
        <w:t>un alignement stratégique et une diffusion des bonnes pratiques à l’échelle. La viabilité et la crédibilité nécessaires à ce soutien peuvent se traduire par :</w:t>
      </w:r>
    </w:p>
    <w:p w14:paraId="7AE6D300" w14:textId="79A2773D" w:rsidR="005E273F" w:rsidRDefault="005E273F">
      <w:pPr>
        <w:numPr>
          <w:ilvl w:val="0"/>
          <w:numId w:val="51"/>
        </w:numPr>
        <w:rPr>
          <w:lang w:eastAsia="fr-FR"/>
        </w:rPr>
      </w:pPr>
      <w:r w:rsidRPr="005E273F">
        <w:rPr>
          <w:lang w:eastAsia="fr-FR"/>
        </w:rPr>
        <w:t>Des incitations financières par intégration d'une métrique dédiée à l'accessibilité dans les grilles de bonus des </w:t>
      </w:r>
      <w:r w:rsidRPr="005E273F">
        <w:rPr>
          <w:i/>
          <w:iCs/>
          <w:lang w:eastAsia="fr-FR"/>
        </w:rPr>
        <w:t>sponsors</w:t>
      </w:r>
      <w:r w:rsidRPr="005E273F">
        <w:rPr>
          <w:lang w:eastAsia="fr-FR"/>
        </w:rPr>
        <w:t xml:space="preserve"> de la démarche</w:t>
      </w:r>
      <w:r>
        <w:rPr>
          <w:lang w:eastAsia="fr-FR"/>
        </w:rPr>
        <w:t>.</w:t>
      </w:r>
    </w:p>
    <w:p w14:paraId="0B742146" w14:textId="3611D219" w:rsidR="005E273F" w:rsidRDefault="005E273F">
      <w:pPr>
        <w:numPr>
          <w:ilvl w:val="0"/>
          <w:numId w:val="51"/>
        </w:numPr>
        <w:rPr>
          <w:lang w:eastAsia="fr-FR"/>
        </w:rPr>
      </w:pPr>
      <w:r>
        <w:rPr>
          <w:lang w:eastAsia="fr-FR"/>
        </w:rPr>
        <w:t>L</w:t>
      </w:r>
      <w:r w:rsidRPr="005E273F">
        <w:rPr>
          <w:lang w:eastAsia="fr-FR"/>
        </w:rPr>
        <w:t>e rappel des obligations légales et des pénalités associées</w:t>
      </w:r>
      <w:r>
        <w:rPr>
          <w:lang w:eastAsia="fr-FR"/>
        </w:rPr>
        <w:t>, pour manquement aux obligations légales.</w:t>
      </w:r>
    </w:p>
    <w:p w14:paraId="1D62EC8D" w14:textId="53A6750D" w:rsidR="00BA7EFA" w:rsidRPr="00BA7EFA" w:rsidRDefault="00BA7EFA">
      <w:pPr>
        <w:numPr>
          <w:ilvl w:val="0"/>
          <w:numId w:val="51"/>
        </w:numPr>
        <w:rPr>
          <w:lang w:eastAsia="fr-FR"/>
        </w:rPr>
      </w:pPr>
      <w:r w:rsidRPr="00BA7EFA">
        <w:rPr>
          <w:lang w:eastAsia="fr-FR"/>
        </w:rPr>
        <w:t>Un cadre de pilotage rigoureux s'inspirant de l'obligation légale d</w:t>
      </w:r>
      <w:r w:rsidR="00D83B77">
        <w:rPr>
          <w:lang w:eastAsia="fr-FR"/>
        </w:rPr>
        <w:t>’un plan p</w:t>
      </w:r>
      <w:r w:rsidRPr="00BA7EFA">
        <w:rPr>
          <w:lang w:eastAsia="fr-FR"/>
        </w:rPr>
        <w:t>luriannuel d'</w:t>
      </w:r>
      <w:r w:rsidR="00230C35" w:rsidRPr="00230C35">
        <w:rPr>
          <w:lang w:eastAsia="fr-FR"/>
        </w:rPr>
        <w:t>accessibilité numérique</w:t>
      </w:r>
      <w:r w:rsidRPr="00BA7EFA">
        <w:rPr>
          <w:lang w:eastAsia="fr-FR"/>
        </w:rPr>
        <w:t xml:space="preserve"> pour les entreprises privées. Ce document stratégique pourra être le moyen de distribuer les rôles, d'opérer un suivi formalisé et d'établir une feuille de route pluriannuelle robuste et clarifiante</w:t>
      </w:r>
      <w:r w:rsidR="00F12632">
        <w:rPr>
          <w:lang w:eastAsia="fr-FR"/>
        </w:rPr>
        <w:t>.</w:t>
      </w:r>
      <w:r w:rsidRPr="00BA7EFA">
        <w:rPr>
          <w:lang w:eastAsia="fr-FR"/>
        </w:rPr>
        <w:t> </w:t>
      </w:r>
    </w:p>
    <w:p w14:paraId="7719B004" w14:textId="2432BD34" w:rsidR="00BA7EFA" w:rsidRPr="00BA7EFA" w:rsidRDefault="00BA7EFA">
      <w:pPr>
        <w:numPr>
          <w:ilvl w:val="0"/>
          <w:numId w:val="51"/>
        </w:numPr>
        <w:rPr>
          <w:lang w:eastAsia="fr-FR"/>
        </w:rPr>
      </w:pPr>
      <w:r w:rsidRPr="00BA7EFA">
        <w:rPr>
          <w:lang w:eastAsia="fr-FR"/>
        </w:rPr>
        <w:t>Un traitement du sujet de l’accessibilité numérique au sein des démarches RSE</w:t>
      </w:r>
      <w:r w:rsidR="00F12632">
        <w:rPr>
          <w:lang w:eastAsia="fr-FR"/>
        </w:rPr>
        <w:t>.</w:t>
      </w:r>
      <w:r w:rsidRPr="00BA7EFA">
        <w:rPr>
          <w:lang w:eastAsia="fr-FR"/>
        </w:rPr>
        <w:t> </w:t>
      </w:r>
    </w:p>
    <w:p w14:paraId="2F827EA4" w14:textId="79472A2D" w:rsidR="00BA7EFA" w:rsidRPr="00BA7EFA" w:rsidRDefault="00BA7EFA">
      <w:pPr>
        <w:pStyle w:val="Paragraphedeliste"/>
        <w:numPr>
          <w:ilvl w:val="0"/>
          <w:numId w:val="74"/>
        </w:numPr>
        <w:rPr>
          <w:lang w:eastAsia="fr-FR"/>
        </w:rPr>
      </w:pPr>
      <w:r w:rsidRPr="00605612">
        <w:rPr>
          <w:b/>
          <w:bCs/>
          <w:lang w:eastAsia="fr-FR"/>
        </w:rPr>
        <w:t xml:space="preserve">La deuxième étape est de répartir les périmètres de responsabilité et de compétences des parties prenantes. </w:t>
      </w:r>
      <w:r w:rsidRPr="00BA7EFA">
        <w:rPr>
          <w:lang w:eastAsia="fr-FR"/>
        </w:rPr>
        <w:t>La déclinaison organisationnelle de l'accessibilité dépend de plusieurs facteurs</w:t>
      </w:r>
      <w:r w:rsidR="00605612">
        <w:rPr>
          <w:lang w:eastAsia="fr-FR"/>
        </w:rPr>
        <w:t> </w:t>
      </w:r>
      <w:r w:rsidRPr="00BA7EFA">
        <w:rPr>
          <w:lang w:eastAsia="fr-FR"/>
        </w:rPr>
        <w:t>: </w:t>
      </w:r>
    </w:p>
    <w:p w14:paraId="3C4136B7" w14:textId="03406BCE" w:rsidR="00BA7EFA" w:rsidRPr="00BA7EFA" w:rsidRDefault="00BA7EFA">
      <w:pPr>
        <w:numPr>
          <w:ilvl w:val="0"/>
          <w:numId w:val="52"/>
        </w:numPr>
        <w:rPr>
          <w:lang w:eastAsia="fr-FR"/>
        </w:rPr>
      </w:pPr>
      <w:r w:rsidRPr="00BA7EFA">
        <w:rPr>
          <w:lang w:eastAsia="fr-FR"/>
        </w:rPr>
        <w:t>L’identification du référent accessibilité de l’organisation, qui doit incarner, piloter et rendre compte annuellement, à une instance, dédiée de l'état d’avancée de la démarche</w:t>
      </w:r>
      <w:r w:rsidR="00F12632">
        <w:rPr>
          <w:lang w:eastAsia="fr-FR"/>
        </w:rPr>
        <w:t>.</w:t>
      </w:r>
    </w:p>
    <w:p w14:paraId="2CDCDBDB" w14:textId="41FF7A4B" w:rsidR="00BA7EFA" w:rsidRPr="00BA7EFA" w:rsidRDefault="00BA7EFA">
      <w:pPr>
        <w:numPr>
          <w:ilvl w:val="0"/>
          <w:numId w:val="52"/>
        </w:numPr>
        <w:rPr>
          <w:lang w:eastAsia="fr-FR"/>
        </w:rPr>
      </w:pPr>
      <w:r w:rsidRPr="00BA7EFA">
        <w:rPr>
          <w:lang w:eastAsia="fr-FR"/>
        </w:rPr>
        <w:t xml:space="preserve">La décentralisation de la mise en </w:t>
      </w:r>
      <w:r w:rsidR="00E7264B" w:rsidRPr="00BA7EFA">
        <w:rPr>
          <w:lang w:eastAsia="fr-FR"/>
        </w:rPr>
        <w:t>œuvre</w:t>
      </w:r>
      <w:r w:rsidRPr="00BA7EFA">
        <w:rPr>
          <w:lang w:eastAsia="fr-FR"/>
        </w:rPr>
        <w:t xml:space="preserve"> en dehors du comité stratégique (COMEX) grâce à la mise en place d’un comité opérationnel (COPIL) et éventuellement d’un troisième comité intermédiaire, le comité décisionnel (CODIR) pour valider les orientations et gérer le portefeuille de projets. </w:t>
      </w:r>
    </w:p>
    <w:p w14:paraId="2FEB1E13" w14:textId="77777777" w:rsidR="00BA7EFA" w:rsidRPr="00BA7EFA" w:rsidRDefault="00BA7EFA">
      <w:pPr>
        <w:numPr>
          <w:ilvl w:val="0"/>
          <w:numId w:val="52"/>
        </w:numPr>
        <w:rPr>
          <w:lang w:eastAsia="fr-FR"/>
        </w:rPr>
      </w:pPr>
      <w:r w:rsidRPr="00BA7EFA">
        <w:rPr>
          <w:lang w:eastAsia="fr-FR"/>
        </w:rPr>
        <w:t>La présentation des résultats portés au sein des différentes instances de décision de manière répétée.</w:t>
      </w:r>
    </w:p>
    <w:p w14:paraId="69ED9D9C" w14:textId="2BD701E0" w:rsidR="00BA7EFA" w:rsidRPr="00BA7EFA" w:rsidRDefault="00BA7EFA">
      <w:pPr>
        <w:pStyle w:val="Paragraphedeliste"/>
        <w:numPr>
          <w:ilvl w:val="0"/>
          <w:numId w:val="74"/>
        </w:numPr>
        <w:rPr>
          <w:lang w:eastAsia="fr-FR"/>
        </w:rPr>
      </w:pPr>
      <w:r w:rsidRPr="00605612">
        <w:rPr>
          <w:b/>
          <w:bCs/>
          <w:lang w:eastAsia="fr-FR"/>
        </w:rPr>
        <w:lastRenderedPageBreak/>
        <w:t>La troisième étape est d’assurer une animation transversale autour de l’</w:t>
      </w:r>
      <w:r w:rsidR="001C39FA" w:rsidRPr="00605612">
        <w:rPr>
          <w:b/>
          <w:bCs/>
          <w:lang w:eastAsia="fr-FR"/>
        </w:rPr>
        <w:t>accessibilité numérique</w:t>
      </w:r>
      <w:r w:rsidRPr="00BA7EFA">
        <w:rPr>
          <w:lang w:eastAsia="fr-FR"/>
        </w:rPr>
        <w:t>. Le sujet de l’</w:t>
      </w:r>
      <w:r w:rsidR="00230C35" w:rsidRPr="00230C35">
        <w:rPr>
          <w:lang w:eastAsia="fr-FR"/>
        </w:rPr>
        <w:t>accessibilité numérique</w:t>
      </w:r>
      <w:r w:rsidRPr="00BA7EFA">
        <w:rPr>
          <w:lang w:eastAsia="fr-FR"/>
        </w:rPr>
        <w:t xml:space="preserve"> ne doit pas rester l’apanage des directions numériques. La gouvernance de l’accessibilité numérique doit pouvoir s’inscrire au sein des directions de la communication, des RH, ou encore de la RSE.</w:t>
      </w:r>
    </w:p>
    <w:p w14:paraId="1F930996" w14:textId="7CB6B45A" w:rsidR="00C300F3" w:rsidRDefault="00BA7EFA" w:rsidP="00605612">
      <w:pPr>
        <w:ind w:left="360"/>
        <w:rPr>
          <w:lang w:eastAsia="fr-FR"/>
        </w:rPr>
      </w:pPr>
      <w:r w:rsidRPr="00BA7EFA">
        <w:rPr>
          <w:lang w:eastAsia="fr-FR"/>
        </w:rPr>
        <w:t xml:space="preserve">Il faut </w:t>
      </w:r>
      <w:r w:rsidR="00C300F3">
        <w:rPr>
          <w:lang w:eastAsia="fr-FR"/>
        </w:rPr>
        <w:t>donc</w:t>
      </w:r>
      <w:r w:rsidR="00C300F3" w:rsidRPr="00BA7EFA">
        <w:rPr>
          <w:lang w:eastAsia="fr-FR"/>
        </w:rPr>
        <w:t xml:space="preserve"> </w:t>
      </w:r>
      <w:r w:rsidRPr="00BA7EFA">
        <w:rPr>
          <w:lang w:eastAsia="fr-FR"/>
        </w:rPr>
        <w:t xml:space="preserve">définir un point d’entrée pour embarquer les différentes parties prenantes et assurer une transversalité dans les organes de suivi et de décisions </w:t>
      </w:r>
      <w:r w:rsidR="00C300F3">
        <w:rPr>
          <w:lang w:eastAsia="fr-FR"/>
        </w:rPr>
        <w:t>e</w:t>
      </w:r>
      <w:r w:rsidRPr="00BA7EFA">
        <w:rPr>
          <w:lang w:eastAsia="fr-FR"/>
        </w:rPr>
        <w:t xml:space="preserve">n fonction de l’organisation, de sa structuration, de son secteur, de sa culture etc. </w:t>
      </w:r>
    </w:p>
    <w:p w14:paraId="16C8A2F3" w14:textId="38B28376" w:rsidR="00BA7EFA" w:rsidRPr="00BA7EFA" w:rsidRDefault="009112B7" w:rsidP="00605612">
      <w:pPr>
        <w:ind w:left="360"/>
        <w:rPr>
          <w:lang w:eastAsia="fr-FR"/>
        </w:rPr>
      </w:pPr>
      <w:r w:rsidRPr="00605612">
        <w:rPr>
          <w:lang w:eastAsia="fr-FR"/>
        </w:rPr>
        <w:t>L’accessibilité numérique</w:t>
      </w:r>
      <w:r w:rsidR="00605612" w:rsidRPr="00605612">
        <w:rPr>
          <w:lang w:eastAsia="fr-FR"/>
        </w:rPr>
        <w:t xml:space="preserve"> peut</w:t>
      </w:r>
      <w:r w:rsidRPr="00605612">
        <w:rPr>
          <w:lang w:eastAsia="fr-FR"/>
        </w:rPr>
        <w:t xml:space="preserve"> ê</w:t>
      </w:r>
      <w:r w:rsidR="00BA7EFA" w:rsidRPr="00605612">
        <w:rPr>
          <w:lang w:eastAsia="fr-FR"/>
        </w:rPr>
        <w:t>tre structurée à partir d’une approche généraliste de cartographie des risques ESG</w:t>
      </w:r>
      <w:r w:rsidR="00BA7EFA" w:rsidRPr="00BA7EFA">
        <w:rPr>
          <w:lang w:eastAsia="fr-FR"/>
        </w:rPr>
        <w:t xml:space="preserve">, intégrant </w:t>
      </w:r>
      <w:r w:rsidR="00C300F3">
        <w:rPr>
          <w:lang w:eastAsia="fr-FR"/>
        </w:rPr>
        <w:t>différents impacts</w:t>
      </w:r>
      <w:r w:rsidR="00BA7EFA" w:rsidRPr="00BA7EFA">
        <w:rPr>
          <w:lang w:eastAsia="fr-FR"/>
        </w:rPr>
        <w:t xml:space="preserve"> : </w:t>
      </w:r>
    </w:p>
    <w:p w14:paraId="2A20047E" w14:textId="12029FFA" w:rsidR="00BA7EFA" w:rsidRPr="00BA7EFA" w:rsidRDefault="00E26392">
      <w:pPr>
        <w:pStyle w:val="Paragraphedeliste"/>
        <w:numPr>
          <w:ilvl w:val="0"/>
          <w:numId w:val="53"/>
        </w:numPr>
        <w:ind w:left="1788"/>
        <w:rPr>
          <w:lang w:eastAsia="fr-FR"/>
        </w:rPr>
      </w:pPr>
      <w:r>
        <w:rPr>
          <w:lang w:eastAsia="fr-FR"/>
        </w:rPr>
        <w:t>Impacts r</w:t>
      </w:r>
      <w:r w:rsidR="00C300F3" w:rsidRPr="00BA7EFA">
        <w:rPr>
          <w:lang w:eastAsia="fr-FR"/>
        </w:rPr>
        <w:t>éputationnel</w:t>
      </w:r>
      <w:r w:rsidR="00C300F3">
        <w:rPr>
          <w:lang w:eastAsia="fr-FR"/>
        </w:rPr>
        <w:t>s</w:t>
      </w:r>
      <w:r w:rsidR="00C300F3" w:rsidRPr="00BA7EFA">
        <w:rPr>
          <w:lang w:eastAsia="fr-FR"/>
        </w:rPr>
        <w:t xml:space="preserve"> </w:t>
      </w:r>
      <w:r w:rsidR="00BA7EFA" w:rsidRPr="00BA7EFA">
        <w:rPr>
          <w:lang w:eastAsia="fr-FR"/>
        </w:rPr>
        <w:t>et communicationnel</w:t>
      </w:r>
      <w:r w:rsidR="004D6D25">
        <w:rPr>
          <w:lang w:eastAsia="fr-FR"/>
        </w:rPr>
        <w:t>s</w:t>
      </w:r>
      <w:r w:rsidR="00BA7EFA" w:rsidRPr="00BA7EFA">
        <w:rPr>
          <w:lang w:eastAsia="fr-FR"/>
        </w:rPr>
        <w:t xml:space="preserve"> ;</w:t>
      </w:r>
    </w:p>
    <w:p w14:paraId="295922CD" w14:textId="08518ABD" w:rsidR="00BA7EFA" w:rsidRPr="00BA7EFA" w:rsidRDefault="00E26392">
      <w:pPr>
        <w:pStyle w:val="Paragraphedeliste"/>
        <w:numPr>
          <w:ilvl w:val="0"/>
          <w:numId w:val="53"/>
        </w:numPr>
        <w:ind w:left="1788"/>
        <w:rPr>
          <w:lang w:eastAsia="fr-FR"/>
        </w:rPr>
      </w:pPr>
      <w:r>
        <w:rPr>
          <w:lang w:eastAsia="fr-FR"/>
        </w:rPr>
        <w:t>Impacts o</w:t>
      </w:r>
      <w:r w:rsidR="00BA7EFA" w:rsidRPr="00BA7EFA">
        <w:rPr>
          <w:lang w:eastAsia="fr-FR"/>
        </w:rPr>
        <w:t>pérationnelle (relation client/utilisateur/employé) ;</w:t>
      </w:r>
    </w:p>
    <w:p w14:paraId="5B98E1D2" w14:textId="74980C26" w:rsidR="00BA7EFA" w:rsidRPr="00BA7EFA" w:rsidRDefault="00E26392">
      <w:pPr>
        <w:pStyle w:val="Paragraphedeliste"/>
        <w:numPr>
          <w:ilvl w:val="0"/>
          <w:numId w:val="53"/>
        </w:numPr>
        <w:ind w:left="1788"/>
        <w:rPr>
          <w:lang w:eastAsia="fr-FR"/>
        </w:rPr>
      </w:pPr>
      <w:r>
        <w:rPr>
          <w:lang w:eastAsia="fr-FR"/>
        </w:rPr>
        <w:t>Impacts r</w:t>
      </w:r>
      <w:r w:rsidR="00BA7EFA" w:rsidRPr="00BA7EFA">
        <w:rPr>
          <w:lang w:eastAsia="fr-FR"/>
        </w:rPr>
        <w:t xml:space="preserve">églementaire et financière, en évitant la simple provision de budget pour payer les amendes </w:t>
      </w:r>
    </w:p>
    <w:p w14:paraId="131C1CD8" w14:textId="441D3266" w:rsidR="00BA7EFA" w:rsidRPr="00BA7EFA" w:rsidRDefault="00E26392">
      <w:pPr>
        <w:pStyle w:val="Paragraphedeliste"/>
        <w:numPr>
          <w:ilvl w:val="0"/>
          <w:numId w:val="53"/>
        </w:numPr>
        <w:ind w:left="1788"/>
        <w:rPr>
          <w:lang w:eastAsia="fr-FR"/>
        </w:rPr>
      </w:pPr>
      <w:r>
        <w:rPr>
          <w:lang w:eastAsia="fr-FR"/>
        </w:rPr>
        <w:t xml:space="preserve">Impacts </w:t>
      </w:r>
      <w:r w:rsidR="00AE7B83">
        <w:rPr>
          <w:lang w:eastAsia="fr-FR"/>
        </w:rPr>
        <w:t>en matière de justice sociale (</w:t>
      </w:r>
      <w:r w:rsidR="00BA7EFA" w:rsidRPr="00BA7EFA">
        <w:rPr>
          <w:lang w:eastAsia="fr-FR"/>
        </w:rPr>
        <w:t>droit</w:t>
      </w:r>
      <w:r w:rsidR="00AE7B83">
        <w:rPr>
          <w:lang w:eastAsia="fr-FR"/>
        </w:rPr>
        <w:t>s</w:t>
      </w:r>
      <w:r w:rsidR="00BA7EFA" w:rsidRPr="00BA7EFA">
        <w:rPr>
          <w:lang w:eastAsia="fr-FR"/>
        </w:rPr>
        <w:t xml:space="preserve"> </w:t>
      </w:r>
      <w:r w:rsidR="00AE7B83">
        <w:rPr>
          <w:lang w:eastAsia="fr-FR"/>
        </w:rPr>
        <w:t xml:space="preserve">des </w:t>
      </w:r>
      <w:r w:rsidR="00BA7EFA" w:rsidRPr="00BA7EFA">
        <w:rPr>
          <w:lang w:eastAsia="fr-FR"/>
        </w:rPr>
        <w:t>personne</w:t>
      </w:r>
      <w:r w:rsidR="00AE7B83">
        <w:rPr>
          <w:lang w:eastAsia="fr-FR"/>
        </w:rPr>
        <w:t>s</w:t>
      </w:r>
      <w:r w:rsidR="00BA7EFA" w:rsidRPr="00BA7EFA">
        <w:rPr>
          <w:lang w:eastAsia="fr-FR"/>
        </w:rPr>
        <w:t xml:space="preserve"> </w:t>
      </w:r>
      <w:r w:rsidR="00AE7B83">
        <w:rPr>
          <w:lang w:eastAsia="fr-FR"/>
        </w:rPr>
        <w:t xml:space="preserve">à disposer </w:t>
      </w:r>
      <w:r w:rsidR="00BA7EFA" w:rsidRPr="00BA7EFA">
        <w:rPr>
          <w:lang w:eastAsia="fr-FR"/>
        </w:rPr>
        <w:t>d’une plus forte autonomie grâce à des outils et services numériques</w:t>
      </w:r>
      <w:r w:rsidR="00AE7B83">
        <w:rPr>
          <w:lang w:eastAsia="fr-FR"/>
        </w:rPr>
        <w:t>)</w:t>
      </w:r>
      <w:r w:rsidR="00BA7EFA" w:rsidRPr="00BA7EFA">
        <w:rPr>
          <w:lang w:eastAsia="fr-FR"/>
        </w:rPr>
        <w:t>.</w:t>
      </w:r>
    </w:p>
    <w:p w14:paraId="388B3EFF" w14:textId="377BAE31" w:rsidR="00BA7EFA" w:rsidRPr="00BA7EFA" w:rsidRDefault="009112B7" w:rsidP="00605612">
      <w:pPr>
        <w:ind w:left="360"/>
        <w:rPr>
          <w:lang w:eastAsia="fr-FR"/>
        </w:rPr>
      </w:pPr>
      <w:r w:rsidRPr="00605612">
        <w:rPr>
          <w:lang w:eastAsia="fr-FR"/>
        </w:rPr>
        <w:t>Elle peut également s</w:t>
      </w:r>
      <w:r w:rsidR="00BA7EFA" w:rsidRPr="00605612">
        <w:rPr>
          <w:lang w:eastAsia="fr-FR"/>
        </w:rPr>
        <w:t>ervir de relais pour faire passer à l’échelle le label Numérique Responsable (via</w:t>
      </w:r>
      <w:r w:rsidR="00BA7EFA" w:rsidRPr="00BA7EFA">
        <w:rPr>
          <w:lang w:eastAsia="fr-FR"/>
        </w:rPr>
        <w:t xml:space="preserve"> un indice </w:t>
      </w:r>
      <w:r w:rsidR="00E378E0">
        <w:rPr>
          <w:lang w:eastAsia="fr-FR"/>
        </w:rPr>
        <w:t>« </w:t>
      </w:r>
      <w:r w:rsidR="00BA7EFA" w:rsidRPr="00BA7EFA">
        <w:rPr>
          <w:lang w:eastAsia="fr-FR"/>
        </w:rPr>
        <w:t>éco-conception</w:t>
      </w:r>
      <w:r w:rsidR="00E378E0">
        <w:rPr>
          <w:lang w:eastAsia="fr-FR"/>
        </w:rPr>
        <w:t> »</w:t>
      </w:r>
      <w:r w:rsidR="00BA7EFA" w:rsidRPr="00BA7EFA">
        <w:rPr>
          <w:lang w:eastAsia="fr-FR"/>
        </w:rPr>
        <w:t xml:space="preserve"> élargi). Cette approche permet de s’arrimer à des processus et réalisations déjà existants.</w:t>
      </w:r>
    </w:p>
    <w:p w14:paraId="39F52F0F" w14:textId="39CFC95E" w:rsidR="00BA7EFA" w:rsidRPr="00F234C7" w:rsidRDefault="00BA7EFA" w:rsidP="00BA7EFA">
      <w:pPr>
        <w:pStyle w:val="Titre3"/>
        <w:rPr>
          <w:lang w:val="fr-FR"/>
        </w:rPr>
      </w:pPr>
      <w:bookmarkStart w:id="78" w:name="_Toc230077034"/>
      <w:r w:rsidRPr="00F234C7">
        <w:rPr>
          <w:lang w:val="fr-FR"/>
        </w:rPr>
        <w:t>Assurer un suivi itératif sur tout le cycle de vie des projets</w:t>
      </w:r>
      <w:bookmarkEnd w:id="78"/>
    </w:p>
    <w:p w14:paraId="217FC9A2" w14:textId="6B12DA89" w:rsidR="00BA7EFA" w:rsidRDefault="00605612" w:rsidP="00BA7EFA">
      <w:pPr>
        <w:rPr>
          <w:lang w:eastAsia="fr-FR"/>
        </w:rPr>
      </w:pPr>
      <w:r>
        <w:rPr>
          <w:lang w:eastAsia="fr-FR"/>
        </w:rPr>
        <w:t>Pour qu’elle soit pérenne, l’</w:t>
      </w:r>
      <w:r w:rsidR="00BA7EFA" w:rsidRPr="00BA7EFA">
        <w:rPr>
          <w:lang w:eastAsia="fr-FR"/>
        </w:rPr>
        <w:t xml:space="preserve">accessibilité numérique ne doit </w:t>
      </w:r>
      <w:r w:rsidR="00E270F6">
        <w:rPr>
          <w:lang w:eastAsia="fr-FR"/>
        </w:rPr>
        <w:t>pas</w:t>
      </w:r>
      <w:r w:rsidR="00E270F6" w:rsidRPr="00BA7EFA">
        <w:rPr>
          <w:lang w:eastAsia="fr-FR"/>
        </w:rPr>
        <w:t xml:space="preserve"> </w:t>
      </w:r>
      <w:r w:rsidR="00BA7EFA" w:rsidRPr="00BA7EFA">
        <w:rPr>
          <w:lang w:eastAsia="fr-FR"/>
        </w:rPr>
        <w:t xml:space="preserve">être une étape finale mais un fil conducteur intégré à chaque phase du projet. Pour répondre à la nécessité </w:t>
      </w:r>
      <w:r w:rsidR="00BA7EFA" w:rsidRPr="00BA7EFA">
        <w:rPr>
          <w:b/>
          <w:bCs/>
          <w:lang w:eastAsia="fr-FR"/>
        </w:rPr>
        <w:t>d’un suivi itératif tout au long du cycle de vie des projets numériques</w:t>
      </w:r>
      <w:r w:rsidR="00BA7EFA" w:rsidRPr="00BA7EFA">
        <w:rPr>
          <w:lang w:eastAsia="fr-FR"/>
        </w:rPr>
        <w:t xml:space="preserve">, plusieurs bonnes pratiques, outils et méthodes peuvent être déployés : </w:t>
      </w:r>
    </w:p>
    <w:p w14:paraId="5CFC4F02" w14:textId="6F3CBC7F" w:rsidR="00BA7EFA" w:rsidRPr="00605612" w:rsidRDefault="00BA7EFA" w:rsidP="00F755EB">
      <w:pPr>
        <w:pStyle w:val="Paragraphedeliste"/>
        <w:numPr>
          <w:ilvl w:val="0"/>
          <w:numId w:val="74"/>
        </w:numPr>
        <w:contextualSpacing w:val="0"/>
        <w:rPr>
          <w:b/>
          <w:bCs/>
          <w:lang w:eastAsia="fr-FR"/>
        </w:rPr>
      </w:pPr>
      <w:r w:rsidRPr="00605612">
        <w:rPr>
          <w:b/>
          <w:bCs/>
          <w:lang w:eastAsia="fr-FR"/>
        </w:rPr>
        <w:t xml:space="preserve">Méthodologies projet </w:t>
      </w:r>
    </w:p>
    <w:p w14:paraId="03030BC5" w14:textId="26DBC66F" w:rsidR="00BA7EFA" w:rsidRPr="00BA7EFA" w:rsidRDefault="00BA7EFA" w:rsidP="00F755EB">
      <w:pPr>
        <w:numPr>
          <w:ilvl w:val="0"/>
          <w:numId w:val="54"/>
        </w:numPr>
        <w:rPr>
          <w:lang w:eastAsia="fr-FR"/>
        </w:rPr>
      </w:pPr>
      <w:r w:rsidRPr="00BA7EFA">
        <w:rPr>
          <w:lang w:eastAsia="fr-FR"/>
        </w:rPr>
        <w:t>Intégrer des critères d’</w:t>
      </w:r>
      <w:r w:rsidR="00555BB6">
        <w:rPr>
          <w:lang w:eastAsia="fr-FR"/>
        </w:rPr>
        <w:t>accessibilité numérique</w:t>
      </w:r>
      <w:r w:rsidR="00372232" w:rsidRPr="00BA7EFA">
        <w:rPr>
          <w:lang w:eastAsia="fr-FR"/>
        </w:rPr>
        <w:t>, dès le début de</w:t>
      </w:r>
      <w:r w:rsidR="00372232">
        <w:rPr>
          <w:lang w:eastAsia="fr-FR"/>
        </w:rPr>
        <w:t xml:space="preserve"> la</w:t>
      </w:r>
      <w:r w:rsidR="00372232" w:rsidRPr="00BA7EFA">
        <w:rPr>
          <w:lang w:eastAsia="fr-FR"/>
        </w:rPr>
        <w:t xml:space="preserve"> phase d'étude</w:t>
      </w:r>
      <w:r w:rsidR="00372232">
        <w:rPr>
          <w:lang w:eastAsia="fr-FR"/>
        </w:rPr>
        <w:t>,</w:t>
      </w:r>
      <w:r w:rsidR="00372232" w:rsidRPr="00BA7EFA">
        <w:rPr>
          <w:lang w:eastAsia="fr-FR"/>
        </w:rPr>
        <w:t xml:space="preserve"> </w:t>
      </w:r>
      <w:r w:rsidRPr="00BA7EFA">
        <w:rPr>
          <w:lang w:eastAsia="fr-FR"/>
        </w:rPr>
        <w:t xml:space="preserve">dans les </w:t>
      </w:r>
      <w:r w:rsidRPr="00BA7EFA">
        <w:rPr>
          <w:b/>
          <w:bCs/>
          <w:lang w:eastAsia="fr-FR"/>
        </w:rPr>
        <w:t>méthodes projets</w:t>
      </w:r>
      <w:r w:rsidRPr="00BA7EFA">
        <w:rPr>
          <w:lang w:eastAsia="fr-FR"/>
        </w:rPr>
        <w:t xml:space="preserve">, </w:t>
      </w:r>
      <w:r w:rsidR="00372232">
        <w:rPr>
          <w:lang w:eastAsia="fr-FR"/>
        </w:rPr>
        <w:t xml:space="preserve">et </w:t>
      </w:r>
      <w:r w:rsidRPr="00BA7EFA">
        <w:rPr>
          <w:lang w:eastAsia="fr-FR"/>
        </w:rPr>
        <w:t>d</w:t>
      </w:r>
      <w:r w:rsidR="00372232">
        <w:rPr>
          <w:lang w:eastAsia="fr-FR"/>
        </w:rPr>
        <w:t>ans les</w:t>
      </w:r>
      <w:r w:rsidRPr="00BA7EFA">
        <w:rPr>
          <w:lang w:eastAsia="fr-FR"/>
        </w:rPr>
        <w:t xml:space="preserve"> spécifications fonctionnelles</w:t>
      </w:r>
      <w:r w:rsidR="00605612">
        <w:rPr>
          <w:lang w:eastAsia="fr-FR"/>
        </w:rPr>
        <w:t>. Cela</w:t>
      </w:r>
      <w:r w:rsidRPr="00BA7EFA">
        <w:rPr>
          <w:lang w:eastAsia="fr-FR"/>
        </w:rPr>
        <w:t xml:space="preserve"> </w:t>
      </w:r>
      <w:r w:rsidR="00D84644">
        <w:rPr>
          <w:lang w:eastAsia="fr-FR"/>
        </w:rPr>
        <w:t xml:space="preserve">permet </w:t>
      </w:r>
      <w:r w:rsidRPr="00BA7EFA">
        <w:rPr>
          <w:lang w:eastAsia="fr-FR"/>
        </w:rPr>
        <w:t>d</w:t>
      </w:r>
      <w:r w:rsidRPr="00BA7EFA">
        <w:rPr>
          <w:b/>
          <w:bCs/>
          <w:lang w:eastAsia="fr-FR"/>
        </w:rPr>
        <w:t>’éviter les surcoûts massifs liés à des refontes correctives ultérieures</w:t>
      </w:r>
      <w:r w:rsidR="00555BB6">
        <w:rPr>
          <w:b/>
          <w:bCs/>
          <w:lang w:eastAsia="fr-FR"/>
        </w:rPr>
        <w:t>.</w:t>
      </w:r>
      <w:r w:rsidR="00555BB6" w:rsidRPr="00555BB6">
        <w:rPr>
          <w:lang w:eastAsia="fr-FR"/>
        </w:rPr>
        <w:t xml:space="preserve"> </w:t>
      </w:r>
      <w:r w:rsidR="00555BB6" w:rsidRPr="00BA7EFA">
        <w:rPr>
          <w:lang w:eastAsia="fr-FR"/>
        </w:rPr>
        <w:t xml:space="preserve">De plus, grâce aux formations, à l’apprentissage continu, et à l'accessibilité </w:t>
      </w:r>
      <w:r w:rsidR="00555BB6" w:rsidRPr="00BA7EFA">
        <w:rPr>
          <w:i/>
          <w:iCs/>
          <w:lang w:eastAsia="fr-FR"/>
        </w:rPr>
        <w:t>by design</w:t>
      </w:r>
      <w:r w:rsidR="00555BB6" w:rsidRPr="00BA7EFA">
        <w:rPr>
          <w:lang w:eastAsia="fr-FR"/>
        </w:rPr>
        <w:t>, les temps de conception diminue</w:t>
      </w:r>
      <w:r w:rsidR="00372232">
        <w:rPr>
          <w:lang w:eastAsia="fr-FR"/>
        </w:rPr>
        <w:t>nt</w:t>
      </w:r>
      <w:r w:rsidR="00555BB6" w:rsidRPr="00BA7EFA">
        <w:rPr>
          <w:lang w:eastAsia="fr-FR"/>
        </w:rPr>
        <w:t xml:space="preserve"> fortement ;</w:t>
      </w:r>
    </w:p>
    <w:p w14:paraId="26E72C0E" w14:textId="0BD8C207" w:rsidR="00BA7EFA" w:rsidRPr="00BA7EFA" w:rsidRDefault="00605612" w:rsidP="00F755EB">
      <w:pPr>
        <w:numPr>
          <w:ilvl w:val="0"/>
          <w:numId w:val="54"/>
        </w:numPr>
        <w:rPr>
          <w:lang w:eastAsia="fr-FR"/>
        </w:rPr>
      </w:pPr>
      <w:r>
        <w:rPr>
          <w:lang w:eastAsia="fr-FR"/>
        </w:rPr>
        <w:t xml:space="preserve">S’assurer que l’accessibilité numérique soit </w:t>
      </w:r>
      <w:r w:rsidRPr="00543049">
        <w:rPr>
          <w:b/>
          <w:bCs/>
          <w:lang w:eastAsia="fr-FR"/>
        </w:rPr>
        <w:t>comprise et</w:t>
      </w:r>
      <w:r w:rsidR="00BA7EFA" w:rsidRPr="00543049">
        <w:rPr>
          <w:b/>
          <w:bCs/>
          <w:lang w:eastAsia="fr-FR"/>
        </w:rPr>
        <w:t xml:space="preserve"> validée</w:t>
      </w:r>
      <w:r w:rsidR="00BA7EFA" w:rsidRPr="00BA7EFA">
        <w:rPr>
          <w:b/>
          <w:bCs/>
          <w:lang w:eastAsia="fr-FR"/>
        </w:rPr>
        <w:t xml:space="preserve"> par les porteurs de projets et les décideurs </w:t>
      </w:r>
      <w:r w:rsidR="00BA7EFA" w:rsidRPr="00BA7EFA">
        <w:rPr>
          <w:lang w:eastAsia="fr-FR"/>
        </w:rPr>
        <w:t xml:space="preserve">afin </w:t>
      </w:r>
      <w:r w:rsidR="00543049">
        <w:rPr>
          <w:lang w:eastAsia="fr-FR"/>
        </w:rPr>
        <w:t>qu’elle soit</w:t>
      </w:r>
      <w:r w:rsidR="00BA7EFA" w:rsidRPr="00BA7EFA">
        <w:rPr>
          <w:lang w:eastAsia="fr-FR"/>
        </w:rPr>
        <w:t xml:space="preserve"> </w:t>
      </w:r>
      <w:r w:rsidR="00BA7EFA" w:rsidRPr="00BA7EFA">
        <w:rPr>
          <w:b/>
          <w:bCs/>
          <w:lang w:eastAsia="fr-FR"/>
        </w:rPr>
        <w:t>pr</w:t>
      </w:r>
      <w:r w:rsidR="00543049">
        <w:rPr>
          <w:b/>
          <w:bCs/>
          <w:lang w:eastAsia="fr-FR"/>
        </w:rPr>
        <w:t>ise</w:t>
      </w:r>
      <w:r w:rsidR="00BA7EFA" w:rsidRPr="00BA7EFA">
        <w:rPr>
          <w:b/>
          <w:bCs/>
          <w:lang w:eastAsia="fr-FR"/>
        </w:rPr>
        <w:t xml:space="preserve"> en compte dans </w:t>
      </w:r>
      <w:r w:rsidR="00C31A3F">
        <w:rPr>
          <w:b/>
          <w:bCs/>
          <w:lang w:eastAsia="fr-FR"/>
        </w:rPr>
        <w:t>les estimations</w:t>
      </w:r>
      <w:r w:rsidR="00BA7EFA" w:rsidRPr="00BA7EFA">
        <w:rPr>
          <w:lang w:eastAsia="fr-FR"/>
        </w:rPr>
        <w:t xml:space="preserve"> (temps de gestion de projet, de conception UX/UI, de développement front end…). </w:t>
      </w:r>
    </w:p>
    <w:p w14:paraId="0D91E45E" w14:textId="236055F2" w:rsidR="00BA7EFA" w:rsidRPr="00BA7EFA" w:rsidRDefault="00BA7EFA" w:rsidP="00F755EB">
      <w:pPr>
        <w:numPr>
          <w:ilvl w:val="0"/>
          <w:numId w:val="54"/>
        </w:numPr>
        <w:rPr>
          <w:lang w:eastAsia="fr-FR"/>
        </w:rPr>
      </w:pPr>
      <w:r w:rsidRPr="00BA7EFA">
        <w:rPr>
          <w:lang w:eastAsia="fr-FR"/>
        </w:rPr>
        <w:t xml:space="preserve">Avoir une </w:t>
      </w:r>
      <w:r w:rsidRPr="00BA7EFA">
        <w:rPr>
          <w:b/>
          <w:bCs/>
          <w:lang w:eastAsia="fr-FR"/>
        </w:rPr>
        <w:t xml:space="preserve">ressource interne experte en </w:t>
      </w:r>
      <w:r w:rsidR="00230C35" w:rsidRPr="00230C35">
        <w:rPr>
          <w:b/>
          <w:bCs/>
          <w:lang w:eastAsia="fr-FR"/>
        </w:rPr>
        <w:t>accessibilité numérique</w:t>
      </w:r>
      <w:r w:rsidRPr="00BA7EFA">
        <w:rPr>
          <w:b/>
          <w:bCs/>
          <w:lang w:eastAsia="fr-FR"/>
        </w:rPr>
        <w:t xml:space="preserve"> à disposition des équipes dès la phase amont</w:t>
      </w:r>
      <w:r w:rsidR="00543049">
        <w:rPr>
          <w:lang w:eastAsia="fr-FR"/>
        </w:rPr>
        <w:t xml:space="preserve">. Cela </w:t>
      </w:r>
      <w:r w:rsidRPr="00BA7EFA">
        <w:rPr>
          <w:lang w:eastAsia="fr-FR"/>
        </w:rPr>
        <w:t xml:space="preserve">permet de démystifier le sujet, sans le résumer à la signalisation de non-conformité. Il est en effet important de </w:t>
      </w:r>
      <w:r w:rsidR="00D84644">
        <w:rPr>
          <w:lang w:eastAsia="fr-FR"/>
        </w:rPr>
        <w:t xml:space="preserve">distinguer </w:t>
      </w:r>
      <w:r w:rsidR="00543049" w:rsidRPr="00BA7EFA">
        <w:rPr>
          <w:lang w:eastAsia="fr-FR"/>
        </w:rPr>
        <w:t>accessibilité opérationnelle</w:t>
      </w:r>
      <w:r w:rsidR="00543049">
        <w:rPr>
          <w:lang w:eastAsia="fr-FR"/>
        </w:rPr>
        <w:t xml:space="preserve"> (taux d’utilisabilité)</w:t>
      </w:r>
      <w:r w:rsidR="00543049" w:rsidRPr="00BA7EFA">
        <w:rPr>
          <w:lang w:eastAsia="fr-FR"/>
        </w:rPr>
        <w:t xml:space="preserve"> </w:t>
      </w:r>
      <w:r w:rsidR="00543049">
        <w:rPr>
          <w:lang w:eastAsia="fr-FR"/>
        </w:rPr>
        <w:t xml:space="preserve">et </w:t>
      </w:r>
      <w:r w:rsidRPr="00BA7EFA">
        <w:rPr>
          <w:lang w:eastAsia="fr-FR"/>
        </w:rPr>
        <w:t xml:space="preserve">taux de conformité </w:t>
      </w:r>
      <w:r w:rsidR="00543049">
        <w:rPr>
          <w:lang w:eastAsia="fr-FR"/>
        </w:rPr>
        <w:t xml:space="preserve">de </w:t>
      </w:r>
      <w:r w:rsidRPr="00BA7EFA">
        <w:rPr>
          <w:lang w:eastAsia="fr-FR"/>
        </w:rPr>
        <w:t>100%</w:t>
      </w:r>
      <w:r w:rsidR="00D84644">
        <w:rPr>
          <w:lang w:eastAsia="fr-FR"/>
        </w:rPr>
        <w:t xml:space="preserve"> </w:t>
      </w:r>
      <w:r w:rsidRPr="00BA7EFA">
        <w:rPr>
          <w:lang w:eastAsia="fr-FR"/>
        </w:rPr>
        <w:t>; </w:t>
      </w:r>
    </w:p>
    <w:p w14:paraId="30F29502" w14:textId="38C04F1B" w:rsidR="00BA7EFA" w:rsidRPr="00BA7EFA" w:rsidRDefault="00BA7EFA" w:rsidP="00F755EB">
      <w:pPr>
        <w:numPr>
          <w:ilvl w:val="0"/>
          <w:numId w:val="54"/>
        </w:numPr>
        <w:rPr>
          <w:lang w:eastAsia="fr-FR"/>
        </w:rPr>
      </w:pPr>
      <w:r w:rsidRPr="00BA7EFA">
        <w:rPr>
          <w:lang w:eastAsia="fr-FR"/>
        </w:rPr>
        <w:lastRenderedPageBreak/>
        <w:t>L</w:t>
      </w:r>
      <w:r w:rsidR="00F234C7">
        <w:rPr>
          <w:lang w:eastAsia="fr-FR"/>
        </w:rPr>
        <w:t xml:space="preserve">e recours à un </w:t>
      </w:r>
      <w:r w:rsidR="00F234C7" w:rsidRPr="00F234C7">
        <w:rPr>
          <w:b/>
          <w:bCs/>
          <w:i/>
          <w:iCs/>
          <w:lang w:eastAsia="fr-FR"/>
        </w:rPr>
        <w:t>design system</w:t>
      </w:r>
      <w:r w:rsidRPr="00BA7EFA">
        <w:rPr>
          <w:b/>
          <w:bCs/>
          <w:lang w:eastAsia="fr-FR"/>
        </w:rPr>
        <w:t xml:space="preserve"> </w:t>
      </w:r>
      <w:r w:rsidRPr="00BA7EFA">
        <w:rPr>
          <w:lang w:eastAsia="fr-FR"/>
        </w:rPr>
        <w:t>permet d'industrialiser l'accessibilité en utilisant des composants déjà conformes par défaut ;</w:t>
      </w:r>
    </w:p>
    <w:p w14:paraId="654B43AB" w14:textId="0DA08D8C" w:rsidR="00BA7EFA" w:rsidRDefault="00BA7EFA" w:rsidP="00F755EB">
      <w:pPr>
        <w:numPr>
          <w:ilvl w:val="0"/>
          <w:numId w:val="54"/>
        </w:numPr>
        <w:rPr>
          <w:lang w:eastAsia="fr-FR"/>
        </w:rPr>
      </w:pPr>
      <w:r w:rsidRPr="00BA7EFA">
        <w:rPr>
          <w:lang w:eastAsia="fr-FR"/>
        </w:rPr>
        <w:t xml:space="preserve">Dans les </w:t>
      </w:r>
      <w:r w:rsidRPr="00BA7EFA">
        <w:rPr>
          <w:b/>
          <w:bCs/>
          <w:lang w:eastAsia="fr-FR"/>
        </w:rPr>
        <w:t>processus de design, de tests et de développement</w:t>
      </w:r>
      <w:r w:rsidRPr="00BA7EFA">
        <w:rPr>
          <w:lang w:eastAsia="fr-FR"/>
        </w:rPr>
        <w:t xml:space="preserve">, il est recommandé de définir des </w:t>
      </w:r>
      <w:r w:rsidRPr="00BA7EFA">
        <w:rPr>
          <w:i/>
          <w:iCs/>
          <w:lang w:eastAsia="fr-FR"/>
        </w:rPr>
        <w:t>personae</w:t>
      </w:r>
      <w:r w:rsidRPr="00BA7EFA">
        <w:rPr>
          <w:lang w:eastAsia="fr-FR"/>
        </w:rPr>
        <w:t xml:space="preserve"> (ou </w:t>
      </w:r>
      <w:r w:rsidR="00441C1F">
        <w:rPr>
          <w:lang w:eastAsia="fr-FR"/>
        </w:rPr>
        <w:t xml:space="preserve">« </w:t>
      </w:r>
      <w:r w:rsidRPr="00BA7EFA">
        <w:rPr>
          <w:lang w:eastAsia="fr-FR"/>
        </w:rPr>
        <w:t>usager type</w:t>
      </w:r>
      <w:r w:rsidR="00441C1F">
        <w:rPr>
          <w:lang w:eastAsia="fr-FR"/>
        </w:rPr>
        <w:t xml:space="preserve"> »</w:t>
      </w:r>
      <w:r w:rsidRPr="00BA7EFA">
        <w:rPr>
          <w:lang w:eastAsia="fr-FR"/>
        </w:rPr>
        <w:t>) avec un ou plusieurs types de handicaps :</w:t>
      </w:r>
    </w:p>
    <w:p w14:paraId="0B469EAA" w14:textId="1ABEAA4A" w:rsidR="00BA7EFA" w:rsidRDefault="00BA7EFA" w:rsidP="00F755EB">
      <w:pPr>
        <w:pStyle w:val="Paragraphedeliste"/>
        <w:numPr>
          <w:ilvl w:val="1"/>
          <w:numId w:val="54"/>
        </w:numPr>
        <w:contextualSpacing w:val="0"/>
        <w:rPr>
          <w:lang w:eastAsia="fr-FR"/>
        </w:rPr>
      </w:pPr>
      <w:r>
        <w:rPr>
          <w:lang w:eastAsia="fr-FR"/>
        </w:rPr>
        <w:t xml:space="preserve">Dans un premier temps, la création de </w:t>
      </w:r>
      <w:r w:rsidRPr="00F234C7">
        <w:rPr>
          <w:i/>
          <w:iCs/>
          <w:lang w:eastAsia="fr-FR"/>
        </w:rPr>
        <w:t>personae</w:t>
      </w:r>
      <w:r>
        <w:rPr>
          <w:lang w:eastAsia="fr-FR"/>
        </w:rPr>
        <w:t xml:space="preserve"> peut </w:t>
      </w:r>
      <w:r w:rsidR="00555BB6">
        <w:rPr>
          <w:lang w:eastAsia="fr-FR"/>
        </w:rPr>
        <w:t>être</w:t>
      </w:r>
      <w:r>
        <w:rPr>
          <w:lang w:eastAsia="fr-FR"/>
        </w:rPr>
        <w:t xml:space="preserve"> un moyen efficace de construire son interface utilisateur, dans la phase de développement UX. </w:t>
      </w:r>
      <w:r w:rsidR="00441C1F">
        <w:rPr>
          <w:lang w:eastAsia="fr-FR"/>
        </w:rPr>
        <w:t>Mais l</w:t>
      </w:r>
      <w:r>
        <w:rPr>
          <w:lang w:eastAsia="fr-FR"/>
        </w:rPr>
        <w:t xml:space="preserve">a représentativité des situations de handicap doit être suffisamment large et fine pour que la démarche comporte un intérêt, au moins en matière de mise en conformité. </w:t>
      </w:r>
    </w:p>
    <w:p w14:paraId="23C5703E" w14:textId="03D463C7" w:rsidR="00BA7EFA" w:rsidRPr="00BA7EFA" w:rsidRDefault="00BA7EFA" w:rsidP="00F755EB">
      <w:pPr>
        <w:pStyle w:val="Paragraphedeliste"/>
        <w:numPr>
          <w:ilvl w:val="1"/>
          <w:numId w:val="54"/>
        </w:numPr>
        <w:contextualSpacing w:val="0"/>
        <w:rPr>
          <w:lang w:eastAsia="fr-FR"/>
        </w:rPr>
      </w:pPr>
      <w:r>
        <w:rPr>
          <w:lang w:eastAsia="fr-FR"/>
        </w:rPr>
        <w:t>Dans un second temps, la mise en situation par tests utilisateurs peut avoir un fort intérêt pour répondre au mieux aux besoins réels</w:t>
      </w:r>
      <w:r w:rsidR="00DA2D1B">
        <w:rPr>
          <w:lang w:eastAsia="fr-FR"/>
        </w:rPr>
        <w:t xml:space="preserve"> en évitant de</w:t>
      </w:r>
      <w:r>
        <w:rPr>
          <w:lang w:eastAsia="fr-FR"/>
        </w:rPr>
        <w:t xml:space="preserve"> « s’imaginer le handicap »</w:t>
      </w:r>
      <w:r w:rsidR="00DA2D1B">
        <w:rPr>
          <w:lang w:eastAsia="fr-FR"/>
        </w:rPr>
        <w:t xml:space="preserve">. Elle permet aussi </w:t>
      </w:r>
      <w:r>
        <w:rPr>
          <w:lang w:eastAsia="fr-FR"/>
        </w:rPr>
        <w:t xml:space="preserve">de motiver les équipes </w:t>
      </w:r>
      <w:r w:rsidR="00DA2D1B">
        <w:rPr>
          <w:lang w:eastAsia="fr-FR"/>
        </w:rPr>
        <w:t>en proposant</w:t>
      </w:r>
      <w:r>
        <w:rPr>
          <w:lang w:eastAsia="fr-FR"/>
        </w:rPr>
        <w:t xml:space="preserve"> un rapport </w:t>
      </w:r>
      <w:r w:rsidR="00DA2D1B">
        <w:rPr>
          <w:lang w:eastAsia="fr-FR"/>
        </w:rPr>
        <w:t xml:space="preserve">plus </w:t>
      </w:r>
      <w:r>
        <w:rPr>
          <w:lang w:eastAsia="fr-FR"/>
        </w:rPr>
        <w:t>qualitatif et humain à leur travail. Ces considérations vont plus loin que le seul prisme « quantitatif » qui ressort des audits.</w:t>
      </w:r>
    </w:p>
    <w:p w14:paraId="3461A8F3" w14:textId="5440A627" w:rsidR="00BA7EFA" w:rsidRPr="00605612" w:rsidRDefault="00BA7EFA" w:rsidP="00F755EB">
      <w:pPr>
        <w:pStyle w:val="Paragraphedeliste"/>
        <w:numPr>
          <w:ilvl w:val="0"/>
          <w:numId w:val="78"/>
        </w:numPr>
        <w:contextualSpacing w:val="0"/>
        <w:rPr>
          <w:b/>
          <w:bCs/>
          <w:lang w:eastAsia="fr-FR"/>
        </w:rPr>
      </w:pPr>
      <w:r w:rsidRPr="00605612">
        <w:rPr>
          <w:b/>
          <w:bCs/>
          <w:lang w:eastAsia="fr-FR"/>
        </w:rPr>
        <w:t xml:space="preserve">Processus </w:t>
      </w:r>
    </w:p>
    <w:p w14:paraId="5B4B7F93" w14:textId="2A2FF5C5" w:rsidR="00054D42" w:rsidRDefault="00054D42" w:rsidP="00F755EB">
      <w:pPr>
        <w:rPr>
          <w:lang w:eastAsia="fr-FR"/>
        </w:rPr>
      </w:pPr>
      <w:r w:rsidRPr="00054D42">
        <w:rPr>
          <w:lang w:eastAsia="fr-FR"/>
        </w:rPr>
        <w:t>Le suivi itératif de l'accessibilité numérique repose sur la mise en œuvre d'un processus rigoureux articulé autour de la responsabilisation des acteurs, du contrôle de la conformité et d</w:t>
      </w:r>
      <w:r>
        <w:rPr>
          <w:lang w:eastAsia="fr-FR"/>
        </w:rPr>
        <w:t>’un suivi dédié à la phase projet :</w:t>
      </w:r>
    </w:p>
    <w:p w14:paraId="3743D2B3" w14:textId="2129CA88" w:rsidR="00BA7EFA" w:rsidRDefault="00BA7EFA" w:rsidP="00F755EB">
      <w:pPr>
        <w:pStyle w:val="Paragraphedeliste"/>
        <w:numPr>
          <w:ilvl w:val="0"/>
          <w:numId w:val="55"/>
        </w:numPr>
        <w:contextualSpacing w:val="0"/>
        <w:rPr>
          <w:lang w:eastAsia="fr-FR"/>
        </w:rPr>
      </w:pPr>
      <w:r>
        <w:rPr>
          <w:lang w:eastAsia="fr-FR"/>
        </w:rPr>
        <w:t>Diffuser le pilotage de l'accessibilité à tous les échelons de la gestion de projet (</w:t>
      </w:r>
      <w:r w:rsidRPr="00110AD0">
        <w:rPr>
          <w:i/>
          <w:iCs/>
          <w:lang w:eastAsia="fr-FR"/>
        </w:rPr>
        <w:t>Product Owner, Product Manager, Scrum</w:t>
      </w:r>
      <w:r>
        <w:rPr>
          <w:lang w:eastAsia="fr-FR"/>
        </w:rPr>
        <w:t xml:space="preserve"> Master, etc.) ;</w:t>
      </w:r>
    </w:p>
    <w:p w14:paraId="3FF6F3F2" w14:textId="77777777" w:rsidR="00BA7EFA" w:rsidRDefault="00BA7EFA" w:rsidP="00F755EB">
      <w:pPr>
        <w:pStyle w:val="Paragraphedeliste"/>
        <w:numPr>
          <w:ilvl w:val="0"/>
          <w:numId w:val="55"/>
        </w:numPr>
        <w:contextualSpacing w:val="0"/>
        <w:rPr>
          <w:lang w:eastAsia="fr-FR"/>
        </w:rPr>
      </w:pPr>
      <w:r>
        <w:rPr>
          <w:lang w:eastAsia="fr-FR"/>
        </w:rPr>
        <w:t>Assurer un suivi strict des corrections de non-conformité des applications auditées. Pour garantir l'objectivité, les personnes chargées de l'évaluation ne doivent pas être celles qui produisent ;</w:t>
      </w:r>
    </w:p>
    <w:p w14:paraId="7FF9595C" w14:textId="77777777" w:rsidR="00BA7EFA" w:rsidRDefault="00BA7EFA" w:rsidP="00F755EB">
      <w:pPr>
        <w:pStyle w:val="Paragraphedeliste"/>
        <w:numPr>
          <w:ilvl w:val="0"/>
          <w:numId w:val="55"/>
        </w:numPr>
        <w:contextualSpacing w:val="0"/>
        <w:rPr>
          <w:lang w:eastAsia="fr-FR"/>
        </w:rPr>
      </w:pPr>
      <w:r>
        <w:rPr>
          <w:lang w:eastAsia="fr-FR"/>
        </w:rPr>
        <w:t>Avoir une instance de régulation avec un pouvoir de retour sur les services développés ou achetés ;</w:t>
      </w:r>
    </w:p>
    <w:p w14:paraId="381CA40C" w14:textId="33ECC762" w:rsidR="00BA7EFA" w:rsidRDefault="00BA7EFA" w:rsidP="00F755EB">
      <w:pPr>
        <w:pStyle w:val="Paragraphedeliste"/>
        <w:numPr>
          <w:ilvl w:val="0"/>
          <w:numId w:val="55"/>
        </w:numPr>
        <w:contextualSpacing w:val="0"/>
        <w:rPr>
          <w:lang w:eastAsia="fr-FR"/>
        </w:rPr>
      </w:pPr>
      <w:r>
        <w:rPr>
          <w:lang w:eastAsia="fr-FR"/>
        </w:rPr>
        <w:t>Mener des auto-audit</w:t>
      </w:r>
      <w:r w:rsidR="001C39FA">
        <w:rPr>
          <w:lang w:eastAsia="fr-FR"/>
        </w:rPr>
        <w:t>s</w:t>
      </w:r>
      <w:r>
        <w:rPr>
          <w:lang w:eastAsia="fr-FR"/>
        </w:rPr>
        <w:t xml:space="preserve"> réguliers en interne et des audits externes pour la construction, le maintien, l’amélioration, l’évaluation, la correction et la conformité des actifs numériques (sites web et application</w:t>
      </w:r>
      <w:r w:rsidR="00543049">
        <w:rPr>
          <w:lang w:eastAsia="fr-FR"/>
        </w:rPr>
        <w:t>s</w:t>
      </w:r>
      <w:r>
        <w:rPr>
          <w:lang w:eastAsia="fr-FR"/>
        </w:rPr>
        <w:t xml:space="preserve"> pour mettre à jour la cartographie de l’accessibilité au niveau groupe)</w:t>
      </w:r>
      <w:r w:rsidR="00605612">
        <w:rPr>
          <w:lang w:eastAsia="fr-FR"/>
        </w:rPr>
        <w:t>.</w:t>
      </w:r>
    </w:p>
    <w:p w14:paraId="2BE04BD7" w14:textId="3694EBBE" w:rsidR="00BA7EFA" w:rsidRPr="00605612" w:rsidRDefault="00BA7EFA" w:rsidP="00F755EB">
      <w:pPr>
        <w:pStyle w:val="Paragraphedeliste"/>
        <w:numPr>
          <w:ilvl w:val="0"/>
          <w:numId w:val="78"/>
        </w:numPr>
        <w:contextualSpacing w:val="0"/>
        <w:rPr>
          <w:b/>
          <w:bCs/>
          <w:lang w:eastAsia="fr-FR"/>
        </w:rPr>
      </w:pPr>
      <w:r w:rsidRPr="00605612">
        <w:rPr>
          <w:b/>
          <w:bCs/>
          <w:lang w:eastAsia="fr-FR"/>
        </w:rPr>
        <w:t xml:space="preserve">Accompagnement </w:t>
      </w:r>
    </w:p>
    <w:p w14:paraId="1ABFD79D" w14:textId="7A9AC03B" w:rsidR="00BA7EFA" w:rsidRDefault="00BA7EFA" w:rsidP="00F755EB">
      <w:pPr>
        <w:rPr>
          <w:lang w:eastAsia="fr-FR"/>
        </w:rPr>
      </w:pPr>
      <w:r>
        <w:rPr>
          <w:lang w:eastAsia="fr-FR"/>
        </w:rPr>
        <w:t xml:space="preserve">La présence de </w:t>
      </w:r>
      <w:r w:rsidRPr="00555BB6">
        <w:rPr>
          <w:b/>
          <w:bCs/>
          <w:lang w:eastAsia="fr-FR"/>
        </w:rPr>
        <w:t xml:space="preserve">référents </w:t>
      </w:r>
      <w:r w:rsidR="00230C35">
        <w:rPr>
          <w:b/>
          <w:bCs/>
          <w:lang w:eastAsia="fr-FR"/>
        </w:rPr>
        <w:t>accessibilité numérique</w:t>
      </w:r>
      <w:r>
        <w:rPr>
          <w:lang w:eastAsia="fr-FR"/>
        </w:rPr>
        <w:t xml:space="preserve"> (internes ou externes) est cruciale pour accompagner les équipes (</w:t>
      </w:r>
      <w:r w:rsidRPr="00543049">
        <w:rPr>
          <w:i/>
          <w:iCs/>
          <w:lang w:eastAsia="fr-FR"/>
        </w:rPr>
        <w:t>PO, UX, Dev</w:t>
      </w:r>
      <w:r>
        <w:rPr>
          <w:lang w:eastAsia="fr-FR"/>
        </w:rPr>
        <w:t>)</w:t>
      </w:r>
      <w:r w:rsidR="00543049">
        <w:rPr>
          <w:lang w:eastAsia="fr-FR"/>
        </w:rPr>
        <w:t>,</w:t>
      </w:r>
      <w:r>
        <w:rPr>
          <w:lang w:eastAsia="fr-FR"/>
        </w:rPr>
        <w:t xml:space="preserve"> du lancement à la mise en production des projets</w:t>
      </w:r>
      <w:r w:rsidR="00543049">
        <w:rPr>
          <w:lang w:eastAsia="fr-FR"/>
        </w:rPr>
        <w:t>,</w:t>
      </w:r>
      <w:r>
        <w:rPr>
          <w:lang w:eastAsia="fr-FR"/>
        </w:rPr>
        <w:t xml:space="preserve"> </w:t>
      </w:r>
      <w:r w:rsidR="00DA2D1B">
        <w:rPr>
          <w:lang w:eastAsia="fr-FR"/>
        </w:rPr>
        <w:t>à travers une palette d’actions :</w:t>
      </w:r>
    </w:p>
    <w:p w14:paraId="4CBF66F8" w14:textId="2B2F6E27" w:rsidR="00BA7EFA" w:rsidRDefault="00BA7EFA" w:rsidP="00F755EB">
      <w:pPr>
        <w:pStyle w:val="Paragraphedeliste"/>
        <w:numPr>
          <w:ilvl w:val="0"/>
          <w:numId w:val="56"/>
        </w:numPr>
        <w:contextualSpacing w:val="0"/>
        <w:rPr>
          <w:lang w:eastAsia="fr-FR"/>
        </w:rPr>
      </w:pPr>
      <w:r>
        <w:rPr>
          <w:lang w:eastAsia="fr-FR"/>
        </w:rPr>
        <w:t xml:space="preserve">Mettre à disposition des </w:t>
      </w:r>
      <w:r w:rsidRPr="00BA7EFA">
        <w:rPr>
          <w:b/>
          <w:bCs/>
          <w:lang w:eastAsia="fr-FR"/>
        </w:rPr>
        <w:t>guides opérationnels spécifiques à chaque métier</w:t>
      </w:r>
      <w:r>
        <w:rPr>
          <w:lang w:eastAsia="fr-FR"/>
        </w:rPr>
        <w:t xml:space="preserve"> (check</w:t>
      </w:r>
      <w:r w:rsidR="001C39FA">
        <w:rPr>
          <w:lang w:eastAsia="fr-FR"/>
        </w:rPr>
        <w:t>-</w:t>
      </w:r>
      <w:r>
        <w:rPr>
          <w:lang w:eastAsia="fr-FR"/>
        </w:rPr>
        <w:t>list pour les responsables de contenus, pour les designers, les acheteurs, les référents accessibilité...) ;</w:t>
      </w:r>
    </w:p>
    <w:p w14:paraId="65DE1620" w14:textId="168EAD61" w:rsidR="00BA7EFA" w:rsidRDefault="00BA7EFA" w:rsidP="00F755EB">
      <w:pPr>
        <w:pStyle w:val="Paragraphedeliste"/>
        <w:numPr>
          <w:ilvl w:val="0"/>
          <w:numId w:val="56"/>
        </w:numPr>
        <w:contextualSpacing w:val="0"/>
        <w:rPr>
          <w:lang w:eastAsia="fr-FR"/>
        </w:rPr>
      </w:pPr>
      <w:r>
        <w:rPr>
          <w:lang w:eastAsia="fr-FR"/>
        </w:rPr>
        <w:t xml:space="preserve">Intégrer un </w:t>
      </w:r>
      <w:r w:rsidRPr="00BA7EFA">
        <w:rPr>
          <w:b/>
          <w:bCs/>
          <w:lang w:eastAsia="fr-FR"/>
        </w:rPr>
        <w:t>quiz</w:t>
      </w:r>
      <w:r>
        <w:rPr>
          <w:lang w:eastAsia="fr-FR"/>
        </w:rPr>
        <w:t xml:space="preserve"> ou des </w:t>
      </w:r>
      <w:r w:rsidRPr="00BA7EFA">
        <w:rPr>
          <w:b/>
          <w:bCs/>
          <w:lang w:eastAsia="fr-FR"/>
        </w:rPr>
        <w:t>questions</w:t>
      </w:r>
      <w:r>
        <w:rPr>
          <w:lang w:eastAsia="fr-FR"/>
        </w:rPr>
        <w:t xml:space="preserve"> dédiées à l'accessibilité numérique lors de chaque présentation de nouveau projet, garantissant que les équipes aient bien intégré les exigences ;</w:t>
      </w:r>
    </w:p>
    <w:p w14:paraId="1403C842" w14:textId="60566735" w:rsidR="00BA7EFA" w:rsidRDefault="00BA7EFA" w:rsidP="00F755EB">
      <w:pPr>
        <w:pStyle w:val="Paragraphedeliste"/>
        <w:numPr>
          <w:ilvl w:val="0"/>
          <w:numId w:val="56"/>
        </w:numPr>
        <w:contextualSpacing w:val="0"/>
        <w:rPr>
          <w:lang w:eastAsia="fr-FR"/>
        </w:rPr>
      </w:pPr>
      <w:r>
        <w:rPr>
          <w:lang w:eastAsia="fr-FR"/>
        </w:rPr>
        <w:lastRenderedPageBreak/>
        <w:t xml:space="preserve">Trouver un </w:t>
      </w:r>
      <w:r w:rsidRPr="00BA7EFA">
        <w:rPr>
          <w:b/>
          <w:bCs/>
          <w:lang w:eastAsia="fr-FR"/>
        </w:rPr>
        <w:t xml:space="preserve">projet </w:t>
      </w:r>
      <w:r w:rsidR="00DA2D1B">
        <w:rPr>
          <w:b/>
          <w:bCs/>
          <w:lang w:eastAsia="fr-FR"/>
        </w:rPr>
        <w:t>« </w:t>
      </w:r>
      <w:r w:rsidRPr="00BA7EFA">
        <w:rPr>
          <w:b/>
          <w:bCs/>
          <w:lang w:eastAsia="fr-FR"/>
        </w:rPr>
        <w:t>phare</w:t>
      </w:r>
      <w:r w:rsidR="00DA2D1B">
        <w:rPr>
          <w:b/>
          <w:bCs/>
          <w:lang w:eastAsia="fr-FR"/>
        </w:rPr>
        <w:t> »</w:t>
      </w:r>
      <w:r>
        <w:rPr>
          <w:lang w:eastAsia="fr-FR"/>
        </w:rPr>
        <w:t xml:space="preserve"> servant de cas d’école à communiquer </w:t>
      </w:r>
      <w:r w:rsidR="00DA2D1B">
        <w:rPr>
          <w:lang w:eastAsia="fr-FR"/>
        </w:rPr>
        <w:t xml:space="preserve">en exemple </w:t>
      </w:r>
      <w:r>
        <w:rPr>
          <w:lang w:eastAsia="fr-FR"/>
        </w:rPr>
        <w:t>au plus grand nombre ;</w:t>
      </w:r>
    </w:p>
    <w:p w14:paraId="70263E67" w14:textId="77777777" w:rsidR="00BA7EFA" w:rsidRDefault="00BA7EFA" w:rsidP="00F755EB">
      <w:pPr>
        <w:pStyle w:val="Paragraphedeliste"/>
        <w:numPr>
          <w:ilvl w:val="0"/>
          <w:numId w:val="56"/>
        </w:numPr>
        <w:contextualSpacing w:val="0"/>
        <w:rPr>
          <w:lang w:eastAsia="fr-FR"/>
        </w:rPr>
      </w:pPr>
      <w:r>
        <w:rPr>
          <w:lang w:eastAsia="fr-FR"/>
        </w:rPr>
        <w:t xml:space="preserve">Réaliser une </w:t>
      </w:r>
      <w:r w:rsidRPr="00BA7EFA">
        <w:rPr>
          <w:b/>
          <w:bCs/>
          <w:lang w:eastAsia="fr-FR"/>
        </w:rPr>
        <w:t>vidéo interne de test en situation réelle</w:t>
      </w:r>
      <w:r>
        <w:rPr>
          <w:lang w:eastAsia="fr-FR"/>
        </w:rPr>
        <w:t xml:space="preserve"> et la diffuser auprès des responsables de projet ou comités opérationnels voire des dirigeants ; </w:t>
      </w:r>
    </w:p>
    <w:p w14:paraId="0634D8A0" w14:textId="2A8AD788" w:rsidR="00BA7EFA" w:rsidRDefault="00BA7EFA" w:rsidP="00F755EB">
      <w:pPr>
        <w:pStyle w:val="Paragraphedeliste"/>
        <w:numPr>
          <w:ilvl w:val="0"/>
          <w:numId w:val="56"/>
        </w:numPr>
        <w:contextualSpacing w:val="0"/>
        <w:rPr>
          <w:lang w:eastAsia="fr-FR"/>
        </w:rPr>
      </w:pPr>
      <w:r>
        <w:rPr>
          <w:lang w:eastAsia="fr-FR"/>
        </w:rPr>
        <w:t xml:space="preserve">Démontrer les </w:t>
      </w:r>
      <w:r w:rsidRPr="00BA7EFA">
        <w:rPr>
          <w:b/>
          <w:bCs/>
          <w:lang w:eastAsia="fr-FR"/>
        </w:rPr>
        <w:t>opportunités qu'offre l'</w:t>
      </w:r>
      <w:r w:rsidR="00230C35">
        <w:rPr>
          <w:b/>
          <w:bCs/>
          <w:lang w:eastAsia="fr-FR"/>
        </w:rPr>
        <w:t>accessibilité numérique</w:t>
      </w:r>
      <w:r>
        <w:rPr>
          <w:lang w:eastAsia="fr-FR"/>
        </w:rPr>
        <w:t xml:space="preserve"> dans les projets numériques (la facilité d'usage étant synonyme de facilité d'adoption</w:t>
      </w:r>
      <w:r w:rsidR="001C39FA">
        <w:rPr>
          <w:lang w:eastAsia="fr-FR"/>
        </w:rPr>
        <w:t>)</w:t>
      </w:r>
      <w:r>
        <w:rPr>
          <w:lang w:eastAsia="fr-FR"/>
        </w:rPr>
        <w:t>. Pour ce faire, il est préférable d’utiliser les ressources déjà disponibles et</w:t>
      </w:r>
      <w:r w:rsidR="00543049">
        <w:rPr>
          <w:lang w:eastAsia="fr-FR"/>
        </w:rPr>
        <w:t xml:space="preserve"> de</w:t>
      </w:r>
      <w:r>
        <w:rPr>
          <w:lang w:eastAsia="fr-FR"/>
        </w:rPr>
        <w:t xml:space="preserve"> les adapter à des cas d'usage précis (applications clients, campagne mail ...) ;</w:t>
      </w:r>
    </w:p>
    <w:p w14:paraId="7E703786" w14:textId="6369A7D9" w:rsidR="00BA7EFA" w:rsidRDefault="00BA7EFA" w:rsidP="00F755EB">
      <w:pPr>
        <w:pStyle w:val="Paragraphedeliste"/>
        <w:numPr>
          <w:ilvl w:val="0"/>
          <w:numId w:val="56"/>
        </w:numPr>
        <w:contextualSpacing w:val="0"/>
        <w:rPr>
          <w:lang w:eastAsia="fr-FR"/>
        </w:rPr>
      </w:pPr>
      <w:r>
        <w:rPr>
          <w:lang w:eastAsia="fr-FR"/>
        </w:rPr>
        <w:t xml:space="preserve">Assurer une </w:t>
      </w:r>
      <w:r w:rsidRPr="00BA7EFA">
        <w:rPr>
          <w:b/>
          <w:bCs/>
          <w:lang w:eastAsia="fr-FR"/>
        </w:rPr>
        <w:t>bonne communication en transversal</w:t>
      </w:r>
      <w:r>
        <w:rPr>
          <w:lang w:eastAsia="fr-FR"/>
        </w:rPr>
        <w:t xml:space="preserve"> : avoir des espaces d'échanges entre collaborateurs, voire entre clients eux-mêmes.</w:t>
      </w:r>
    </w:p>
    <w:p w14:paraId="5BFCF075" w14:textId="77777777" w:rsidR="00CA3133" w:rsidRDefault="00CA3133" w:rsidP="00CA3133">
      <w:pPr>
        <w:rPr>
          <w:lang w:eastAsia="fr-FR"/>
        </w:rPr>
      </w:pPr>
    </w:p>
    <w:p w14:paraId="6FA515B0" w14:textId="77777777" w:rsidR="00CA3133" w:rsidRDefault="00CA3133" w:rsidP="00CA3133">
      <w:pPr>
        <w:rPr>
          <w:lang w:eastAsia="fr-FR"/>
        </w:rPr>
      </w:pPr>
    </w:p>
    <w:p w14:paraId="1942F0BB" w14:textId="77777777" w:rsidR="00CA3133" w:rsidRDefault="00CA3133" w:rsidP="00CA3133">
      <w:pPr>
        <w:rPr>
          <w:lang w:eastAsia="fr-FR"/>
        </w:rPr>
      </w:pPr>
    </w:p>
    <w:p w14:paraId="12FF02EF" w14:textId="7C569F08" w:rsidR="00CA3133" w:rsidRDefault="00CA3133" w:rsidP="00CA3133">
      <w:pPr>
        <w:pStyle w:val="Titre1"/>
        <w:numPr>
          <w:ilvl w:val="0"/>
          <w:numId w:val="0"/>
        </w:numPr>
        <w:ind w:left="432" w:hanging="432"/>
      </w:pPr>
      <w:bookmarkStart w:id="79" w:name="_Toc230077035"/>
      <w:r>
        <w:lastRenderedPageBreak/>
        <w:t>Conclusion</w:t>
      </w:r>
      <w:bookmarkEnd w:id="79"/>
    </w:p>
    <w:p w14:paraId="09B4CD57" w14:textId="4F36ED71" w:rsidR="00585FAC" w:rsidRDefault="00977A3D" w:rsidP="00977A3D">
      <w:pPr>
        <w:rPr>
          <w:lang w:eastAsia="fr-FR"/>
        </w:rPr>
      </w:pPr>
      <w:r>
        <w:rPr>
          <w:lang w:eastAsia="fr-FR"/>
        </w:rPr>
        <w:t xml:space="preserve">L’accessibilité numérique constitue aujourd’hui un enjeu au cœur des transformations numériques pour les organisations publiques et privées. Elle ne relève plus uniquement d’une obligation réglementaire et </w:t>
      </w:r>
      <w:r w:rsidR="00585FAC">
        <w:rPr>
          <w:lang w:eastAsia="fr-FR"/>
        </w:rPr>
        <w:t>engage directement la capacité des organisations à garantir un accès équitable à leurs services numériques pour l’ensemble des utilisateurs.</w:t>
      </w:r>
    </w:p>
    <w:p w14:paraId="542FC501" w14:textId="0EE100C0" w:rsidR="00585FAC" w:rsidRDefault="00585FAC" w:rsidP="00585FAC">
      <w:pPr>
        <w:rPr>
          <w:lang w:eastAsia="fr-FR"/>
        </w:rPr>
      </w:pPr>
      <w:r>
        <w:rPr>
          <w:lang w:eastAsia="fr-FR"/>
        </w:rPr>
        <w:t>Dans un contexte de numérisation croissante des parcours, l’inaccessibilité d’un service numérique ne constitue pas une simple dégradation de l’expérience utilisateur : elle peut entraîner une exclusion effective de certains publics, notamment les personnes en situation de handicap. À ce titre, l’accessibilité numérique doit être appréhendée comme un droit fondamental, au même titre que l’accès aux services essentiels.</w:t>
      </w:r>
    </w:p>
    <w:p w14:paraId="23DDE4D3" w14:textId="739CA98C" w:rsidR="007463B2" w:rsidRDefault="00585FAC" w:rsidP="007463B2">
      <w:pPr>
        <w:rPr>
          <w:lang w:eastAsia="fr-FR"/>
        </w:rPr>
      </w:pPr>
      <w:r>
        <w:rPr>
          <w:lang w:eastAsia="fr-FR"/>
        </w:rPr>
        <w:t>Pour les grandes organisations, l’enjeu n’est plus de traiter l’accessibilité de manière ponctuelle ou corrective, mais de l’intégrer comme une dimension structurante de leur transformation numérique.</w:t>
      </w:r>
      <w:r w:rsidR="007877BC">
        <w:rPr>
          <w:lang w:eastAsia="fr-FR"/>
        </w:rPr>
        <w:t xml:space="preserve"> </w:t>
      </w:r>
      <w:r w:rsidR="007463B2">
        <w:rPr>
          <w:lang w:eastAsia="fr-FR"/>
        </w:rPr>
        <w:t>C’est pourquoi l’accessibilité numérique est un enjeu collectif qui dépasse largement la sphère de la DSI. Elle embarque l’ensemble des métiers et des parties prenantes.</w:t>
      </w:r>
    </w:p>
    <w:p w14:paraId="12A025AE" w14:textId="362D46CC" w:rsidR="007463B2" w:rsidRPr="00CA3133" w:rsidRDefault="007463B2" w:rsidP="007463B2">
      <w:pPr>
        <w:rPr>
          <w:lang w:eastAsia="fr-FR"/>
        </w:rPr>
      </w:pPr>
      <w:r w:rsidRPr="00CA3133">
        <w:rPr>
          <w:lang w:eastAsia="fr-FR"/>
        </w:rPr>
        <w:t>L'expérience des membres du groupe de travail Cigref est sans ambiguïté : les organisations qui ont réussi à faire progresser leur accessibilité numérique sont celles qui ont commencé par structurer une gouvernanc</w:t>
      </w:r>
      <w:r w:rsidR="007877BC">
        <w:rPr>
          <w:lang w:eastAsia="fr-FR"/>
        </w:rPr>
        <w:t>e</w:t>
      </w:r>
      <w:r w:rsidRPr="00CA3133">
        <w:rPr>
          <w:lang w:eastAsia="fr-FR"/>
        </w:rPr>
        <w:t xml:space="preserve"> portée par un référent </w:t>
      </w:r>
      <w:r>
        <w:rPr>
          <w:lang w:eastAsia="fr-FR"/>
        </w:rPr>
        <w:t>« </w:t>
      </w:r>
      <w:r w:rsidRPr="00CA3133">
        <w:rPr>
          <w:lang w:eastAsia="fr-FR"/>
        </w:rPr>
        <w:t xml:space="preserve">accessibilité </w:t>
      </w:r>
      <w:r>
        <w:rPr>
          <w:lang w:eastAsia="fr-FR"/>
        </w:rPr>
        <w:t xml:space="preserve">numérique » </w:t>
      </w:r>
      <w:r w:rsidRPr="00CA3133">
        <w:rPr>
          <w:lang w:eastAsia="fr-FR"/>
        </w:rPr>
        <w:t>clairement identifié</w:t>
      </w:r>
      <w:r>
        <w:rPr>
          <w:lang w:eastAsia="fr-FR"/>
        </w:rPr>
        <w:t>,</w:t>
      </w:r>
      <w:r w:rsidRPr="00CA3133">
        <w:rPr>
          <w:lang w:eastAsia="fr-FR"/>
        </w:rPr>
        <w:t xml:space="preserve"> </w:t>
      </w:r>
      <w:r>
        <w:rPr>
          <w:lang w:eastAsia="fr-FR"/>
        </w:rPr>
        <w:t>disposant</w:t>
      </w:r>
      <w:r w:rsidRPr="00CA3133">
        <w:rPr>
          <w:lang w:eastAsia="fr-FR"/>
        </w:rPr>
        <w:t xml:space="preserve"> </w:t>
      </w:r>
      <w:r>
        <w:rPr>
          <w:lang w:eastAsia="fr-FR"/>
        </w:rPr>
        <w:t>d’</w:t>
      </w:r>
      <w:r w:rsidRPr="00CA3133">
        <w:rPr>
          <w:lang w:eastAsia="fr-FR"/>
        </w:rPr>
        <w:t xml:space="preserve">un mandat clair et de ressources dédiées. Pour exercer pleinement ses missions, son positionnement hiérarchique est déterminant : le groupe de travail préconise </w:t>
      </w:r>
      <w:r>
        <w:rPr>
          <w:lang w:eastAsia="fr-FR"/>
        </w:rPr>
        <w:t xml:space="preserve">un </w:t>
      </w:r>
      <w:r w:rsidRPr="00CA3133">
        <w:rPr>
          <w:lang w:eastAsia="fr-FR"/>
        </w:rPr>
        <w:t>niveau COMEX ou</w:t>
      </w:r>
      <w:r>
        <w:rPr>
          <w:lang w:eastAsia="fr-FR"/>
        </w:rPr>
        <w:t xml:space="preserve"> un rattachement </w:t>
      </w:r>
      <w:r w:rsidRPr="00CA3133">
        <w:rPr>
          <w:lang w:eastAsia="fr-FR"/>
        </w:rPr>
        <w:t xml:space="preserve">direct au COMEX, seul niveau qui garantit un pouvoir d'arbitrage réel. Au-delà de ces dispositifs, le référent peut aider à mettre à </w:t>
      </w:r>
      <w:r w:rsidR="00DE7E0F">
        <w:rPr>
          <w:lang w:eastAsia="fr-FR"/>
        </w:rPr>
        <w:t xml:space="preserve">la </w:t>
      </w:r>
      <w:r w:rsidRPr="00CA3133">
        <w:rPr>
          <w:lang w:eastAsia="fr-FR"/>
        </w:rPr>
        <w:t xml:space="preserve">disposition des équipes achats des clauses types d'accessibilité numérique et des cahiers des charges </w:t>
      </w:r>
      <w:proofErr w:type="spellStart"/>
      <w:r w:rsidRPr="00CA3133">
        <w:rPr>
          <w:lang w:eastAsia="fr-FR"/>
        </w:rPr>
        <w:t>pré-remplis</w:t>
      </w:r>
      <w:proofErr w:type="spellEnd"/>
      <w:r w:rsidRPr="00CA3133">
        <w:rPr>
          <w:lang w:eastAsia="fr-FR"/>
        </w:rPr>
        <w:t xml:space="preserve"> (avec des indicateurs tels qu</w:t>
      </w:r>
      <w:r>
        <w:rPr>
          <w:lang w:eastAsia="fr-FR"/>
        </w:rPr>
        <w:t>e</w:t>
      </w:r>
      <w:r w:rsidRPr="00CA3133">
        <w:rPr>
          <w:lang w:eastAsia="fr-FR"/>
        </w:rPr>
        <w:t xml:space="preserve"> l'obligation de fournir un rapport d'audit RGAA récent, l'engagement contractuel d'un plan de remédiation en cas de non-conformité, ou encore une exigence de formation minimale des équipes prestataires).</w:t>
      </w:r>
    </w:p>
    <w:p w14:paraId="6064F6BC" w14:textId="4739AABA" w:rsidR="007877BC" w:rsidRDefault="007877BC" w:rsidP="007877BC">
      <w:pPr>
        <w:rPr>
          <w:lang w:eastAsia="fr-FR"/>
        </w:rPr>
      </w:pPr>
      <w:r w:rsidRPr="007877BC">
        <w:rPr>
          <w:lang w:eastAsia="fr-FR"/>
        </w:rPr>
        <w:t xml:space="preserve">Parallèlement, l'efficacité de la démarche repose sur une réingénierie des cycles de production. Le passage d'une logique de correction curative à une approche de conception proactive et </w:t>
      </w:r>
      <w:r w:rsidR="00174707">
        <w:rPr>
          <w:lang w:eastAsia="fr-FR"/>
        </w:rPr>
        <w:t xml:space="preserve">« </w:t>
      </w:r>
      <w:r w:rsidRPr="00174707">
        <w:rPr>
          <w:i/>
          <w:iCs/>
          <w:lang w:eastAsia="fr-FR"/>
        </w:rPr>
        <w:t>by design</w:t>
      </w:r>
      <w:r w:rsidR="00174707">
        <w:rPr>
          <w:i/>
          <w:iCs/>
          <w:lang w:eastAsia="fr-FR"/>
        </w:rPr>
        <w:t xml:space="preserve"> </w:t>
      </w:r>
      <w:r w:rsidR="00174707">
        <w:rPr>
          <w:lang w:eastAsia="fr-FR"/>
        </w:rPr>
        <w:t>»</w:t>
      </w:r>
      <w:r w:rsidRPr="007877BC">
        <w:rPr>
          <w:lang w:eastAsia="fr-FR"/>
        </w:rPr>
        <w:t xml:space="preserve"> est indispensable pour maîtriser les coûts et sécuriser les budgets. En industrialisant l'accessibilité au sein des chaînes de développement et en outillant chaque métier avec des référentiels partagés, ce qui était perçu comme une contrainte devient un levier de qualité logicielle.</w:t>
      </w:r>
    </w:p>
    <w:p w14:paraId="150DD5AE" w14:textId="0575FBC1" w:rsidR="007877BC" w:rsidRDefault="00D86494" w:rsidP="007877BC">
      <w:pPr>
        <w:rPr>
          <w:lang w:eastAsia="fr-FR"/>
        </w:rPr>
      </w:pPr>
      <w:r>
        <w:rPr>
          <w:lang w:eastAsia="fr-FR"/>
        </w:rPr>
        <w:t>P</w:t>
      </w:r>
      <w:r w:rsidR="007877BC" w:rsidRPr="0024012F">
        <w:rPr>
          <w:lang w:eastAsia="fr-FR"/>
        </w:rPr>
        <w:t>our que l'accessibilité numérique soit véritablement efficace, elle doit partir des usages concrets plutôt que des seules contraintes techniques. Cela suppose de placer l'utilisateur au cœur de la démarche en intégrant</w:t>
      </w:r>
      <w:r w:rsidR="00DE7E0F">
        <w:rPr>
          <w:lang w:eastAsia="fr-FR"/>
        </w:rPr>
        <w:t>,</w:t>
      </w:r>
      <w:r w:rsidR="007877BC" w:rsidRPr="0024012F">
        <w:rPr>
          <w:lang w:eastAsia="fr-FR"/>
        </w:rPr>
        <w:t xml:space="preserve"> dès la conception</w:t>
      </w:r>
      <w:r w:rsidR="00DE7E0F">
        <w:rPr>
          <w:lang w:eastAsia="fr-FR"/>
        </w:rPr>
        <w:t>,</w:t>
      </w:r>
      <w:r w:rsidR="007877BC" w:rsidRPr="0024012F">
        <w:rPr>
          <w:lang w:eastAsia="fr-FR"/>
        </w:rPr>
        <w:t xml:space="preserve"> des profils représentatifs de personnes en situation de handicap, en construisant des parcours adaptés à leurs contraintes réelles, et en évaluant la qualité d'expérience.</w:t>
      </w:r>
      <w:r w:rsidR="007877BC">
        <w:rPr>
          <w:lang w:eastAsia="fr-FR"/>
        </w:rPr>
        <w:t xml:space="preserve"> L’accessibilité devient alors un levier d’amélioration globale de l’expérience utilisateur, bénéfique à l’ensemble des publics.</w:t>
      </w:r>
    </w:p>
    <w:p w14:paraId="24D25270" w14:textId="32F46F22" w:rsidR="007463B2" w:rsidRDefault="007463B2" w:rsidP="007463B2">
      <w:pPr>
        <w:rPr>
          <w:lang w:eastAsia="fr-FR"/>
        </w:rPr>
      </w:pPr>
      <w:r w:rsidRPr="00CA3133">
        <w:rPr>
          <w:lang w:eastAsia="fr-FR"/>
        </w:rPr>
        <w:t xml:space="preserve">Ce rapport l'a démontré à travers les retours d'expérience des membres du groupe de travail Cigref : le passage à l'échelle est possible. Il ne repose ni sur des moyens extraordinaires, ni sur une révolution </w:t>
      </w:r>
      <w:r w:rsidRPr="00CA3133">
        <w:rPr>
          <w:lang w:eastAsia="fr-FR"/>
        </w:rPr>
        <w:lastRenderedPageBreak/>
        <w:t>organisationnelle totale. Il repose sur une décision : faire de l'accessibilité un standard, pas une exception.</w:t>
      </w:r>
    </w:p>
    <w:p w14:paraId="2B347902" w14:textId="77777777" w:rsidR="00D86494" w:rsidRDefault="00D86494" w:rsidP="00D86494">
      <w:pPr>
        <w:rPr>
          <w:lang w:eastAsia="fr-FR"/>
        </w:rPr>
      </w:pPr>
      <w:r>
        <w:rPr>
          <w:lang w:eastAsia="fr-FR"/>
        </w:rPr>
        <w:t xml:space="preserve">De manière plus prospective, l'accessibilité numérique se trouve aujourd'hui à un point d'inflexion, porteur à la fois de grandes promesses quant à son potentiel et de fortes incertitudes quant à sa pérennité : </w:t>
      </w:r>
    </w:p>
    <w:p w14:paraId="2A009F92" w14:textId="323C966F" w:rsidR="00D86494" w:rsidRDefault="00D86494">
      <w:pPr>
        <w:pStyle w:val="Paragraphedeliste"/>
        <w:numPr>
          <w:ilvl w:val="0"/>
          <w:numId w:val="69"/>
        </w:numPr>
        <w:spacing w:after="0"/>
        <w:rPr>
          <w:lang w:eastAsia="fr-FR"/>
        </w:rPr>
      </w:pPr>
      <w:r>
        <w:rPr>
          <w:lang w:eastAsia="fr-FR"/>
        </w:rPr>
        <w:t>D’une part,</w:t>
      </w:r>
      <w:r w:rsidR="00C328FA" w:rsidRPr="00C328FA">
        <w:t xml:space="preserve"> </w:t>
      </w:r>
      <w:r w:rsidR="00C328FA" w:rsidRPr="00C328FA">
        <w:rPr>
          <w:lang w:eastAsia="fr-FR"/>
        </w:rPr>
        <w:t>l'IA ouvre un champ des possibles sans précédent</w:t>
      </w:r>
      <w:r>
        <w:rPr>
          <w:lang w:eastAsia="fr-FR"/>
        </w:rPr>
        <w:t>: l’ultra-personnalisation permise par l</w:t>
      </w:r>
      <w:r w:rsidR="002B324B">
        <w:rPr>
          <w:lang w:eastAsia="fr-FR"/>
        </w:rPr>
        <w:t xml:space="preserve">es flux de </w:t>
      </w:r>
      <w:r>
        <w:rPr>
          <w:lang w:eastAsia="fr-FR"/>
        </w:rPr>
        <w:t>donnée</w:t>
      </w:r>
      <w:r w:rsidR="002B324B">
        <w:rPr>
          <w:lang w:eastAsia="fr-FR"/>
        </w:rPr>
        <w:t>s techniques et comportementales</w:t>
      </w:r>
      <w:r>
        <w:rPr>
          <w:lang w:eastAsia="fr-FR"/>
        </w:rPr>
        <w:t xml:space="preserve">, </w:t>
      </w:r>
      <w:r w:rsidR="002B324B">
        <w:rPr>
          <w:lang w:eastAsia="fr-FR"/>
        </w:rPr>
        <w:t xml:space="preserve">la fluidification des interfaces </w:t>
      </w:r>
      <w:r>
        <w:rPr>
          <w:lang w:eastAsia="fr-FR"/>
        </w:rPr>
        <w:t xml:space="preserve">conversationnelles </w:t>
      </w:r>
      <w:r w:rsidR="002B324B">
        <w:rPr>
          <w:lang w:eastAsia="fr-FR"/>
        </w:rPr>
        <w:t>via</w:t>
      </w:r>
      <w:r>
        <w:rPr>
          <w:lang w:eastAsia="fr-FR"/>
        </w:rPr>
        <w:t xml:space="preserve"> IA générative</w:t>
      </w:r>
      <w:r w:rsidR="002B324B">
        <w:rPr>
          <w:lang w:eastAsia="fr-FR"/>
        </w:rPr>
        <w:t>s</w:t>
      </w:r>
      <w:r>
        <w:rPr>
          <w:lang w:eastAsia="fr-FR"/>
        </w:rPr>
        <w:t xml:space="preserve"> et l’émergence d’IA agentiques capables d’accompagner et d’autonomiser les utilisateurs</w:t>
      </w:r>
      <w:r w:rsidR="00E964BD">
        <w:rPr>
          <w:lang w:eastAsia="fr-FR"/>
        </w:rPr>
        <w:t>,</w:t>
      </w:r>
      <w:r>
        <w:rPr>
          <w:lang w:eastAsia="fr-FR"/>
        </w:rPr>
        <w:t xml:space="preserve"> </w:t>
      </w:r>
      <w:r w:rsidR="00C328FA">
        <w:rPr>
          <w:lang w:eastAsia="fr-FR"/>
        </w:rPr>
        <w:t>c</w:t>
      </w:r>
      <w:r w:rsidR="00C328FA" w:rsidRPr="00C328FA">
        <w:rPr>
          <w:lang w:eastAsia="fr-FR"/>
        </w:rPr>
        <w:t>réent des conditions nouvelles pour adapter les services aux besoins spécifiques de chaque situation de handicap — et, au-delà, pour proposer à chacun des expériences numériques véritablement ajustées à ses usages et à ses modes de fonctionnement.</w:t>
      </w:r>
    </w:p>
    <w:p w14:paraId="2E96FD7B" w14:textId="77777777" w:rsidR="002B324B" w:rsidRDefault="002B324B" w:rsidP="00A76094">
      <w:pPr>
        <w:pStyle w:val="Paragraphedeliste"/>
        <w:spacing w:after="0"/>
        <w:rPr>
          <w:lang w:eastAsia="fr-FR"/>
        </w:rPr>
      </w:pPr>
    </w:p>
    <w:p w14:paraId="2FFB7503" w14:textId="2A380303" w:rsidR="00585FAC" w:rsidRDefault="00D86494">
      <w:pPr>
        <w:pStyle w:val="Paragraphedeliste"/>
        <w:numPr>
          <w:ilvl w:val="0"/>
          <w:numId w:val="69"/>
        </w:numPr>
        <w:rPr>
          <w:lang w:eastAsia="fr-FR"/>
        </w:rPr>
      </w:pPr>
      <w:r>
        <w:rPr>
          <w:lang w:eastAsia="fr-FR"/>
        </w:rPr>
        <w:t xml:space="preserve">D’autre part, </w:t>
      </w:r>
      <w:r w:rsidR="00C92F3A">
        <w:rPr>
          <w:lang w:eastAsia="fr-FR"/>
        </w:rPr>
        <w:t xml:space="preserve">la massification du recours à des IA génératives ou agentiques pour naviguer </w:t>
      </w:r>
      <w:r w:rsidR="00E964BD">
        <w:rPr>
          <w:lang w:eastAsia="fr-FR"/>
        </w:rPr>
        <w:t xml:space="preserve">sur </w:t>
      </w:r>
      <w:r w:rsidR="00C92F3A">
        <w:rPr>
          <w:lang w:eastAsia="fr-FR"/>
        </w:rPr>
        <w:t xml:space="preserve">internet, ou dans les intranets, pourrait bouleverser la raison d’être de l’accessibilité numérique. Pour les pages web, le </w:t>
      </w:r>
      <w:proofErr w:type="spellStart"/>
      <w:r w:rsidR="00C92F3A" w:rsidRPr="004B423B">
        <w:rPr>
          <w:i/>
          <w:iCs/>
          <w:lang w:eastAsia="fr-FR"/>
        </w:rPr>
        <w:t>Generative</w:t>
      </w:r>
      <w:proofErr w:type="spellEnd"/>
      <w:r w:rsidR="00C92F3A" w:rsidRPr="004B423B">
        <w:rPr>
          <w:i/>
          <w:iCs/>
          <w:lang w:eastAsia="fr-FR"/>
        </w:rPr>
        <w:t xml:space="preserve"> Engine </w:t>
      </w:r>
      <w:proofErr w:type="spellStart"/>
      <w:r w:rsidR="00C92F3A" w:rsidRPr="004B423B">
        <w:rPr>
          <w:i/>
          <w:iCs/>
          <w:lang w:eastAsia="fr-FR"/>
        </w:rPr>
        <w:t>Optimization</w:t>
      </w:r>
      <w:proofErr w:type="spellEnd"/>
      <w:r w:rsidR="00C92F3A" w:rsidRPr="004B423B">
        <w:rPr>
          <w:i/>
          <w:iCs/>
          <w:lang w:eastAsia="fr-FR"/>
        </w:rPr>
        <w:t xml:space="preserve"> </w:t>
      </w:r>
      <w:r w:rsidR="00C92F3A">
        <w:rPr>
          <w:lang w:eastAsia="fr-FR"/>
        </w:rPr>
        <w:t xml:space="preserve">(GEO) concurrence </w:t>
      </w:r>
      <w:r w:rsidR="00C92F3A">
        <w:t xml:space="preserve">sérieusement </w:t>
      </w:r>
      <w:r w:rsidR="00C92F3A">
        <w:rPr>
          <w:lang w:eastAsia="fr-FR"/>
        </w:rPr>
        <w:t xml:space="preserve">le </w:t>
      </w:r>
      <w:r w:rsidR="00C92F3A">
        <w:rPr>
          <w:i/>
          <w:iCs/>
          <w:lang w:eastAsia="fr-FR"/>
        </w:rPr>
        <w:t xml:space="preserve">Search Engine </w:t>
      </w:r>
      <w:proofErr w:type="spellStart"/>
      <w:r w:rsidR="00C92F3A">
        <w:rPr>
          <w:i/>
          <w:iCs/>
          <w:lang w:eastAsia="fr-FR"/>
        </w:rPr>
        <w:t>Optimization</w:t>
      </w:r>
      <w:proofErr w:type="spellEnd"/>
      <w:r w:rsidR="00C92F3A">
        <w:rPr>
          <w:i/>
          <w:iCs/>
          <w:lang w:eastAsia="fr-FR"/>
        </w:rPr>
        <w:t xml:space="preserve"> </w:t>
      </w:r>
      <w:r w:rsidR="00C92F3A">
        <w:rPr>
          <w:lang w:eastAsia="fr-FR"/>
        </w:rPr>
        <w:t xml:space="preserve">(SEO) dans l’amélioration de la visibilité des sites sur des moteurs de recherche de plus en plus à base d’IA. </w:t>
      </w:r>
      <w:r w:rsidR="00747FCE">
        <w:rPr>
          <w:lang w:eastAsia="fr-FR"/>
        </w:rPr>
        <w:t>Dans cette dynamique, l</w:t>
      </w:r>
      <w:r w:rsidR="00C92F3A">
        <w:rPr>
          <w:lang w:eastAsia="fr-FR"/>
        </w:rPr>
        <w:t>es IA deviennent à la fois interfaces, filtres, moteurs transactionnels voire même acteurs</w:t>
      </w:r>
      <w:r w:rsidR="00110AD0">
        <w:rPr>
          <w:lang w:eastAsia="fr-FR"/>
        </w:rPr>
        <w:t>,</w:t>
      </w:r>
      <w:r w:rsidR="00C92F3A">
        <w:rPr>
          <w:lang w:eastAsia="fr-FR"/>
        </w:rPr>
        <w:t xml:space="preserve"> au service ou à la place des utilisateurs</w:t>
      </w:r>
      <w:r w:rsidR="00E964BD">
        <w:rPr>
          <w:lang w:eastAsia="fr-FR"/>
        </w:rPr>
        <w:t>.</w:t>
      </w:r>
      <w:r w:rsidR="00766AEF">
        <w:rPr>
          <w:lang w:eastAsia="fr-FR"/>
        </w:rPr>
        <w:t xml:space="preserve">  </w:t>
      </w:r>
      <w:r w:rsidR="00E964BD">
        <w:rPr>
          <w:lang w:eastAsia="fr-FR"/>
        </w:rPr>
        <w:t>L</w:t>
      </w:r>
      <w:r w:rsidR="00766AEF">
        <w:rPr>
          <w:lang w:eastAsia="fr-FR"/>
        </w:rPr>
        <w:t xml:space="preserve">a question de l’UX / UI se trouve </w:t>
      </w:r>
      <w:r w:rsidR="00E964BD">
        <w:rPr>
          <w:lang w:eastAsia="fr-FR"/>
        </w:rPr>
        <w:t xml:space="preserve">alors </w:t>
      </w:r>
      <w:r w:rsidR="00766AEF">
        <w:rPr>
          <w:lang w:eastAsia="fr-FR"/>
        </w:rPr>
        <w:t xml:space="preserve">considérablement remise en cause par les standards algorithmiques de référencement propres </w:t>
      </w:r>
      <w:r w:rsidR="00747FCE">
        <w:rPr>
          <w:lang w:eastAsia="fr-FR"/>
        </w:rPr>
        <w:t xml:space="preserve">à ces </w:t>
      </w:r>
      <w:r w:rsidR="00766AEF">
        <w:rPr>
          <w:lang w:eastAsia="fr-FR"/>
        </w:rPr>
        <w:t>IA</w:t>
      </w:r>
      <w:r w:rsidR="00C92F3A">
        <w:rPr>
          <w:lang w:eastAsia="fr-FR"/>
        </w:rPr>
        <w:t xml:space="preserve">. </w:t>
      </w:r>
      <w:r w:rsidR="00747FCE">
        <w:rPr>
          <w:lang w:eastAsia="fr-FR"/>
        </w:rPr>
        <w:t xml:space="preserve">La même question se pose dans la recherche de données internes aux organisations à partir de solutions d’IA. En conclusion, si les nouvelles </w:t>
      </w:r>
      <w:proofErr w:type="gramStart"/>
      <w:r>
        <w:rPr>
          <w:lang w:eastAsia="fr-FR"/>
        </w:rPr>
        <w:t>briques</w:t>
      </w:r>
      <w:proofErr w:type="gramEnd"/>
      <w:r>
        <w:rPr>
          <w:lang w:eastAsia="fr-FR"/>
        </w:rPr>
        <w:t xml:space="preserve"> technologiques</w:t>
      </w:r>
      <w:r w:rsidR="007D3430">
        <w:rPr>
          <w:lang w:eastAsia="fr-FR"/>
        </w:rPr>
        <w:t xml:space="preserve"> </w:t>
      </w:r>
      <w:r w:rsidR="00C92F3A">
        <w:rPr>
          <w:lang w:eastAsia="fr-FR"/>
        </w:rPr>
        <w:t xml:space="preserve">d’IA </w:t>
      </w:r>
      <w:r>
        <w:rPr>
          <w:lang w:eastAsia="fr-FR"/>
        </w:rPr>
        <w:t>ne sont pas conçues d</w:t>
      </w:r>
      <w:r w:rsidR="004B423B">
        <w:rPr>
          <w:lang w:eastAsia="fr-FR"/>
        </w:rPr>
        <w:t xml:space="preserve">ès leur origine de </w:t>
      </w:r>
      <w:r>
        <w:rPr>
          <w:lang w:eastAsia="fr-FR"/>
        </w:rPr>
        <w:t>manière inclusive</w:t>
      </w:r>
      <w:r w:rsidR="004B423B">
        <w:rPr>
          <w:lang w:eastAsia="fr-FR"/>
        </w:rPr>
        <w:t xml:space="preserve"> et pour favoriser l’accessibilité</w:t>
      </w:r>
      <w:r>
        <w:rPr>
          <w:lang w:eastAsia="fr-FR"/>
        </w:rPr>
        <w:t xml:space="preserve">, elles risquent d'engendrer une nouvelle fracture numérique, plus profonde et plus opaque.  </w:t>
      </w:r>
    </w:p>
    <w:p w14:paraId="79E06640" w14:textId="77777777" w:rsidR="00CA3133" w:rsidRPr="00BA7EFA" w:rsidRDefault="00CA3133" w:rsidP="00CA3133">
      <w:pPr>
        <w:rPr>
          <w:lang w:eastAsia="fr-FR"/>
        </w:rPr>
      </w:pPr>
    </w:p>
    <w:sectPr w:rsidR="00CA3133" w:rsidRPr="00BA7EFA" w:rsidSect="000C48CF">
      <w:type w:val="continuous"/>
      <w:pgSz w:w="11906" w:h="16838" w:code="9"/>
      <w:pgMar w:top="1418" w:right="1418" w:bottom="1418"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43741" w14:textId="77777777" w:rsidR="00866B71" w:rsidRDefault="00866B71" w:rsidP="00A257FD">
      <w:pPr>
        <w:spacing w:after="0" w:line="240" w:lineRule="auto"/>
      </w:pPr>
      <w:r>
        <w:separator/>
      </w:r>
    </w:p>
  </w:endnote>
  <w:endnote w:type="continuationSeparator" w:id="0">
    <w:p w14:paraId="4B3B378C" w14:textId="77777777" w:rsidR="00866B71" w:rsidRDefault="00866B71" w:rsidP="00A257FD">
      <w:pPr>
        <w:spacing w:after="0" w:line="240" w:lineRule="auto"/>
      </w:pPr>
      <w:r>
        <w:continuationSeparator/>
      </w:r>
    </w:p>
  </w:endnote>
  <w:endnote w:type="continuationNotice" w:id="1">
    <w:p w14:paraId="501C5F84" w14:textId="77777777" w:rsidR="00866B71" w:rsidRDefault="00866B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modern"/>
    <w:notTrueType/>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ED3C" w14:textId="77777777" w:rsidR="00726BC0" w:rsidRDefault="00726BC0">
    <w:pPr>
      <w:pStyle w:val="Pieddepage"/>
      <w:rPr>
        <w:b/>
        <w:bCs/>
        <w:szCs w:val="18"/>
      </w:rPr>
    </w:pPr>
    <w:r>
      <w:rPr>
        <w:noProof/>
        <w:lang w:eastAsia="fr-FR"/>
      </w:rPr>
      <w:drawing>
        <wp:anchor distT="0" distB="0" distL="114300" distR="114300" simplePos="0" relativeHeight="251665408" behindDoc="0" locked="0" layoutInCell="1" allowOverlap="1" wp14:anchorId="67281D27" wp14:editId="5AA62D1F">
          <wp:simplePos x="0" y="0"/>
          <wp:positionH relativeFrom="margin">
            <wp:posOffset>-325438</wp:posOffset>
          </wp:positionH>
          <wp:positionV relativeFrom="page">
            <wp:posOffset>9768523</wp:posOffset>
          </wp:positionV>
          <wp:extent cx="595630" cy="445135"/>
          <wp:effectExtent l="0" t="0" r="0" b="0"/>
          <wp:wrapSquare wrapText="bothSides"/>
          <wp:docPr id="130499047" name="Graphique 130499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047" name="Graphique 13049904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51437" b="-81875"/>
                  <a:stretch/>
                </pic:blipFill>
                <pic:spPr bwMode="auto">
                  <a:xfrm>
                    <a:off x="0" y="0"/>
                    <a:ext cx="5956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726">
      <w:rPr>
        <w:b/>
        <w:bCs/>
        <w:szCs w:val="18"/>
      </w:rPr>
      <w:t xml:space="preserve"> Droit de propriété intellectuelle</w:t>
    </w:r>
  </w:p>
  <w:p w14:paraId="3F98C328" w14:textId="77777777" w:rsidR="00726BC0" w:rsidRDefault="00726BC0">
    <w:pPr>
      <w:pStyle w:val="Pieddepage"/>
    </w:pPr>
    <w:r w:rsidRPr="006A0726">
      <w:rPr>
        <w:rFonts w:cs="Calibri Light"/>
        <w:szCs w:val="18"/>
      </w:rPr>
      <w:t>Toutes les publications du Cigref sont mises gratuitement à la disposition du plus grand nombre mais restent protégées par les lois en vigueur sur la propriété intellectuelle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83A8" w14:textId="5FEB1A68" w:rsidR="00A24EF5" w:rsidRPr="007B2E61" w:rsidRDefault="00A24EF5" w:rsidP="00A4363B">
    <w:pPr>
      <w:pStyle w:val="Pieddepage"/>
      <w:rPr>
        <w:b/>
        <w:bCs/>
        <w:color w:val="404040" w:themeColor="text1" w:themeTint="BF"/>
      </w:rPr>
    </w:pPr>
  </w:p>
  <w:p w14:paraId="204A9B06" w14:textId="035BA4A2" w:rsidR="00A24EF5" w:rsidRPr="007B2E61" w:rsidRDefault="003063E5" w:rsidP="00A4363B">
    <w:pPr>
      <w:pStyle w:val="Pieddepage"/>
      <w:rPr>
        <w:b/>
        <w:bCs/>
        <w:color w:val="404040" w:themeColor="text1" w:themeTint="BF"/>
      </w:rPr>
    </w:pPr>
    <w:r w:rsidRPr="007B2E61">
      <w:rPr>
        <w:b/>
        <w:bCs/>
        <w:noProof/>
        <w:color w:val="404040" w:themeColor="text1" w:themeTint="BF"/>
      </w:rPr>
      <w:drawing>
        <wp:anchor distT="0" distB="0" distL="114300" distR="114300" simplePos="0" relativeHeight="251662336" behindDoc="0" locked="0" layoutInCell="1" allowOverlap="1" wp14:anchorId="42E18211" wp14:editId="2996FAF1">
          <wp:simplePos x="0" y="0"/>
          <wp:positionH relativeFrom="margin">
            <wp:posOffset>4966970</wp:posOffset>
          </wp:positionH>
          <wp:positionV relativeFrom="paragraph">
            <wp:posOffset>139700</wp:posOffset>
          </wp:positionV>
          <wp:extent cx="914400" cy="928112"/>
          <wp:effectExtent l="0" t="0" r="0" b="5715"/>
          <wp:wrapNone/>
          <wp:docPr id="71451843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4400" cy="928112"/>
                  </a:xfrm>
                  <a:prstGeom prst="rect">
                    <a:avLst/>
                  </a:prstGeom>
                </pic:spPr>
              </pic:pic>
            </a:graphicData>
          </a:graphic>
          <wp14:sizeRelH relativeFrom="margin">
            <wp14:pctWidth>0</wp14:pctWidth>
          </wp14:sizeRelH>
          <wp14:sizeRelV relativeFrom="margin">
            <wp14:pctHeight>0</wp14:pctHeight>
          </wp14:sizeRelV>
        </wp:anchor>
      </w:drawing>
    </w:r>
  </w:p>
  <w:p w14:paraId="082223B0" w14:textId="407AB3D8" w:rsidR="00CC4854" w:rsidRDefault="00744FAB" w:rsidP="00744FAB">
    <w:pPr>
      <w:pStyle w:val="Pieddepage"/>
      <w:rPr>
        <w:b/>
        <w:bCs/>
        <w:color w:val="4B5943"/>
      </w:rPr>
    </w:pPr>
    <w:r>
      <w:rPr>
        <w:b/>
        <w:bCs/>
        <w:color w:val="4B5943"/>
      </w:rPr>
      <w:fldChar w:fldCharType="begin"/>
    </w:r>
    <w:r>
      <w:rPr>
        <w:b/>
        <w:bCs/>
        <w:color w:val="4B5943"/>
      </w:rPr>
      <w:instrText xml:space="preserve"> STYLEREF  Titre  \* MERGEFORMAT </w:instrText>
    </w:r>
    <w:r>
      <w:rPr>
        <w:b/>
        <w:bCs/>
        <w:color w:val="4B5943"/>
      </w:rPr>
      <w:fldChar w:fldCharType="separate"/>
    </w:r>
    <w:r w:rsidR="001A045C">
      <w:rPr>
        <w:b/>
        <w:bCs/>
        <w:noProof/>
        <w:color w:val="4B5943"/>
      </w:rPr>
      <w:t>Accessibilité numérique</w:t>
    </w:r>
    <w:r>
      <w:rPr>
        <w:b/>
        <w:bCs/>
        <w:color w:val="4B5943"/>
      </w:rPr>
      <w:fldChar w:fldCharType="end"/>
    </w:r>
    <w:r>
      <w:rPr>
        <w:b/>
        <w:bCs/>
        <w:color w:val="4B5943"/>
      </w:rPr>
      <w:t xml:space="preserve"> </w:t>
    </w:r>
  </w:p>
  <w:p w14:paraId="692A0A99" w14:textId="726241BE" w:rsidR="00276234" w:rsidRPr="00D91C86" w:rsidRDefault="00744FAB" w:rsidP="00744FAB">
    <w:pPr>
      <w:pStyle w:val="Pieddepage"/>
      <w:rPr>
        <w:i/>
        <w:iCs/>
        <w:color w:val="4B5943"/>
        <w:sz w:val="18"/>
        <w:szCs w:val="18"/>
      </w:rPr>
    </w:pPr>
    <w:r>
      <w:rPr>
        <w:i/>
        <w:iCs/>
        <w:color w:val="4B5943"/>
      </w:rPr>
      <w:fldChar w:fldCharType="begin"/>
    </w:r>
    <w:r>
      <w:rPr>
        <w:i/>
        <w:iCs/>
        <w:color w:val="4B5943"/>
      </w:rPr>
      <w:instrText xml:space="preserve"> STYLEREF  Sous-titre  \* MERGEFORMAT </w:instrText>
    </w:r>
    <w:r>
      <w:rPr>
        <w:i/>
        <w:iCs/>
        <w:color w:val="4B5943"/>
      </w:rPr>
      <w:fldChar w:fldCharType="separate"/>
    </w:r>
    <w:r w:rsidR="001A045C">
      <w:rPr>
        <w:i/>
        <w:iCs/>
        <w:noProof/>
        <w:color w:val="4B5943"/>
      </w:rPr>
      <w:t>Organiser, piloter et outiller le passage à l’échelle dans les grandes organisations</w:t>
    </w:r>
    <w:r>
      <w:rPr>
        <w:i/>
        <w:iCs/>
        <w:color w:val="4B594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F407A" w14:textId="77777777" w:rsidR="00866B71" w:rsidRDefault="00866B71" w:rsidP="00A257FD">
      <w:pPr>
        <w:spacing w:after="0" w:line="240" w:lineRule="auto"/>
      </w:pPr>
      <w:r>
        <w:separator/>
      </w:r>
    </w:p>
  </w:footnote>
  <w:footnote w:type="continuationSeparator" w:id="0">
    <w:p w14:paraId="7F096906" w14:textId="77777777" w:rsidR="00866B71" w:rsidRDefault="00866B71" w:rsidP="00A257FD">
      <w:pPr>
        <w:spacing w:after="0" w:line="240" w:lineRule="auto"/>
      </w:pPr>
      <w:r>
        <w:continuationSeparator/>
      </w:r>
    </w:p>
  </w:footnote>
  <w:footnote w:type="continuationNotice" w:id="1">
    <w:p w14:paraId="0426A387" w14:textId="77777777" w:rsidR="00866B71" w:rsidRDefault="00866B71">
      <w:pPr>
        <w:spacing w:after="0" w:line="240" w:lineRule="auto"/>
      </w:pPr>
    </w:p>
  </w:footnote>
  <w:footnote w:id="2">
    <w:p w14:paraId="467ADCD5" w14:textId="16ADEA9E" w:rsidR="00726013" w:rsidRDefault="00726013">
      <w:pPr>
        <w:pStyle w:val="Notedebasdepage"/>
      </w:pPr>
      <w:r>
        <w:rPr>
          <w:rStyle w:val="Appelnotedebasdep"/>
        </w:rPr>
        <w:footnoteRef/>
      </w:r>
      <w:r w:rsidR="00DE4E1C">
        <w:t xml:space="preserve"> </w:t>
      </w:r>
      <w:hyperlink r:id="rId1" w:anchor=":~:text=Qui%20est%20concern%C3%A9%20par%20cette,%C3%A0%202%20millions%20d'euros" w:history="1">
        <w:r w:rsidR="00DE4E1C" w:rsidRPr="00DE4E1C">
          <w:rPr>
            <w:rStyle w:val="Lienhypertexte"/>
          </w:rPr>
          <w:t>Accessibilité numérique et handicap : entrée en vigueur de l'EAA</w:t>
        </w:r>
      </w:hyperlink>
      <w:r>
        <w:t xml:space="preserve"> </w:t>
      </w:r>
    </w:p>
  </w:footnote>
  <w:footnote w:id="3">
    <w:p w14:paraId="1065D295" w14:textId="77777777" w:rsidR="00481DA2" w:rsidRDefault="00481DA2" w:rsidP="00481DA2">
      <w:pPr>
        <w:pStyle w:val="Notedebasdepage"/>
      </w:pPr>
      <w:r>
        <w:rPr>
          <w:rStyle w:val="Appelnotedebasdep"/>
        </w:rPr>
        <w:footnoteRef/>
      </w:r>
      <w:r>
        <w:t xml:space="preserve"> </w:t>
      </w:r>
      <w:r w:rsidRPr="00DB64FF">
        <w:rPr>
          <w:i/>
          <w:iCs/>
        </w:rPr>
        <w:t>Le handicap en chiffres</w:t>
      </w:r>
      <w:r>
        <w:t>, Edition 2024, Rapport DREES</w:t>
      </w:r>
    </w:p>
  </w:footnote>
  <w:footnote w:id="4">
    <w:p w14:paraId="3387E65E" w14:textId="6F5F6752" w:rsidR="00725DFE" w:rsidRPr="00DE4E1C" w:rsidRDefault="00725DFE" w:rsidP="00725DFE">
      <w:pPr>
        <w:pStyle w:val="Notedebasdepage"/>
      </w:pPr>
      <w:r>
        <w:rPr>
          <w:rStyle w:val="Appelnotedebasdep"/>
        </w:rPr>
        <w:footnoteRef/>
      </w:r>
      <w:r w:rsidRPr="00DE4E1C">
        <w:t xml:space="preserve"> </w:t>
      </w:r>
      <w:hyperlink r:id="rId2" w:history="1">
        <w:r w:rsidR="00DE4E1C">
          <w:rPr>
            <w:rStyle w:val="Lienhypertexte"/>
          </w:rPr>
          <w:t xml:space="preserve">Accès aux </w:t>
        </w:r>
        <w:r w:rsidR="00DE4E1C" w:rsidRPr="00DE4E1C">
          <w:rPr>
            <w:rStyle w:val="Lienhypertexte"/>
          </w:rPr>
          <w:t xml:space="preserve">Web Content </w:t>
        </w:r>
        <w:proofErr w:type="spellStart"/>
        <w:r w:rsidR="00DE4E1C" w:rsidRPr="00DE4E1C">
          <w:rPr>
            <w:rStyle w:val="Lienhypertexte"/>
          </w:rPr>
          <w:t>Accessibility</w:t>
        </w:r>
        <w:proofErr w:type="spellEnd"/>
        <w:r w:rsidR="00DE4E1C" w:rsidRPr="00DE4E1C">
          <w:rPr>
            <w:rStyle w:val="Lienhypertexte"/>
          </w:rPr>
          <w:t xml:space="preserve"> Guidelines </w:t>
        </w:r>
      </w:hyperlink>
    </w:p>
  </w:footnote>
  <w:footnote w:id="5">
    <w:p w14:paraId="41482AED" w14:textId="541D12C2" w:rsidR="00725DFE" w:rsidRPr="00DE4E1C" w:rsidRDefault="00725DFE" w:rsidP="00725DFE">
      <w:pPr>
        <w:pStyle w:val="Notedebasdepage"/>
      </w:pPr>
      <w:r>
        <w:rPr>
          <w:rStyle w:val="Appelnotedebasdep"/>
        </w:rPr>
        <w:footnoteRef/>
      </w:r>
      <w:r w:rsidRPr="00DE4E1C">
        <w:t xml:space="preserve"> </w:t>
      </w:r>
      <w:hyperlink r:id="rId3" w:history="1">
        <w:r w:rsidR="00DE4E1C" w:rsidRPr="00DE4E1C">
          <w:rPr>
            <w:rStyle w:val="Lienhypertexte"/>
          </w:rPr>
          <w:t>Site du W3C</w:t>
        </w:r>
      </w:hyperlink>
    </w:p>
  </w:footnote>
  <w:footnote w:id="6">
    <w:p w14:paraId="787FC8A3" w14:textId="30413ED9" w:rsidR="00401C48" w:rsidRPr="00DE4E1C" w:rsidRDefault="00401C48">
      <w:pPr>
        <w:pStyle w:val="Notedebasdepage"/>
      </w:pPr>
      <w:r>
        <w:rPr>
          <w:rStyle w:val="Appelnotedebasdep"/>
        </w:rPr>
        <w:footnoteRef/>
      </w:r>
      <w:r w:rsidRPr="00DE4E1C">
        <w:t xml:space="preserve"> </w:t>
      </w:r>
      <w:hyperlink r:id="rId4" w:history="1">
        <w:proofErr w:type="spellStart"/>
        <w:r w:rsidR="00DE4E1C" w:rsidRPr="00DE4E1C">
          <w:rPr>
            <w:rStyle w:val="Lienhypertexte"/>
          </w:rPr>
          <w:t>DesignGouv</w:t>
        </w:r>
        <w:proofErr w:type="spellEnd"/>
        <w:r w:rsidR="00DE4E1C" w:rsidRPr="00DE4E1C">
          <w:rPr>
            <w:rStyle w:val="Lienhypertexte"/>
          </w:rPr>
          <w:t xml:space="preserve"> ”Le Référentiel général d’amélioration de l’accessibilité (RGAA)“</w:t>
        </w:r>
      </w:hyperlink>
      <w:r w:rsidR="00DE4E1C">
        <w:t xml:space="preserve"> </w:t>
      </w:r>
    </w:p>
  </w:footnote>
  <w:footnote w:id="7">
    <w:p w14:paraId="775260C1" w14:textId="04F015B0" w:rsidR="00401C48" w:rsidRPr="00DE4E1C" w:rsidRDefault="00401C48" w:rsidP="00401C48">
      <w:pPr>
        <w:pStyle w:val="Notedebasdepage"/>
      </w:pPr>
      <w:r>
        <w:rPr>
          <w:rStyle w:val="Appelnotedebasdep"/>
        </w:rPr>
        <w:footnoteRef/>
      </w:r>
      <w:r w:rsidRPr="00DE4E1C">
        <w:t xml:space="preserve"> </w:t>
      </w:r>
      <w:hyperlink r:id="rId5" w:history="1">
        <w:proofErr w:type="spellStart"/>
        <w:r w:rsidR="00DE4E1C" w:rsidRPr="00DE4E1C">
          <w:rPr>
            <w:rStyle w:val="Lienhypertexte"/>
          </w:rPr>
          <w:t>Legifrance</w:t>
        </w:r>
        <w:proofErr w:type="spellEnd"/>
        <w:r w:rsidR="00DE4E1C" w:rsidRPr="00DE4E1C">
          <w:rPr>
            <w:rStyle w:val="Lienhypertexte"/>
          </w:rPr>
          <w:t>, Directive (UE) 2016/2102</w:t>
        </w:r>
      </w:hyperlink>
    </w:p>
  </w:footnote>
  <w:footnote w:id="8">
    <w:p w14:paraId="08FB5782" w14:textId="5C237B1C" w:rsidR="00401C48" w:rsidRDefault="00401C48" w:rsidP="00401C48">
      <w:pPr>
        <w:pStyle w:val="Notedebasdepage"/>
      </w:pPr>
      <w:r>
        <w:rPr>
          <w:rStyle w:val="Appelnotedebasdep"/>
        </w:rPr>
        <w:footnoteRef/>
      </w:r>
      <w:r>
        <w:t xml:space="preserve"> </w:t>
      </w:r>
      <w:hyperlink r:id="rId6" w:history="1">
        <w:r w:rsidR="00DE4E1C" w:rsidRPr="00DE4E1C">
          <w:rPr>
            <w:rStyle w:val="Lienhypertexte"/>
          </w:rPr>
          <w:t>Norme EN 301549, V2.1.2</w:t>
        </w:r>
      </w:hyperlink>
      <w:r w:rsidR="00DE4E1C">
        <w:t xml:space="preserve"> </w:t>
      </w:r>
    </w:p>
  </w:footnote>
  <w:footnote w:id="9">
    <w:p w14:paraId="509C048F" w14:textId="00ACC685" w:rsidR="0031621F" w:rsidRDefault="0031621F">
      <w:pPr>
        <w:pStyle w:val="Notedebasdepage"/>
      </w:pPr>
      <w:r>
        <w:rPr>
          <w:rStyle w:val="Appelnotedebasdep"/>
        </w:rPr>
        <w:footnoteRef/>
      </w:r>
      <w:r>
        <w:t xml:space="preserve"> </w:t>
      </w:r>
      <w:hyperlink r:id="rId7" w:history="1">
        <w:proofErr w:type="spellStart"/>
        <w:r w:rsidR="00DE4E1C" w:rsidRPr="00DE4E1C">
          <w:rPr>
            <w:rStyle w:val="Lienhypertexte"/>
          </w:rPr>
          <w:t>Economie.gouv</w:t>
        </w:r>
        <w:proofErr w:type="spellEnd"/>
        <w:r w:rsidR="00DE4E1C">
          <w:rPr>
            <w:rStyle w:val="Lienhypertexte"/>
          </w:rPr>
          <w:t> :</w:t>
        </w:r>
        <w:r w:rsidR="00DE4E1C" w:rsidRPr="00DE4E1C">
          <w:rPr>
            <w:rStyle w:val="Lienhypertexte"/>
          </w:rPr>
          <w:t xml:space="preserve"> </w:t>
        </w:r>
        <w:r w:rsidR="00DE4E1C">
          <w:rPr>
            <w:rStyle w:val="Lienhypertexte"/>
          </w:rPr>
          <w:t>« </w:t>
        </w:r>
        <w:r w:rsidR="00DE4E1C" w:rsidRPr="00DE4E1C">
          <w:rPr>
            <w:rStyle w:val="Lienhypertexte"/>
          </w:rPr>
          <w:t>La nouvelle directive européenne « Accessibilité » : pour des produits et des services accessibles aux personnes en situation de handicap</w:t>
        </w:r>
      </w:hyperlink>
      <w:r w:rsidR="00DE4E1C">
        <w:t> »</w:t>
      </w:r>
      <w:r w:rsidR="00DE4E1C" w:rsidRPr="00DE4E1C">
        <w:t xml:space="preserve"> </w:t>
      </w:r>
    </w:p>
  </w:footnote>
  <w:footnote w:id="10">
    <w:p w14:paraId="6AAC8EDE" w14:textId="43383C54" w:rsidR="001459B6" w:rsidRPr="00DE4E1C" w:rsidRDefault="001459B6">
      <w:pPr>
        <w:pStyle w:val="Notedebasdepage"/>
      </w:pPr>
      <w:r>
        <w:rPr>
          <w:rStyle w:val="Appelnotedebasdep"/>
        </w:rPr>
        <w:footnoteRef/>
      </w:r>
      <w:r w:rsidRPr="00DE4E1C">
        <w:t xml:space="preserve"> </w:t>
      </w:r>
      <w:hyperlink r:id="rId8" w:history="1">
        <w:proofErr w:type="spellStart"/>
        <w:r w:rsidR="00DE4E1C" w:rsidRPr="00DE4E1C">
          <w:rPr>
            <w:rStyle w:val="Lienhypertexte"/>
          </w:rPr>
          <w:t>Legifrance</w:t>
        </w:r>
        <w:proofErr w:type="spellEnd"/>
        <w:r w:rsidR="00DE4E1C" w:rsidRPr="00DE4E1C">
          <w:rPr>
            <w:rStyle w:val="Lienhypertexte"/>
          </w:rPr>
          <w:t>, Décret n° 2023-931 du 9 octobre 2023</w:t>
        </w:r>
      </w:hyperlink>
      <w:r w:rsidR="00DE4E1C" w:rsidRPr="00DE4E1C">
        <w:t xml:space="preserve"> </w:t>
      </w:r>
    </w:p>
  </w:footnote>
  <w:footnote w:id="11">
    <w:p w14:paraId="1EF2351C" w14:textId="5FD61376" w:rsidR="001459B6" w:rsidRPr="00DE4E1C" w:rsidRDefault="001459B6">
      <w:pPr>
        <w:pStyle w:val="Notedebasdepage"/>
        <w:rPr>
          <w:lang w:val="en-GB"/>
        </w:rPr>
      </w:pPr>
      <w:r>
        <w:rPr>
          <w:rStyle w:val="Appelnotedebasdep"/>
        </w:rPr>
        <w:footnoteRef/>
      </w:r>
      <w:r w:rsidRPr="00DE4E1C">
        <w:rPr>
          <w:lang w:val="en-GB"/>
        </w:rPr>
        <w:t xml:space="preserve"> </w:t>
      </w:r>
      <w:hyperlink r:id="rId9" w:history="1">
        <w:proofErr w:type="spellStart"/>
        <w:r w:rsidR="00DE4E1C" w:rsidRPr="00DE4E1C">
          <w:rPr>
            <w:rStyle w:val="Lienhypertexte"/>
            <w:lang w:val="en-GB"/>
          </w:rPr>
          <w:t>Legifrance</w:t>
        </w:r>
        <w:proofErr w:type="spellEnd"/>
        <w:r w:rsidR="00DE4E1C" w:rsidRPr="00DE4E1C">
          <w:rPr>
            <w:rStyle w:val="Lienhypertexte"/>
            <w:lang w:val="en-GB"/>
          </w:rPr>
          <w:t xml:space="preserve">, </w:t>
        </w:r>
        <w:proofErr w:type="spellStart"/>
        <w:r w:rsidR="00DE4E1C" w:rsidRPr="00DE4E1C">
          <w:rPr>
            <w:rStyle w:val="Lienhypertexte"/>
            <w:lang w:val="en-GB"/>
          </w:rPr>
          <w:t>Arrêté</w:t>
        </w:r>
        <w:proofErr w:type="spellEnd"/>
        <w:r w:rsidR="00DE4E1C" w:rsidRPr="00DE4E1C">
          <w:rPr>
            <w:rStyle w:val="Lienhypertexte"/>
            <w:lang w:val="en-GB"/>
          </w:rPr>
          <w:t xml:space="preserve"> du 9 </w:t>
        </w:r>
        <w:proofErr w:type="spellStart"/>
        <w:r w:rsidR="00DE4E1C" w:rsidRPr="00DE4E1C">
          <w:rPr>
            <w:rStyle w:val="Lienhypertexte"/>
            <w:lang w:val="en-GB"/>
          </w:rPr>
          <w:t>octobre</w:t>
        </w:r>
        <w:proofErr w:type="spellEnd"/>
        <w:r w:rsidR="00DE4E1C" w:rsidRPr="00DE4E1C">
          <w:rPr>
            <w:rStyle w:val="Lienhypertexte"/>
            <w:lang w:val="en-GB"/>
          </w:rPr>
          <w:t xml:space="preserve"> 2023</w:t>
        </w:r>
      </w:hyperlink>
      <w:r w:rsidR="00DE4E1C" w:rsidRPr="00DE4E1C">
        <w:rPr>
          <w:lang w:val="en-GB"/>
        </w:rPr>
        <w:t xml:space="preserve"> </w:t>
      </w:r>
    </w:p>
  </w:footnote>
  <w:footnote w:id="12">
    <w:p w14:paraId="117ECA29" w14:textId="7BB918C5" w:rsidR="00677DD3" w:rsidRPr="00DE4E1C" w:rsidRDefault="00677DD3" w:rsidP="00677DD3">
      <w:pPr>
        <w:pStyle w:val="Notedebasdepage"/>
        <w:rPr>
          <w:lang w:val="en-GB"/>
        </w:rPr>
      </w:pPr>
      <w:r>
        <w:rPr>
          <w:rStyle w:val="Appelnotedebasdep"/>
        </w:rPr>
        <w:footnoteRef/>
      </w:r>
      <w:r w:rsidRPr="00DE4E1C">
        <w:rPr>
          <w:lang w:val="en-GB"/>
        </w:rPr>
        <w:t xml:space="preserve"> </w:t>
      </w:r>
      <w:hyperlink r:id="rId10" w:history="1">
        <w:r w:rsidR="00DE4E1C" w:rsidRPr="00DE4E1C">
          <w:rPr>
            <w:rStyle w:val="Lienhypertexte"/>
            <w:lang w:val="en-GB" w:eastAsia="fr-FR"/>
          </w:rPr>
          <w:t>Low Office of Lainey Feingold</w:t>
        </w:r>
        <w:r w:rsidR="00DE4E1C" w:rsidRPr="00DE4E1C">
          <w:rPr>
            <w:rStyle w:val="Lienhypertexte"/>
            <w:lang w:val="en-GB"/>
          </w:rPr>
          <w:t xml:space="preserve"> </w:t>
        </w:r>
      </w:hyperlink>
      <w:r w:rsidR="00DE4E1C" w:rsidRPr="00DE4E1C">
        <w:rPr>
          <w:lang w:val="en-GB"/>
        </w:rPr>
        <w:t xml:space="preserve"> </w:t>
      </w:r>
    </w:p>
  </w:footnote>
  <w:footnote w:id="13">
    <w:p w14:paraId="6C434BE2" w14:textId="6DDCAA8B" w:rsidR="0069716E" w:rsidRPr="00F25788" w:rsidRDefault="0069716E">
      <w:pPr>
        <w:pStyle w:val="Notedebasdepage"/>
      </w:pPr>
      <w:r>
        <w:rPr>
          <w:rStyle w:val="Appelnotedebasdep"/>
        </w:rPr>
        <w:footnoteRef/>
      </w:r>
      <w:r w:rsidRPr="00F25788">
        <w:t xml:space="preserve"> </w:t>
      </w:r>
      <w:hyperlink r:id="rId11" w:history="1">
        <w:r w:rsidR="00DE4E1C" w:rsidRPr="00F25788">
          <w:rPr>
            <w:rStyle w:val="Lienhypertexte"/>
            <w:lang w:eastAsia="fr-FR"/>
          </w:rPr>
          <w:t xml:space="preserve">Fédération des Aveugles de France </w:t>
        </w:r>
      </w:hyperlink>
      <w:r w:rsidR="00DE4E1C" w:rsidRPr="00F25788">
        <w:rPr>
          <w:lang w:eastAsia="fr-FR"/>
        </w:rPr>
        <w:t xml:space="preserve"> </w:t>
      </w:r>
    </w:p>
  </w:footnote>
  <w:footnote w:id="14">
    <w:p w14:paraId="35273726" w14:textId="33ADB91A" w:rsidR="00EA2E36" w:rsidRPr="00DE4E1C" w:rsidRDefault="00EA2E36" w:rsidP="00EA2E36">
      <w:pPr>
        <w:pStyle w:val="Notedebasdepage"/>
      </w:pPr>
      <w:r>
        <w:rPr>
          <w:rStyle w:val="Appelnotedebasdep"/>
        </w:rPr>
        <w:footnoteRef/>
      </w:r>
      <w:r w:rsidRPr="00DE4E1C">
        <w:t xml:space="preserve"> </w:t>
      </w:r>
      <w:hyperlink r:id="rId12" w:history="1">
        <w:r w:rsidR="00DE4E1C" w:rsidRPr="00DE4E1C">
          <w:rPr>
            <w:rStyle w:val="Lienhypertexte"/>
          </w:rPr>
          <w:t>Agence nationale de lutte contre l’illectronisme : « L’illectronisme en chiffres »</w:t>
        </w:r>
      </w:hyperlink>
      <w:r w:rsidR="00DE4E1C">
        <w:t xml:space="preserve"> </w:t>
      </w:r>
    </w:p>
  </w:footnote>
  <w:footnote w:id="15">
    <w:p w14:paraId="681BE867" w14:textId="3668F75B" w:rsidR="00DE3AAD" w:rsidRDefault="00DE3AAD">
      <w:pPr>
        <w:pStyle w:val="Notedebasdepage"/>
      </w:pPr>
      <w:r>
        <w:rPr>
          <w:rStyle w:val="Appelnotedebasdep"/>
        </w:rPr>
        <w:footnoteRef/>
      </w:r>
      <w:r>
        <w:t xml:space="preserve"> </w:t>
      </w:r>
      <w:hyperlink r:id="rId13" w:history="1">
        <w:r w:rsidR="00DE4E1C" w:rsidRPr="00DE4E1C">
          <w:rPr>
            <w:rStyle w:val="Lienhypertexte"/>
          </w:rPr>
          <w:t xml:space="preserve">OPIIEC, </w:t>
        </w:r>
        <w:r w:rsidR="00DE4E1C" w:rsidRPr="00DE4E1C">
          <w:rPr>
            <w:rStyle w:val="Lienhypertexte"/>
            <w:lang w:eastAsia="fr-FR"/>
          </w:rPr>
          <w:t>« Produire des contenus et services respectant les normes d’accessibilité numérique »</w:t>
        </w:r>
      </w:hyperlink>
      <w:r w:rsidR="00DE4E1C" w:rsidRPr="00DE3AAD">
        <w:rPr>
          <w:lang w:eastAsia="fr-FR"/>
        </w:rPr>
        <w:t xml:space="preserve"> </w:t>
      </w:r>
      <w:r w:rsidRPr="00DE3AAD">
        <w:t>(p.57- 60</w:t>
      </w:r>
      <w:r>
        <w:t>)</w:t>
      </w:r>
    </w:p>
  </w:footnote>
  <w:footnote w:id="16">
    <w:p w14:paraId="49B28592" w14:textId="5D411169" w:rsidR="00FE2789" w:rsidRPr="00DE4E1C" w:rsidRDefault="00FE2789">
      <w:pPr>
        <w:pStyle w:val="Notedebasdepage"/>
      </w:pPr>
      <w:r>
        <w:rPr>
          <w:rStyle w:val="Appelnotedebasdep"/>
        </w:rPr>
        <w:footnoteRef/>
      </w:r>
      <w:r w:rsidRPr="00DE4E1C">
        <w:t xml:space="preserve"> </w:t>
      </w:r>
      <w:hyperlink r:id="rId14" w:history="1">
        <w:r w:rsidR="00DE4E1C" w:rsidRPr="00DE4E1C">
          <w:rPr>
            <w:rStyle w:val="Lienhypertexte"/>
          </w:rPr>
          <w:t>ENEDIS, Schéma Pluriannuel d’Accessibilité 2024 – 2026</w:t>
        </w:r>
      </w:hyperlink>
      <w:r w:rsidRPr="00DE4E1C">
        <w:t xml:space="preserve"> </w:t>
      </w:r>
    </w:p>
  </w:footnote>
  <w:footnote w:id="17">
    <w:p w14:paraId="271AE5E4" w14:textId="67B7C07E" w:rsidR="00B93F72" w:rsidRPr="00B9734A" w:rsidRDefault="00B93F72">
      <w:pPr>
        <w:pStyle w:val="Notedebasdepage"/>
      </w:pPr>
      <w:r>
        <w:rPr>
          <w:rStyle w:val="Appelnotedebasdep"/>
        </w:rPr>
        <w:footnoteRef/>
      </w:r>
      <w:r w:rsidR="002E33A4" w:rsidRPr="00B9734A">
        <w:t xml:space="preserve"> </w:t>
      </w:r>
      <w:hyperlink r:id="rId15" w:history="1">
        <w:proofErr w:type="spellStart"/>
        <w:r w:rsidR="002E33A4" w:rsidRPr="00B9734A">
          <w:rPr>
            <w:rStyle w:val="Lienhypertexte"/>
          </w:rPr>
          <w:t>DesignGouv</w:t>
        </w:r>
        <w:proofErr w:type="spellEnd"/>
        <w:r w:rsidR="002E33A4" w:rsidRPr="00B9734A">
          <w:rPr>
            <w:rStyle w:val="Lienhypertexte"/>
          </w:rPr>
          <w:t xml:space="preserve"> : Diagnostic flash</w:t>
        </w:r>
      </w:hyperlink>
      <w:r w:rsidRPr="00B9734A">
        <w:t xml:space="preserve"> </w:t>
      </w:r>
    </w:p>
  </w:footnote>
  <w:footnote w:id="18">
    <w:p w14:paraId="19AF78E8" w14:textId="5BCAB8AA" w:rsidR="00973CB5" w:rsidRPr="00B9734A" w:rsidRDefault="00973CB5" w:rsidP="00973CB5">
      <w:pPr>
        <w:pStyle w:val="Notedebasdepage"/>
      </w:pPr>
      <w:r>
        <w:rPr>
          <w:rStyle w:val="Appelnotedebasdep"/>
        </w:rPr>
        <w:footnoteRef/>
      </w:r>
      <w:r w:rsidRPr="00B9734A">
        <w:t xml:space="preserve">  </w:t>
      </w:r>
      <w:hyperlink r:id="rId16" w:history="1">
        <w:r w:rsidR="002E33A4" w:rsidRPr="00B9734A">
          <w:rPr>
            <w:rStyle w:val="Lienhypertexte"/>
          </w:rPr>
          <w:t>Site ARA</w:t>
        </w:r>
      </w:hyperlink>
      <w:r w:rsidR="002E33A4" w:rsidRPr="00B9734A">
        <w:t xml:space="preserve"> </w:t>
      </w:r>
    </w:p>
  </w:footnote>
  <w:footnote w:id="19">
    <w:p w14:paraId="5D49CEA2" w14:textId="1CE21A69" w:rsidR="00661E67" w:rsidRDefault="00661E67" w:rsidP="00661E67">
      <w:pPr>
        <w:pStyle w:val="Notedebasdepage"/>
      </w:pPr>
      <w:r>
        <w:rPr>
          <w:rStyle w:val="Appelnotedebasdep"/>
        </w:rPr>
        <w:footnoteRef/>
      </w:r>
      <w:r>
        <w:t xml:space="preserve"> </w:t>
      </w:r>
      <w:r w:rsidR="002E33A4" w:rsidRPr="002E33A4">
        <w:t>Ministère de l’Intérieur</w:t>
      </w:r>
      <w:r w:rsidR="002E33A4">
        <w:t>, M</w:t>
      </w:r>
      <w:r w:rsidR="002E33A4" w:rsidRPr="002E33A4">
        <w:t>odèle de clause d’accessibilité numérique</w:t>
      </w:r>
      <w:r w:rsidR="002E33A4">
        <w:t xml:space="preserve"> </w:t>
      </w:r>
      <w:r>
        <w:t>:</w:t>
      </w:r>
      <w:r w:rsidR="002E33A4">
        <w:t xml:space="preserve"> accès via le </w:t>
      </w:r>
      <w:hyperlink r:id="rId17" w:history="1">
        <w:r w:rsidR="002E33A4" w:rsidRPr="002E33A4">
          <w:rPr>
            <w:rStyle w:val="Lienhypertexte"/>
          </w:rPr>
          <w:t xml:space="preserve">site </w:t>
        </w:r>
        <w:proofErr w:type="spellStart"/>
        <w:r w:rsidR="002E33A4" w:rsidRPr="002E33A4">
          <w:rPr>
            <w:rStyle w:val="Lienhypertexte"/>
          </w:rPr>
          <w:t>DesignGouv</w:t>
        </w:r>
        <w:proofErr w:type="spellEnd"/>
      </w:hyperlink>
      <w:r w:rsidR="002E33A4">
        <w:t xml:space="preserve"> ou via ce </w:t>
      </w:r>
      <w:hyperlink r:id="rId18" w:history="1">
        <w:r w:rsidR="002E33A4" w:rsidRPr="002E33A4">
          <w:rPr>
            <w:rStyle w:val="Lienhypertexte"/>
          </w:rPr>
          <w:t>lien de téléchargement direct</w:t>
        </w:r>
      </w:hyperlink>
      <w:r w:rsidR="002E33A4">
        <w:t>.</w:t>
      </w:r>
      <w:r>
        <w:t xml:space="preserve"> </w:t>
      </w:r>
    </w:p>
  </w:footnote>
  <w:footnote w:id="20">
    <w:p w14:paraId="090F411D" w14:textId="4D921E18" w:rsidR="00C56DCA" w:rsidRDefault="00C56DCA">
      <w:pPr>
        <w:pStyle w:val="Notedebasdepage"/>
      </w:pPr>
      <w:r>
        <w:rPr>
          <w:rStyle w:val="Appelnotedebasdep"/>
        </w:rPr>
        <w:footnoteRef/>
      </w:r>
      <w:r>
        <w:t xml:space="preserve"> </w:t>
      </w:r>
      <w:hyperlink r:id="rId19" w:history="1">
        <w:r w:rsidRPr="00C56DCA">
          <w:rPr>
            <w:rStyle w:val="Lienhypertexte"/>
          </w:rPr>
          <w:t>Système de Design de l’État</w:t>
        </w:r>
      </w:hyperlink>
    </w:p>
  </w:footnote>
  <w:footnote w:id="21">
    <w:p w14:paraId="562BBA1D" w14:textId="3CF8A740" w:rsidR="00C56DCA" w:rsidRDefault="00C56DCA">
      <w:pPr>
        <w:pStyle w:val="Notedebasdepage"/>
      </w:pPr>
      <w:r>
        <w:rPr>
          <w:rStyle w:val="Appelnotedebasdep"/>
        </w:rPr>
        <w:footnoteRef/>
      </w:r>
      <w:r>
        <w:t xml:space="preserve"> </w:t>
      </w:r>
      <w:proofErr w:type="spellStart"/>
      <w:r w:rsidRPr="00C56DCA">
        <w:rPr>
          <w:i/>
          <w:iCs/>
        </w:rPr>
        <w:t>Continuous</w:t>
      </w:r>
      <w:proofErr w:type="spellEnd"/>
      <w:r w:rsidRPr="00C56DCA">
        <w:rPr>
          <w:i/>
          <w:iCs/>
        </w:rPr>
        <w:t xml:space="preserve"> </w:t>
      </w:r>
      <w:proofErr w:type="spellStart"/>
      <w:r w:rsidRPr="00C56DCA">
        <w:rPr>
          <w:i/>
          <w:iCs/>
        </w:rPr>
        <w:t>Integration</w:t>
      </w:r>
      <w:proofErr w:type="spellEnd"/>
      <w:r w:rsidRPr="00C56DCA">
        <w:rPr>
          <w:i/>
          <w:iCs/>
        </w:rPr>
        <w:t>/</w:t>
      </w:r>
      <w:proofErr w:type="spellStart"/>
      <w:r w:rsidRPr="00C56DCA">
        <w:rPr>
          <w:i/>
          <w:iCs/>
        </w:rPr>
        <w:t>Continuous</w:t>
      </w:r>
      <w:proofErr w:type="spellEnd"/>
      <w:r w:rsidRPr="00C56DCA">
        <w:rPr>
          <w:i/>
          <w:iCs/>
        </w:rPr>
        <w:t xml:space="preserve"> Delivery</w:t>
      </w:r>
    </w:p>
  </w:footnote>
  <w:footnote w:id="22">
    <w:p w14:paraId="38D48169" w14:textId="56DFA703" w:rsidR="00F671A3" w:rsidRDefault="00F671A3" w:rsidP="00F671A3">
      <w:pPr>
        <w:pStyle w:val="Notedebasdepage"/>
      </w:pPr>
      <w:r>
        <w:rPr>
          <w:rStyle w:val="Appelnotedebasdep"/>
        </w:rPr>
        <w:footnoteRef/>
      </w:r>
      <w:r>
        <w:t xml:space="preserve"> </w:t>
      </w:r>
      <w:r w:rsidRPr="006E1221">
        <w:t>Il est nécessaire de mentionner l’organisme déclarant :</w:t>
      </w:r>
      <w:r w:rsidR="002E33A4">
        <w:t xml:space="preserve"> </w:t>
      </w:r>
      <w:hyperlink r:id="rId20" w:history="1">
        <w:r w:rsidR="002E33A4" w:rsidRPr="002E33A4">
          <w:rPr>
            <w:rStyle w:val="Lienhypertexte"/>
          </w:rPr>
          <w:t>lien vers RGAA « Déclaration d’accessibilité »</w:t>
        </w:r>
      </w:hyperlink>
      <w:r w:rsidRPr="006E1221">
        <w:t xml:space="preserve"> </w:t>
      </w:r>
    </w:p>
  </w:footnote>
  <w:footnote w:id="23">
    <w:p w14:paraId="0E02352B" w14:textId="4402C02F" w:rsidR="006E1221" w:rsidRDefault="006E1221">
      <w:pPr>
        <w:pStyle w:val="Notedebasdepage"/>
      </w:pPr>
      <w:r>
        <w:rPr>
          <w:rStyle w:val="Appelnotedebasdep"/>
        </w:rPr>
        <w:footnoteRef/>
      </w:r>
      <w:r>
        <w:t xml:space="preserve"> </w:t>
      </w:r>
      <w:r w:rsidRPr="006E1221">
        <w:t> </w:t>
      </w:r>
      <w:hyperlink r:id="rId21" w:history="1">
        <w:r w:rsidR="002E33A4" w:rsidRPr="002E33A4">
          <w:rPr>
            <w:rStyle w:val="Lienhypertexte"/>
          </w:rPr>
          <w:t>RGAA, Critères et tests</w:t>
        </w:r>
      </w:hyperlink>
      <w:r w:rsidR="002E33A4">
        <w:t xml:space="preserve"> </w:t>
      </w:r>
    </w:p>
  </w:footnote>
  <w:footnote w:id="24">
    <w:p w14:paraId="29C9EFD7" w14:textId="794BB397" w:rsidR="006E1221" w:rsidRPr="00F25788" w:rsidRDefault="006E1221">
      <w:pPr>
        <w:pStyle w:val="Notedebasdepage"/>
      </w:pPr>
      <w:r>
        <w:rPr>
          <w:rStyle w:val="Appelnotedebasdep"/>
        </w:rPr>
        <w:footnoteRef/>
      </w:r>
      <w:r w:rsidRPr="00F25788">
        <w:t xml:space="preserve"> </w:t>
      </w:r>
      <w:hyperlink r:id="rId22" w:history="1">
        <w:r w:rsidR="002E33A4" w:rsidRPr="00F25788">
          <w:rPr>
            <w:rStyle w:val="Lienhypertexte"/>
          </w:rPr>
          <w:t xml:space="preserve">Web Content </w:t>
        </w:r>
        <w:proofErr w:type="spellStart"/>
        <w:r w:rsidR="002E33A4" w:rsidRPr="00F25788">
          <w:rPr>
            <w:rStyle w:val="Lienhypertexte"/>
          </w:rPr>
          <w:t>Accessibility</w:t>
        </w:r>
        <w:proofErr w:type="spellEnd"/>
        <w:r w:rsidR="002E33A4" w:rsidRPr="00F25788">
          <w:rPr>
            <w:rStyle w:val="Lienhypertexte"/>
          </w:rPr>
          <w:t xml:space="preserve"> Guidelines (WCAG) 2.0</w:t>
        </w:r>
      </w:hyperlink>
      <w:r w:rsidR="002E33A4" w:rsidRPr="00F25788">
        <w:t xml:space="preserve"> </w:t>
      </w:r>
    </w:p>
  </w:footnote>
  <w:footnote w:id="25">
    <w:p w14:paraId="5B21BC5E" w14:textId="7ED71315" w:rsidR="006E1221" w:rsidRPr="002E33A4" w:rsidRDefault="006E1221">
      <w:pPr>
        <w:pStyle w:val="Notedebasdepage"/>
      </w:pPr>
      <w:r>
        <w:rPr>
          <w:rStyle w:val="Appelnotedebasdep"/>
        </w:rPr>
        <w:footnoteRef/>
      </w:r>
      <w:r w:rsidRPr="002E33A4">
        <w:t xml:space="preserve"> </w:t>
      </w:r>
      <w:hyperlink r:id="rId23" w:history="1">
        <w:r w:rsidR="002E33A4" w:rsidRPr="002E33A4">
          <w:rPr>
            <w:rStyle w:val="Lienhypertexte"/>
          </w:rPr>
          <w:t>Orange,</w:t>
        </w:r>
        <w:r w:rsidRPr="002E33A4">
          <w:rPr>
            <w:rStyle w:val="Lienhypertexte"/>
          </w:rPr>
          <w:t xml:space="preserve"> </w:t>
        </w:r>
        <w:r w:rsidR="002E33A4" w:rsidRPr="002E33A4">
          <w:rPr>
            <w:rStyle w:val="Lienhypertexte"/>
          </w:rPr>
          <w:t>L'accessibilité numérique chez Orange</w:t>
        </w:r>
      </w:hyperlink>
      <w:r w:rsidR="002E33A4">
        <w:t xml:space="preserve"> </w:t>
      </w:r>
    </w:p>
  </w:footnote>
  <w:footnote w:id="26">
    <w:p w14:paraId="06E9E609" w14:textId="4C414C7D" w:rsidR="006E1221" w:rsidRPr="00F25788" w:rsidRDefault="006E1221">
      <w:pPr>
        <w:pStyle w:val="Notedebasdepage"/>
        <w:rPr>
          <w:lang w:val="en-GB"/>
        </w:rPr>
      </w:pPr>
      <w:r>
        <w:rPr>
          <w:rStyle w:val="Appelnotedebasdep"/>
        </w:rPr>
        <w:footnoteRef/>
      </w:r>
      <w:r w:rsidRPr="00F25788">
        <w:rPr>
          <w:lang w:val="en-GB"/>
        </w:rPr>
        <w:t xml:space="preserve"> </w:t>
      </w:r>
      <w:hyperlink r:id="rId24" w:history="1">
        <w:r w:rsidR="002E33A4" w:rsidRPr="00F25788">
          <w:rPr>
            <w:rStyle w:val="Lienhypertexte"/>
            <w:lang w:val="en-GB"/>
          </w:rPr>
          <w:t>Deque University, Web Accessibility Checklist</w:t>
        </w:r>
      </w:hyperlink>
      <w:r w:rsidR="002E33A4" w:rsidRPr="00F25788">
        <w:rPr>
          <w:lang w:val="en-GB"/>
        </w:rPr>
        <w:t xml:space="preserve"> </w:t>
      </w:r>
    </w:p>
  </w:footnote>
  <w:footnote w:id="27">
    <w:p w14:paraId="1AACA2AD" w14:textId="66A9DE60" w:rsidR="006E1221" w:rsidRPr="002E33A4" w:rsidRDefault="006E1221">
      <w:pPr>
        <w:pStyle w:val="Notedebasdepage"/>
        <w:rPr>
          <w:lang w:val="en-GB"/>
        </w:rPr>
      </w:pPr>
      <w:r>
        <w:rPr>
          <w:rStyle w:val="Appelnotedebasdep"/>
        </w:rPr>
        <w:footnoteRef/>
      </w:r>
      <w:r w:rsidRPr="002E33A4">
        <w:rPr>
          <w:lang w:val="en-GB"/>
        </w:rPr>
        <w:t xml:space="preserve"> </w:t>
      </w:r>
      <w:r w:rsidR="002E33A4">
        <w:rPr>
          <w:lang w:val="en-GB"/>
        </w:rPr>
        <w:t xml:space="preserve"> </w:t>
      </w:r>
      <w:hyperlink r:id="rId25" w:history="1">
        <w:r w:rsidR="002E33A4" w:rsidRPr="002E33A4">
          <w:rPr>
            <w:rStyle w:val="Lienhypertexte"/>
            <w:lang w:val="en-GB"/>
          </w:rPr>
          <w:t>Orange, Escape Game «Tota11y Lost»</w:t>
        </w:r>
      </w:hyperlink>
      <w:r w:rsidR="002E33A4">
        <w:rPr>
          <w:lang w:val="en-GB"/>
        </w:rPr>
        <w:t xml:space="preserve"> </w:t>
      </w:r>
    </w:p>
  </w:footnote>
  <w:footnote w:id="28">
    <w:p w14:paraId="5B8D9839" w14:textId="57C6657C" w:rsidR="006E1221" w:rsidRPr="002E33A4" w:rsidRDefault="006E1221">
      <w:pPr>
        <w:pStyle w:val="Notedebasdepage"/>
        <w:rPr>
          <w:lang w:val="en-GB"/>
        </w:rPr>
      </w:pPr>
      <w:r>
        <w:rPr>
          <w:rStyle w:val="Appelnotedebasdep"/>
        </w:rPr>
        <w:footnoteRef/>
      </w:r>
      <w:r w:rsidRPr="002E33A4">
        <w:rPr>
          <w:lang w:val="en-GB"/>
        </w:rPr>
        <w:t xml:space="preserve">  </w:t>
      </w:r>
      <w:hyperlink r:id="rId26" w:history="1">
        <w:r w:rsidR="002E33A4" w:rsidRPr="002E33A4">
          <w:rPr>
            <w:rStyle w:val="Lienhypertexte"/>
            <w:lang w:val="en-GB"/>
          </w:rPr>
          <w:t xml:space="preserve">Orange, Article sur </w:t>
        </w:r>
        <w:proofErr w:type="spellStart"/>
        <w:r w:rsidR="002E33A4" w:rsidRPr="002E33A4">
          <w:rPr>
            <w:rStyle w:val="Lienhypertexte"/>
            <w:lang w:val="en-GB"/>
          </w:rPr>
          <w:t>l’escape</w:t>
        </w:r>
        <w:proofErr w:type="spellEnd"/>
        <w:r w:rsidR="002E33A4" w:rsidRPr="002E33A4">
          <w:rPr>
            <w:rStyle w:val="Lienhypertexte"/>
            <w:lang w:val="en-GB"/>
          </w:rPr>
          <w:t xml:space="preserve"> game « Tota11y Lost »</w:t>
        </w:r>
      </w:hyperlink>
      <w:r w:rsidRPr="002E33A4">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9A5C9" w14:textId="77777777" w:rsidR="00321791" w:rsidRDefault="00321791">
    <w:pPr>
      <w:pStyle w:val="En-tte"/>
    </w:pPr>
    <w:r>
      <w:rPr>
        <w:noProof/>
      </w:rPr>
      <w:drawing>
        <wp:anchor distT="0" distB="0" distL="114300" distR="114300" simplePos="0" relativeHeight="251671552" behindDoc="0" locked="0" layoutInCell="1" allowOverlap="1" wp14:anchorId="1A43F2BD" wp14:editId="00638266">
          <wp:simplePos x="0" y="0"/>
          <wp:positionH relativeFrom="margin">
            <wp:posOffset>4739640</wp:posOffset>
          </wp:positionH>
          <wp:positionV relativeFrom="margin">
            <wp:posOffset>-2983230</wp:posOffset>
          </wp:positionV>
          <wp:extent cx="1243965" cy="1263015"/>
          <wp:effectExtent l="0" t="0" r="0" b="0"/>
          <wp:wrapSquare wrapText="bothSides"/>
          <wp:docPr id="424486352"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86352" name="Imag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3965" cy="126301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C038" w14:textId="77777777" w:rsidR="00B0781C" w:rsidRDefault="00321791">
    <w:pPr>
      <w:pStyle w:val="En-tte"/>
    </w:pPr>
    <w:r>
      <w:rPr>
        <w:noProof/>
      </w:rPr>
      <w:drawing>
        <wp:anchor distT="0" distB="0" distL="114300" distR="114300" simplePos="0" relativeHeight="251669504" behindDoc="0" locked="0" layoutInCell="1" allowOverlap="1" wp14:anchorId="77E9195A" wp14:editId="3553C036">
          <wp:simplePos x="0" y="0"/>
          <wp:positionH relativeFrom="margin">
            <wp:posOffset>0</wp:posOffset>
          </wp:positionH>
          <wp:positionV relativeFrom="margin">
            <wp:posOffset>-2993390</wp:posOffset>
          </wp:positionV>
          <wp:extent cx="1263600" cy="1263600"/>
          <wp:effectExtent l="0" t="0" r="0" b="0"/>
          <wp:wrapSquare wrapText="bothSides"/>
          <wp:docPr id="675183336" name="Image 675183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83336" name="Image 67518333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3600" cy="126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B5943"/>
        <w:spacing w:val="60"/>
      </w:rPr>
      <w:id w:val="-1040821836"/>
      <w:docPartObj>
        <w:docPartGallery w:val="Page Numbers (Top of Page)"/>
        <w:docPartUnique/>
      </w:docPartObj>
    </w:sdtPr>
    <w:sdtEndPr>
      <w:rPr>
        <w:b/>
        <w:bCs/>
        <w:color w:val="6C0A1A"/>
        <w:spacing w:val="0"/>
      </w:rPr>
    </w:sdtEndPr>
    <w:sdtContent>
      <w:p w14:paraId="0B83AFDF" w14:textId="77777777" w:rsidR="00121BD4" w:rsidRPr="00BE145A" w:rsidRDefault="00121BD4">
        <w:pPr>
          <w:pStyle w:val="En-tte"/>
          <w:pBdr>
            <w:bottom w:val="single" w:sz="4" w:space="1" w:color="D9D9D9" w:themeColor="background1" w:themeShade="D9"/>
          </w:pBdr>
          <w:jc w:val="right"/>
          <w:rPr>
            <w:b/>
            <w:bCs/>
            <w:color w:val="6C0A1A"/>
          </w:rPr>
        </w:pPr>
        <w:r w:rsidRPr="00D91C86">
          <w:rPr>
            <w:color w:val="4B5943"/>
            <w:spacing w:val="60"/>
          </w:rPr>
          <w:t>Page</w:t>
        </w:r>
        <w:r w:rsidRPr="00D91C86">
          <w:rPr>
            <w:color w:val="4B5943"/>
          </w:rPr>
          <w:t xml:space="preserve">| </w:t>
        </w:r>
        <w:r w:rsidRPr="00D91C86">
          <w:rPr>
            <w:color w:val="4B5943"/>
          </w:rPr>
          <w:fldChar w:fldCharType="begin"/>
        </w:r>
        <w:r w:rsidRPr="00D91C86">
          <w:rPr>
            <w:color w:val="4B5943"/>
          </w:rPr>
          <w:instrText>PAGE   \* MERGEFORMAT</w:instrText>
        </w:r>
        <w:r w:rsidRPr="00D91C86">
          <w:rPr>
            <w:color w:val="4B5943"/>
          </w:rPr>
          <w:fldChar w:fldCharType="separate"/>
        </w:r>
        <w:r w:rsidRPr="00D91C86">
          <w:rPr>
            <w:b/>
            <w:bCs/>
            <w:color w:val="4B5943"/>
          </w:rPr>
          <w:t>2</w:t>
        </w:r>
        <w:r w:rsidRPr="00D91C86">
          <w:rPr>
            <w:b/>
            <w:bCs/>
            <w:color w:val="4B5943"/>
          </w:rPr>
          <w:fldChar w:fldCharType="end"/>
        </w:r>
      </w:p>
    </w:sdtContent>
  </w:sdt>
  <w:p w14:paraId="55FEAB91" w14:textId="77777777" w:rsidR="00121BD4" w:rsidRPr="00EF1546" w:rsidRDefault="00121BD4" w:rsidP="00EF1546">
    <w:pPr>
      <w:pStyle w:val="En-tte"/>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5444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6AE679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48E94B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4C88DC8"/>
    <w:lvl w:ilvl="0">
      <w:start w:val="1"/>
      <w:numFmt w:val="decimal"/>
      <w:pStyle w:val="Listenumros2"/>
      <w:lvlText w:val="%1."/>
      <w:lvlJc w:val="left"/>
      <w:pPr>
        <w:tabs>
          <w:tab w:val="num" w:pos="643"/>
        </w:tabs>
        <w:ind w:left="643" w:hanging="360"/>
      </w:pPr>
    </w:lvl>
  </w:abstractNum>
  <w:abstractNum w:abstractNumId="4" w15:restartNumberingAfterBreak="0">
    <w:nsid w:val="01572323"/>
    <w:multiLevelType w:val="multilevel"/>
    <w:tmpl w:val="5960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22AE8"/>
    <w:multiLevelType w:val="multilevel"/>
    <w:tmpl w:val="9888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A44C9"/>
    <w:multiLevelType w:val="multilevel"/>
    <w:tmpl w:val="4ED24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5B6F38"/>
    <w:multiLevelType w:val="hybridMultilevel"/>
    <w:tmpl w:val="F8905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10A18"/>
    <w:multiLevelType w:val="hybridMultilevel"/>
    <w:tmpl w:val="A620C47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927453"/>
    <w:multiLevelType w:val="hybridMultilevel"/>
    <w:tmpl w:val="C81EE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093A4B"/>
    <w:multiLevelType w:val="multilevel"/>
    <w:tmpl w:val="1B1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CD0363"/>
    <w:multiLevelType w:val="multilevel"/>
    <w:tmpl w:val="346C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E33958"/>
    <w:multiLevelType w:val="hybridMultilevel"/>
    <w:tmpl w:val="B052BFE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8DE579F"/>
    <w:multiLevelType w:val="multilevel"/>
    <w:tmpl w:val="5C46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B46EE8"/>
    <w:multiLevelType w:val="hybridMultilevel"/>
    <w:tmpl w:val="25442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335F90"/>
    <w:multiLevelType w:val="multilevel"/>
    <w:tmpl w:val="A744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DC1A0F"/>
    <w:multiLevelType w:val="hybridMultilevel"/>
    <w:tmpl w:val="CB564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3A3996"/>
    <w:multiLevelType w:val="multilevel"/>
    <w:tmpl w:val="5C46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A82046"/>
    <w:multiLevelType w:val="multilevel"/>
    <w:tmpl w:val="AF665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11AC2"/>
    <w:multiLevelType w:val="hybridMultilevel"/>
    <w:tmpl w:val="838AB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B643E9"/>
    <w:multiLevelType w:val="multilevel"/>
    <w:tmpl w:val="2858FCF6"/>
    <w:lvl w:ilvl="0">
      <w:start w:val="1"/>
      <w:numFmt w:val="decimal"/>
      <w:pStyle w:val="Listenumro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600177"/>
    <w:multiLevelType w:val="multilevel"/>
    <w:tmpl w:val="B37C1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ABE2599"/>
    <w:multiLevelType w:val="hybridMultilevel"/>
    <w:tmpl w:val="1360A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362F2F"/>
    <w:multiLevelType w:val="multilevel"/>
    <w:tmpl w:val="D12C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B5172A"/>
    <w:multiLevelType w:val="multilevel"/>
    <w:tmpl w:val="28A0D330"/>
    <w:lvl w:ilvl="0">
      <w:start w:val="1"/>
      <w:numFmt w:val="bullet"/>
      <w:lvlText w:val=""/>
      <w:lvlJc w:val="left"/>
      <w:pPr>
        <w:ind w:left="851" w:hanging="285"/>
      </w:pPr>
      <w:rPr>
        <w:rFonts w:ascii="Symbol" w:hAnsi="Symbol" w:hint="default"/>
        <w:u w:val="none"/>
      </w:rPr>
    </w:lvl>
    <w:lvl w:ilvl="1">
      <w:start w:val="1"/>
      <w:numFmt w:val="bullet"/>
      <w:lvlText w:val="○"/>
      <w:lvlJc w:val="left"/>
      <w:pPr>
        <w:ind w:left="1370" w:hanging="360"/>
      </w:pPr>
      <w:rPr>
        <w:u w:val="none"/>
      </w:rPr>
    </w:lvl>
    <w:lvl w:ilvl="2">
      <w:start w:val="1"/>
      <w:numFmt w:val="bullet"/>
      <w:lvlText w:val="■"/>
      <w:lvlJc w:val="left"/>
      <w:pPr>
        <w:ind w:left="2090" w:hanging="360"/>
      </w:pPr>
      <w:rPr>
        <w:u w:val="none"/>
      </w:rPr>
    </w:lvl>
    <w:lvl w:ilvl="3">
      <w:start w:val="1"/>
      <w:numFmt w:val="bullet"/>
      <w:lvlText w:val="●"/>
      <w:lvlJc w:val="left"/>
      <w:pPr>
        <w:ind w:left="2810" w:hanging="360"/>
      </w:pPr>
      <w:rPr>
        <w:u w:val="none"/>
      </w:rPr>
    </w:lvl>
    <w:lvl w:ilvl="4">
      <w:start w:val="1"/>
      <w:numFmt w:val="bullet"/>
      <w:lvlText w:val="○"/>
      <w:lvlJc w:val="left"/>
      <w:pPr>
        <w:ind w:left="3530" w:hanging="360"/>
      </w:pPr>
      <w:rPr>
        <w:u w:val="none"/>
      </w:rPr>
    </w:lvl>
    <w:lvl w:ilvl="5">
      <w:start w:val="1"/>
      <w:numFmt w:val="bullet"/>
      <w:lvlText w:val="■"/>
      <w:lvlJc w:val="left"/>
      <w:pPr>
        <w:ind w:left="4250" w:hanging="360"/>
      </w:pPr>
      <w:rPr>
        <w:u w:val="none"/>
      </w:rPr>
    </w:lvl>
    <w:lvl w:ilvl="6">
      <w:start w:val="1"/>
      <w:numFmt w:val="bullet"/>
      <w:lvlText w:val="●"/>
      <w:lvlJc w:val="left"/>
      <w:pPr>
        <w:ind w:left="4970" w:hanging="360"/>
      </w:pPr>
      <w:rPr>
        <w:u w:val="none"/>
      </w:rPr>
    </w:lvl>
    <w:lvl w:ilvl="7">
      <w:start w:val="1"/>
      <w:numFmt w:val="bullet"/>
      <w:lvlText w:val="○"/>
      <w:lvlJc w:val="left"/>
      <w:pPr>
        <w:ind w:left="5690" w:hanging="360"/>
      </w:pPr>
      <w:rPr>
        <w:u w:val="none"/>
      </w:rPr>
    </w:lvl>
    <w:lvl w:ilvl="8">
      <w:start w:val="1"/>
      <w:numFmt w:val="bullet"/>
      <w:lvlText w:val="■"/>
      <w:lvlJc w:val="left"/>
      <w:pPr>
        <w:ind w:left="6410" w:hanging="360"/>
      </w:pPr>
      <w:rPr>
        <w:u w:val="none"/>
      </w:rPr>
    </w:lvl>
  </w:abstractNum>
  <w:abstractNum w:abstractNumId="25" w15:restartNumberingAfterBreak="0">
    <w:nsid w:val="1D0E6108"/>
    <w:multiLevelType w:val="hybridMultilevel"/>
    <w:tmpl w:val="199E1170"/>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821BCD"/>
    <w:multiLevelType w:val="hybridMultilevel"/>
    <w:tmpl w:val="F5C40D7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1FB17B82"/>
    <w:multiLevelType w:val="multilevel"/>
    <w:tmpl w:val="F278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6E6101"/>
    <w:multiLevelType w:val="multilevel"/>
    <w:tmpl w:val="6EEC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874B4C"/>
    <w:multiLevelType w:val="hybridMultilevel"/>
    <w:tmpl w:val="04906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4C964C2"/>
    <w:multiLevelType w:val="hybridMultilevel"/>
    <w:tmpl w:val="CC0C5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4EF2296"/>
    <w:multiLevelType w:val="multilevel"/>
    <w:tmpl w:val="1E40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82759C"/>
    <w:multiLevelType w:val="multilevel"/>
    <w:tmpl w:val="4B182D44"/>
    <w:lvl w:ilvl="0">
      <w:start w:val="1"/>
      <w:numFmt w:val="bullet"/>
      <w:pStyle w:val="Listepuces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9920516"/>
    <w:multiLevelType w:val="multilevel"/>
    <w:tmpl w:val="B9D0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383EB2"/>
    <w:multiLevelType w:val="multilevel"/>
    <w:tmpl w:val="C926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114369"/>
    <w:multiLevelType w:val="hybridMultilevel"/>
    <w:tmpl w:val="7E226D8E"/>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DEC7AC8"/>
    <w:multiLevelType w:val="multilevel"/>
    <w:tmpl w:val="7FB4B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numFmt w:val="bullet"/>
      <w:lvlText w:val=""/>
      <w:lvlJc w:val="left"/>
      <w:pPr>
        <w:ind w:left="2160" w:hanging="360"/>
      </w:pPr>
      <w:rPr>
        <w:rFonts w:ascii="Wingdings" w:eastAsiaTheme="minorEastAsia"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190B3A"/>
    <w:multiLevelType w:val="hybridMultilevel"/>
    <w:tmpl w:val="C922B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FAC2803"/>
    <w:multiLevelType w:val="hybridMultilevel"/>
    <w:tmpl w:val="A3CEB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FB45E9"/>
    <w:multiLevelType w:val="multilevel"/>
    <w:tmpl w:val="713C89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D12486"/>
    <w:multiLevelType w:val="hybridMultilevel"/>
    <w:tmpl w:val="BADE4BD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1" w15:restartNumberingAfterBreak="0">
    <w:nsid w:val="36E1087B"/>
    <w:multiLevelType w:val="multilevel"/>
    <w:tmpl w:val="185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0A66C3"/>
    <w:multiLevelType w:val="multilevel"/>
    <w:tmpl w:val="3F6C9098"/>
    <w:lvl w:ilvl="0">
      <w:start w:val="1"/>
      <w:numFmt w:val="bullet"/>
      <w:lvlText w:val="o"/>
      <w:lvlJc w:val="left"/>
      <w:pPr>
        <w:ind w:left="1421" w:hanging="285"/>
      </w:pPr>
      <w:rPr>
        <w:rFonts w:ascii="Courier New" w:hAnsi="Courier New" w:cs="Courier New" w:hint="default"/>
        <w:u w:val="none"/>
      </w:rPr>
    </w:lvl>
    <w:lvl w:ilvl="1">
      <w:start w:val="1"/>
      <w:numFmt w:val="bullet"/>
      <w:lvlText w:val="○"/>
      <w:lvlJc w:val="left"/>
      <w:pPr>
        <w:ind w:left="1940" w:hanging="360"/>
      </w:pPr>
      <w:rPr>
        <w:u w:val="none"/>
      </w:rPr>
    </w:lvl>
    <w:lvl w:ilvl="2">
      <w:start w:val="1"/>
      <w:numFmt w:val="bullet"/>
      <w:lvlText w:val="■"/>
      <w:lvlJc w:val="left"/>
      <w:pPr>
        <w:ind w:left="2660" w:hanging="360"/>
      </w:pPr>
      <w:rPr>
        <w:u w:val="none"/>
      </w:rPr>
    </w:lvl>
    <w:lvl w:ilvl="3">
      <w:start w:val="1"/>
      <w:numFmt w:val="bullet"/>
      <w:lvlText w:val="●"/>
      <w:lvlJc w:val="left"/>
      <w:pPr>
        <w:ind w:left="3380" w:hanging="360"/>
      </w:pPr>
      <w:rPr>
        <w:u w:val="none"/>
      </w:rPr>
    </w:lvl>
    <w:lvl w:ilvl="4">
      <w:start w:val="1"/>
      <w:numFmt w:val="bullet"/>
      <w:lvlText w:val="○"/>
      <w:lvlJc w:val="left"/>
      <w:pPr>
        <w:ind w:left="4100" w:hanging="360"/>
      </w:pPr>
      <w:rPr>
        <w:u w:val="none"/>
      </w:rPr>
    </w:lvl>
    <w:lvl w:ilvl="5">
      <w:start w:val="1"/>
      <w:numFmt w:val="bullet"/>
      <w:lvlText w:val="■"/>
      <w:lvlJc w:val="left"/>
      <w:pPr>
        <w:ind w:left="4820" w:hanging="360"/>
      </w:pPr>
      <w:rPr>
        <w:u w:val="none"/>
      </w:rPr>
    </w:lvl>
    <w:lvl w:ilvl="6">
      <w:start w:val="1"/>
      <w:numFmt w:val="bullet"/>
      <w:lvlText w:val="●"/>
      <w:lvlJc w:val="left"/>
      <w:pPr>
        <w:ind w:left="5540" w:hanging="360"/>
      </w:pPr>
      <w:rPr>
        <w:u w:val="none"/>
      </w:rPr>
    </w:lvl>
    <w:lvl w:ilvl="7">
      <w:start w:val="1"/>
      <w:numFmt w:val="bullet"/>
      <w:lvlText w:val="○"/>
      <w:lvlJc w:val="left"/>
      <w:pPr>
        <w:ind w:left="6260" w:hanging="360"/>
      </w:pPr>
      <w:rPr>
        <w:u w:val="none"/>
      </w:rPr>
    </w:lvl>
    <w:lvl w:ilvl="8">
      <w:start w:val="1"/>
      <w:numFmt w:val="bullet"/>
      <w:lvlText w:val="■"/>
      <w:lvlJc w:val="left"/>
      <w:pPr>
        <w:ind w:left="6980" w:hanging="360"/>
      </w:pPr>
      <w:rPr>
        <w:u w:val="none"/>
      </w:rPr>
    </w:lvl>
  </w:abstractNum>
  <w:abstractNum w:abstractNumId="43" w15:restartNumberingAfterBreak="0">
    <w:nsid w:val="395236C0"/>
    <w:multiLevelType w:val="multilevel"/>
    <w:tmpl w:val="680E3DAE"/>
    <w:lvl w:ilvl="0">
      <w:start w:val="1"/>
      <w:numFmt w:val="bullet"/>
      <w:pStyle w:val="Listepuces3"/>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D02BE3"/>
    <w:multiLevelType w:val="hybridMultilevel"/>
    <w:tmpl w:val="D86AD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AEA635A"/>
    <w:multiLevelType w:val="hybridMultilevel"/>
    <w:tmpl w:val="D4A098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3AF22591"/>
    <w:multiLevelType w:val="multilevel"/>
    <w:tmpl w:val="E6D4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6976EC"/>
    <w:multiLevelType w:val="multilevel"/>
    <w:tmpl w:val="F0127DA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8" w15:restartNumberingAfterBreak="0">
    <w:nsid w:val="3BAE52FE"/>
    <w:multiLevelType w:val="multilevel"/>
    <w:tmpl w:val="2AC2A5D0"/>
    <w:lvl w:ilvl="0">
      <w:start w:val="1"/>
      <w:numFmt w:val="bullet"/>
      <w:pStyle w:val="Listepuce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D147111"/>
    <w:multiLevelType w:val="hybridMultilevel"/>
    <w:tmpl w:val="AE685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270794C"/>
    <w:multiLevelType w:val="hybridMultilevel"/>
    <w:tmpl w:val="36640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2E0476C"/>
    <w:multiLevelType w:val="hybridMultilevel"/>
    <w:tmpl w:val="9E688A1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43320F33"/>
    <w:multiLevelType w:val="hybridMultilevel"/>
    <w:tmpl w:val="2C2AA3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44A8208E"/>
    <w:multiLevelType w:val="hybridMultilevel"/>
    <w:tmpl w:val="50147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B1792"/>
    <w:multiLevelType w:val="multilevel"/>
    <w:tmpl w:val="EABA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ED3C37"/>
    <w:multiLevelType w:val="hybridMultilevel"/>
    <w:tmpl w:val="82A69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1411BE"/>
    <w:multiLevelType w:val="hybridMultilevel"/>
    <w:tmpl w:val="A4840C6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4BC349A6"/>
    <w:multiLevelType w:val="hybridMultilevel"/>
    <w:tmpl w:val="33AE2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E815E59"/>
    <w:multiLevelType w:val="multilevel"/>
    <w:tmpl w:val="6EE8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B95A13"/>
    <w:multiLevelType w:val="multilevel"/>
    <w:tmpl w:val="C32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7565F1"/>
    <w:multiLevelType w:val="multilevel"/>
    <w:tmpl w:val="5C22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844F17"/>
    <w:multiLevelType w:val="multilevel"/>
    <w:tmpl w:val="D71A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732ED1"/>
    <w:multiLevelType w:val="multilevel"/>
    <w:tmpl w:val="8E28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3A5D95"/>
    <w:multiLevelType w:val="hybridMultilevel"/>
    <w:tmpl w:val="AC98B6D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5CC370B0"/>
    <w:multiLevelType w:val="hybridMultilevel"/>
    <w:tmpl w:val="A64C5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21D3394"/>
    <w:multiLevelType w:val="hybridMultilevel"/>
    <w:tmpl w:val="FE2C9E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3877592"/>
    <w:multiLevelType w:val="multilevel"/>
    <w:tmpl w:val="80B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6D7803"/>
    <w:multiLevelType w:val="multilevel"/>
    <w:tmpl w:val="28A0D330"/>
    <w:lvl w:ilvl="0">
      <w:start w:val="1"/>
      <w:numFmt w:val="bullet"/>
      <w:lvlText w:val=""/>
      <w:lvlJc w:val="left"/>
      <w:pPr>
        <w:ind w:left="851" w:hanging="285"/>
      </w:pPr>
      <w:rPr>
        <w:rFonts w:ascii="Symbol" w:hAnsi="Symbol" w:hint="default"/>
        <w:u w:val="none"/>
      </w:rPr>
    </w:lvl>
    <w:lvl w:ilvl="1">
      <w:start w:val="1"/>
      <w:numFmt w:val="bullet"/>
      <w:lvlText w:val="○"/>
      <w:lvlJc w:val="left"/>
      <w:pPr>
        <w:ind w:left="1370" w:hanging="360"/>
      </w:pPr>
      <w:rPr>
        <w:u w:val="none"/>
      </w:rPr>
    </w:lvl>
    <w:lvl w:ilvl="2">
      <w:start w:val="1"/>
      <w:numFmt w:val="bullet"/>
      <w:lvlText w:val="■"/>
      <w:lvlJc w:val="left"/>
      <w:pPr>
        <w:ind w:left="2090" w:hanging="360"/>
      </w:pPr>
      <w:rPr>
        <w:u w:val="none"/>
      </w:rPr>
    </w:lvl>
    <w:lvl w:ilvl="3">
      <w:start w:val="1"/>
      <w:numFmt w:val="bullet"/>
      <w:lvlText w:val="●"/>
      <w:lvlJc w:val="left"/>
      <w:pPr>
        <w:ind w:left="2810" w:hanging="360"/>
      </w:pPr>
      <w:rPr>
        <w:u w:val="none"/>
      </w:rPr>
    </w:lvl>
    <w:lvl w:ilvl="4">
      <w:start w:val="1"/>
      <w:numFmt w:val="bullet"/>
      <w:lvlText w:val="○"/>
      <w:lvlJc w:val="left"/>
      <w:pPr>
        <w:ind w:left="3530" w:hanging="360"/>
      </w:pPr>
      <w:rPr>
        <w:u w:val="none"/>
      </w:rPr>
    </w:lvl>
    <w:lvl w:ilvl="5">
      <w:start w:val="1"/>
      <w:numFmt w:val="bullet"/>
      <w:lvlText w:val="■"/>
      <w:lvlJc w:val="left"/>
      <w:pPr>
        <w:ind w:left="4250" w:hanging="360"/>
      </w:pPr>
      <w:rPr>
        <w:u w:val="none"/>
      </w:rPr>
    </w:lvl>
    <w:lvl w:ilvl="6">
      <w:start w:val="1"/>
      <w:numFmt w:val="bullet"/>
      <w:lvlText w:val="●"/>
      <w:lvlJc w:val="left"/>
      <w:pPr>
        <w:ind w:left="4970" w:hanging="360"/>
      </w:pPr>
      <w:rPr>
        <w:u w:val="none"/>
      </w:rPr>
    </w:lvl>
    <w:lvl w:ilvl="7">
      <w:start w:val="1"/>
      <w:numFmt w:val="bullet"/>
      <w:lvlText w:val="○"/>
      <w:lvlJc w:val="left"/>
      <w:pPr>
        <w:ind w:left="5690" w:hanging="360"/>
      </w:pPr>
      <w:rPr>
        <w:u w:val="none"/>
      </w:rPr>
    </w:lvl>
    <w:lvl w:ilvl="8">
      <w:start w:val="1"/>
      <w:numFmt w:val="bullet"/>
      <w:lvlText w:val="■"/>
      <w:lvlJc w:val="left"/>
      <w:pPr>
        <w:ind w:left="6410" w:hanging="360"/>
      </w:pPr>
      <w:rPr>
        <w:u w:val="none"/>
      </w:rPr>
    </w:lvl>
  </w:abstractNum>
  <w:abstractNum w:abstractNumId="68" w15:restartNumberingAfterBreak="0">
    <w:nsid w:val="66DD6CBC"/>
    <w:multiLevelType w:val="hybridMultilevel"/>
    <w:tmpl w:val="8A1AA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7660E9B"/>
    <w:multiLevelType w:val="hybridMultilevel"/>
    <w:tmpl w:val="2B7A4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944123A"/>
    <w:multiLevelType w:val="hybridMultilevel"/>
    <w:tmpl w:val="FCD06686"/>
    <w:lvl w:ilvl="0" w:tplc="FFFFFFFF">
      <w:start w:val="1"/>
      <w:numFmt w:val="bullet"/>
      <w:lvlText w:val=""/>
      <w:lvlJc w:val="left"/>
      <w:pPr>
        <w:ind w:left="720" w:hanging="360"/>
      </w:pPr>
      <w:rPr>
        <w:rFonts w:ascii="Symbol" w:hAnsi="Symbol" w:hint="default"/>
      </w:rPr>
    </w:lvl>
    <w:lvl w:ilvl="1" w:tplc="040C000B">
      <w:start w:val="1"/>
      <w:numFmt w:val="bullet"/>
      <w:lvlText w:val=""/>
      <w:lvlJc w:val="left"/>
      <w:pPr>
        <w:ind w:left="3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EBB4B97"/>
    <w:multiLevelType w:val="hybridMultilevel"/>
    <w:tmpl w:val="608429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756F71D6"/>
    <w:multiLevelType w:val="hybridMultilevel"/>
    <w:tmpl w:val="CEF2B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7B52A34"/>
    <w:multiLevelType w:val="multilevel"/>
    <w:tmpl w:val="A5343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DE275D"/>
    <w:multiLevelType w:val="hybridMultilevel"/>
    <w:tmpl w:val="C540AB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78EC4E74"/>
    <w:multiLevelType w:val="multilevel"/>
    <w:tmpl w:val="D68A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063C74"/>
    <w:multiLevelType w:val="multilevel"/>
    <w:tmpl w:val="050871CC"/>
    <w:lvl w:ilvl="0">
      <w:start w:val="1"/>
      <w:numFmt w:val="bullet"/>
      <w:lvlText w:val=""/>
      <w:lvlJc w:val="left"/>
      <w:pPr>
        <w:ind w:left="993" w:hanging="285"/>
      </w:pPr>
      <w:rPr>
        <w:rFonts w:ascii="Symbol" w:hAnsi="Symbol" w:hint="default"/>
        <w:u w:val="none"/>
      </w:rPr>
    </w:lvl>
    <w:lvl w:ilvl="1">
      <w:start w:val="1"/>
      <w:numFmt w:val="bullet"/>
      <w:lvlText w:val="○"/>
      <w:lvlJc w:val="left"/>
      <w:pPr>
        <w:ind w:left="1512" w:hanging="360"/>
      </w:pPr>
      <w:rPr>
        <w:u w:val="none"/>
      </w:rPr>
    </w:lvl>
    <w:lvl w:ilvl="2">
      <w:start w:val="1"/>
      <w:numFmt w:val="bullet"/>
      <w:lvlText w:val="■"/>
      <w:lvlJc w:val="left"/>
      <w:pPr>
        <w:ind w:left="2232" w:hanging="360"/>
      </w:pPr>
      <w:rPr>
        <w:u w:val="none"/>
      </w:rPr>
    </w:lvl>
    <w:lvl w:ilvl="3">
      <w:start w:val="1"/>
      <w:numFmt w:val="bullet"/>
      <w:lvlText w:val="●"/>
      <w:lvlJc w:val="left"/>
      <w:pPr>
        <w:ind w:left="2952" w:hanging="360"/>
      </w:pPr>
      <w:rPr>
        <w:u w:val="none"/>
      </w:rPr>
    </w:lvl>
    <w:lvl w:ilvl="4">
      <w:start w:val="1"/>
      <w:numFmt w:val="bullet"/>
      <w:lvlText w:val="○"/>
      <w:lvlJc w:val="left"/>
      <w:pPr>
        <w:ind w:left="3672" w:hanging="360"/>
      </w:pPr>
      <w:rPr>
        <w:u w:val="none"/>
      </w:rPr>
    </w:lvl>
    <w:lvl w:ilvl="5">
      <w:start w:val="1"/>
      <w:numFmt w:val="bullet"/>
      <w:lvlText w:val="■"/>
      <w:lvlJc w:val="left"/>
      <w:pPr>
        <w:ind w:left="4392" w:hanging="360"/>
      </w:pPr>
      <w:rPr>
        <w:u w:val="none"/>
      </w:rPr>
    </w:lvl>
    <w:lvl w:ilvl="6">
      <w:start w:val="1"/>
      <w:numFmt w:val="bullet"/>
      <w:lvlText w:val="●"/>
      <w:lvlJc w:val="left"/>
      <w:pPr>
        <w:ind w:left="5112" w:hanging="360"/>
      </w:pPr>
      <w:rPr>
        <w:u w:val="none"/>
      </w:rPr>
    </w:lvl>
    <w:lvl w:ilvl="7">
      <w:start w:val="1"/>
      <w:numFmt w:val="bullet"/>
      <w:lvlText w:val="○"/>
      <w:lvlJc w:val="left"/>
      <w:pPr>
        <w:ind w:left="5832" w:hanging="360"/>
      </w:pPr>
      <w:rPr>
        <w:u w:val="none"/>
      </w:rPr>
    </w:lvl>
    <w:lvl w:ilvl="8">
      <w:start w:val="1"/>
      <w:numFmt w:val="bullet"/>
      <w:lvlText w:val="■"/>
      <w:lvlJc w:val="left"/>
      <w:pPr>
        <w:ind w:left="6552" w:hanging="360"/>
      </w:pPr>
      <w:rPr>
        <w:u w:val="none"/>
      </w:rPr>
    </w:lvl>
  </w:abstractNum>
  <w:abstractNum w:abstractNumId="77" w15:restartNumberingAfterBreak="0">
    <w:nsid w:val="79B43E29"/>
    <w:multiLevelType w:val="hybridMultilevel"/>
    <w:tmpl w:val="E22C519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A5555E9"/>
    <w:multiLevelType w:val="multilevel"/>
    <w:tmpl w:val="0CB4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8E5BDB"/>
    <w:multiLevelType w:val="multilevel"/>
    <w:tmpl w:val="5C464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BA2DC8"/>
    <w:multiLevelType w:val="multilevel"/>
    <w:tmpl w:val="F5A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392892"/>
    <w:multiLevelType w:val="hybridMultilevel"/>
    <w:tmpl w:val="0CD252C8"/>
    <w:lvl w:ilvl="0" w:tplc="040C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26219335">
    <w:abstractNumId w:val="47"/>
  </w:num>
  <w:num w:numId="2" w16cid:durableId="1139494988">
    <w:abstractNumId w:val="21"/>
  </w:num>
  <w:num w:numId="3" w16cid:durableId="376972705">
    <w:abstractNumId w:val="20"/>
  </w:num>
  <w:num w:numId="4" w16cid:durableId="228615974">
    <w:abstractNumId w:val="32"/>
  </w:num>
  <w:num w:numId="5" w16cid:durableId="1773233737">
    <w:abstractNumId w:val="43"/>
  </w:num>
  <w:num w:numId="6" w16cid:durableId="1490946905">
    <w:abstractNumId w:val="48"/>
  </w:num>
  <w:num w:numId="7" w16cid:durableId="1953658985">
    <w:abstractNumId w:val="3"/>
  </w:num>
  <w:num w:numId="8" w16cid:durableId="1332837029">
    <w:abstractNumId w:val="2"/>
  </w:num>
  <w:num w:numId="9" w16cid:durableId="1616911424">
    <w:abstractNumId w:val="1"/>
  </w:num>
  <w:num w:numId="10" w16cid:durableId="1178889003">
    <w:abstractNumId w:val="0"/>
  </w:num>
  <w:num w:numId="11" w16cid:durableId="221913549">
    <w:abstractNumId w:val="68"/>
  </w:num>
  <w:num w:numId="12" w16cid:durableId="1429738077">
    <w:abstractNumId w:val="10"/>
  </w:num>
  <w:num w:numId="13" w16cid:durableId="349259464">
    <w:abstractNumId w:val="73"/>
  </w:num>
  <w:num w:numId="14" w16cid:durableId="1440875630">
    <w:abstractNumId w:val="33"/>
  </w:num>
  <w:num w:numId="15" w16cid:durableId="231234574">
    <w:abstractNumId w:val="23"/>
  </w:num>
  <w:num w:numId="16" w16cid:durableId="1468432293">
    <w:abstractNumId w:val="61"/>
  </w:num>
  <w:num w:numId="17" w16cid:durableId="769392872">
    <w:abstractNumId w:val="36"/>
  </w:num>
  <w:num w:numId="18" w16cid:durableId="1599947229">
    <w:abstractNumId w:val="7"/>
  </w:num>
  <w:num w:numId="19" w16cid:durableId="1258564759">
    <w:abstractNumId w:val="69"/>
  </w:num>
  <w:num w:numId="20" w16cid:durableId="1437291196">
    <w:abstractNumId w:val="49"/>
  </w:num>
  <w:num w:numId="21" w16cid:durableId="595290626">
    <w:abstractNumId w:val="30"/>
  </w:num>
  <w:num w:numId="22" w16cid:durableId="1134520393">
    <w:abstractNumId w:val="6"/>
  </w:num>
  <w:num w:numId="23" w16cid:durableId="1039428906">
    <w:abstractNumId w:val="28"/>
  </w:num>
  <w:num w:numId="24" w16cid:durableId="940381769">
    <w:abstractNumId w:val="4"/>
  </w:num>
  <w:num w:numId="25" w16cid:durableId="130103090">
    <w:abstractNumId w:val="39"/>
  </w:num>
  <w:num w:numId="26" w16cid:durableId="1287543256">
    <w:abstractNumId w:val="41"/>
  </w:num>
  <w:num w:numId="27" w16cid:durableId="160436728">
    <w:abstractNumId w:val="27"/>
  </w:num>
  <w:num w:numId="28" w16cid:durableId="688947136">
    <w:abstractNumId w:val="80"/>
  </w:num>
  <w:num w:numId="29" w16cid:durableId="1738087554">
    <w:abstractNumId w:val="65"/>
  </w:num>
  <w:num w:numId="30" w16cid:durableId="1707170389">
    <w:abstractNumId w:val="37"/>
  </w:num>
  <w:num w:numId="31" w16cid:durableId="198519693">
    <w:abstractNumId w:val="62"/>
  </w:num>
  <w:num w:numId="32" w16cid:durableId="208537916">
    <w:abstractNumId w:val="11"/>
  </w:num>
  <w:num w:numId="33" w16cid:durableId="462969609">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499545424">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1231847401">
    <w:abstractNumId w:val="46"/>
  </w:num>
  <w:num w:numId="36" w16cid:durableId="962539642">
    <w:abstractNumId w:val="60"/>
  </w:num>
  <w:num w:numId="37" w16cid:durableId="2113283419">
    <w:abstractNumId w:val="76"/>
  </w:num>
  <w:num w:numId="38" w16cid:durableId="1450851939">
    <w:abstractNumId w:val="24"/>
  </w:num>
  <w:num w:numId="39" w16cid:durableId="207181251">
    <w:abstractNumId w:val="67"/>
  </w:num>
  <w:num w:numId="40" w16cid:durableId="940914394">
    <w:abstractNumId w:val="25"/>
  </w:num>
  <w:num w:numId="41" w16cid:durableId="1118262585">
    <w:abstractNumId w:val="53"/>
  </w:num>
  <w:num w:numId="42" w16cid:durableId="415132745">
    <w:abstractNumId w:val="58"/>
  </w:num>
  <w:num w:numId="43" w16cid:durableId="1698383711">
    <w:abstractNumId w:val="78"/>
  </w:num>
  <w:num w:numId="44" w16cid:durableId="114448583">
    <w:abstractNumId w:val="59"/>
  </w:num>
  <w:num w:numId="45" w16cid:durableId="1714187650">
    <w:abstractNumId w:val="31"/>
  </w:num>
  <w:num w:numId="46" w16cid:durableId="1264461039">
    <w:abstractNumId w:val="66"/>
  </w:num>
  <w:num w:numId="47" w16cid:durableId="89131458">
    <w:abstractNumId w:val="18"/>
  </w:num>
  <w:num w:numId="48" w16cid:durableId="1231116381">
    <w:abstractNumId w:val="15"/>
  </w:num>
  <w:num w:numId="49" w16cid:durableId="1953396667">
    <w:abstractNumId w:val="14"/>
  </w:num>
  <w:num w:numId="50" w16cid:durableId="291330833">
    <w:abstractNumId w:val="34"/>
  </w:num>
  <w:num w:numId="51" w16cid:durableId="471214150">
    <w:abstractNumId w:val="75"/>
  </w:num>
  <w:num w:numId="52" w16cid:durableId="1781101118">
    <w:abstractNumId w:val="54"/>
  </w:num>
  <w:num w:numId="53" w16cid:durableId="765734795">
    <w:abstractNumId w:val="40"/>
  </w:num>
  <w:num w:numId="54" w16cid:durableId="284236702">
    <w:abstractNumId w:val="79"/>
  </w:num>
  <w:num w:numId="55" w16cid:durableId="1914192766">
    <w:abstractNumId w:val="13"/>
  </w:num>
  <w:num w:numId="56" w16cid:durableId="572131378">
    <w:abstractNumId w:val="17"/>
  </w:num>
  <w:num w:numId="57" w16cid:durableId="226494279">
    <w:abstractNumId w:val="64"/>
  </w:num>
  <w:num w:numId="58" w16cid:durableId="1018585594">
    <w:abstractNumId w:val="74"/>
  </w:num>
  <w:num w:numId="59" w16cid:durableId="1186821773">
    <w:abstractNumId w:val="56"/>
  </w:num>
  <w:num w:numId="60" w16cid:durableId="484978377">
    <w:abstractNumId w:val="29"/>
  </w:num>
  <w:num w:numId="61" w16cid:durableId="797454860">
    <w:abstractNumId w:val="50"/>
  </w:num>
  <w:num w:numId="62" w16cid:durableId="1015883080">
    <w:abstractNumId w:val="72"/>
  </w:num>
  <w:num w:numId="63" w16cid:durableId="7562373">
    <w:abstractNumId w:val="9"/>
  </w:num>
  <w:num w:numId="64" w16cid:durableId="434717651">
    <w:abstractNumId w:val="44"/>
  </w:num>
  <w:num w:numId="65" w16cid:durableId="1602058832">
    <w:abstractNumId w:val="19"/>
  </w:num>
  <w:num w:numId="66" w16cid:durableId="609170542">
    <w:abstractNumId w:val="16"/>
  </w:num>
  <w:num w:numId="67" w16cid:durableId="584732817">
    <w:abstractNumId w:val="42"/>
  </w:num>
  <w:num w:numId="68" w16cid:durableId="495418090">
    <w:abstractNumId w:val="38"/>
  </w:num>
  <w:num w:numId="69" w16cid:durableId="1346059278">
    <w:abstractNumId w:val="22"/>
  </w:num>
  <w:num w:numId="70" w16cid:durableId="547686609">
    <w:abstractNumId w:val="12"/>
  </w:num>
  <w:num w:numId="71" w16cid:durableId="1839881166">
    <w:abstractNumId w:val="55"/>
  </w:num>
  <w:num w:numId="72" w16cid:durableId="1824270923">
    <w:abstractNumId w:val="45"/>
  </w:num>
  <w:num w:numId="73" w16cid:durableId="920338138">
    <w:abstractNumId w:val="8"/>
  </w:num>
  <w:num w:numId="74" w16cid:durableId="1172335960">
    <w:abstractNumId w:val="26"/>
  </w:num>
  <w:num w:numId="75" w16cid:durableId="1728338605">
    <w:abstractNumId w:val="63"/>
  </w:num>
  <w:num w:numId="76" w16cid:durableId="23479653">
    <w:abstractNumId w:val="70"/>
  </w:num>
  <w:num w:numId="77" w16cid:durableId="1717511106">
    <w:abstractNumId w:val="77"/>
  </w:num>
  <w:num w:numId="78" w16cid:durableId="1450706381">
    <w:abstractNumId w:val="52"/>
  </w:num>
  <w:num w:numId="79" w16cid:durableId="2038188655">
    <w:abstractNumId w:val="57"/>
  </w:num>
  <w:num w:numId="80" w16cid:durableId="659427975">
    <w:abstractNumId w:val="81"/>
  </w:num>
  <w:num w:numId="81" w16cid:durableId="1468280586">
    <w:abstractNumId w:val="35"/>
  </w:num>
  <w:num w:numId="82" w16cid:durableId="505480918">
    <w:abstractNumId w:val="71"/>
  </w:num>
  <w:num w:numId="83" w16cid:durableId="1906841913">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XBb5npyk4gms2scX9aOx3q21jml7aASVBOcfqx6DJ9YyYTxhHU7r42XugaLBeF1DT28AEK4lHh0KTxSlRnjWqA==" w:salt="JMFK4xbh8uD1lgTZpyhlv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BD2E2C"/>
    <w:rsid w:val="00005161"/>
    <w:rsid w:val="000052B0"/>
    <w:rsid w:val="0000533E"/>
    <w:rsid w:val="00005BA9"/>
    <w:rsid w:val="00010689"/>
    <w:rsid w:val="0001410C"/>
    <w:rsid w:val="00014773"/>
    <w:rsid w:val="00015717"/>
    <w:rsid w:val="000175CE"/>
    <w:rsid w:val="000234FC"/>
    <w:rsid w:val="000239AF"/>
    <w:rsid w:val="00025008"/>
    <w:rsid w:val="00027706"/>
    <w:rsid w:val="000302F6"/>
    <w:rsid w:val="00035459"/>
    <w:rsid w:val="00037982"/>
    <w:rsid w:val="0004314E"/>
    <w:rsid w:val="000506B8"/>
    <w:rsid w:val="00051EF9"/>
    <w:rsid w:val="00054D42"/>
    <w:rsid w:val="00055FAC"/>
    <w:rsid w:val="00061BBE"/>
    <w:rsid w:val="0006239A"/>
    <w:rsid w:val="000637F0"/>
    <w:rsid w:val="00064C74"/>
    <w:rsid w:val="00070BB2"/>
    <w:rsid w:val="00072B81"/>
    <w:rsid w:val="00074896"/>
    <w:rsid w:val="00083FA3"/>
    <w:rsid w:val="00084199"/>
    <w:rsid w:val="00085556"/>
    <w:rsid w:val="000857C3"/>
    <w:rsid w:val="00087FE7"/>
    <w:rsid w:val="00091B64"/>
    <w:rsid w:val="00091EE3"/>
    <w:rsid w:val="000937C7"/>
    <w:rsid w:val="00094B37"/>
    <w:rsid w:val="000955F2"/>
    <w:rsid w:val="000A0BF1"/>
    <w:rsid w:val="000A15FE"/>
    <w:rsid w:val="000A30D2"/>
    <w:rsid w:val="000A49BC"/>
    <w:rsid w:val="000B051F"/>
    <w:rsid w:val="000B25B9"/>
    <w:rsid w:val="000B3353"/>
    <w:rsid w:val="000B4261"/>
    <w:rsid w:val="000C48CF"/>
    <w:rsid w:val="000D444F"/>
    <w:rsid w:val="000E10C6"/>
    <w:rsid w:val="000E208C"/>
    <w:rsid w:val="000F0DC1"/>
    <w:rsid w:val="000F285D"/>
    <w:rsid w:val="00110AD0"/>
    <w:rsid w:val="00114A8B"/>
    <w:rsid w:val="00117FA7"/>
    <w:rsid w:val="00121BD4"/>
    <w:rsid w:val="00130B8B"/>
    <w:rsid w:val="00132CD6"/>
    <w:rsid w:val="00133163"/>
    <w:rsid w:val="00134A25"/>
    <w:rsid w:val="0014054B"/>
    <w:rsid w:val="00140986"/>
    <w:rsid w:val="0014496F"/>
    <w:rsid w:val="001459B6"/>
    <w:rsid w:val="00153B98"/>
    <w:rsid w:val="001558B5"/>
    <w:rsid w:val="0015756F"/>
    <w:rsid w:val="00161EA2"/>
    <w:rsid w:val="00162462"/>
    <w:rsid w:val="00165DC3"/>
    <w:rsid w:val="001663B5"/>
    <w:rsid w:val="00166BA6"/>
    <w:rsid w:val="00167713"/>
    <w:rsid w:val="00170F2E"/>
    <w:rsid w:val="00174707"/>
    <w:rsid w:val="00174CE0"/>
    <w:rsid w:val="00183343"/>
    <w:rsid w:val="00186503"/>
    <w:rsid w:val="00197C9E"/>
    <w:rsid w:val="001A045C"/>
    <w:rsid w:val="001A4E70"/>
    <w:rsid w:val="001A649B"/>
    <w:rsid w:val="001B187D"/>
    <w:rsid w:val="001B5418"/>
    <w:rsid w:val="001B765D"/>
    <w:rsid w:val="001C39FA"/>
    <w:rsid w:val="001C6977"/>
    <w:rsid w:val="001D0DA9"/>
    <w:rsid w:val="001D5419"/>
    <w:rsid w:val="001D6372"/>
    <w:rsid w:val="001E1A9E"/>
    <w:rsid w:val="001E440D"/>
    <w:rsid w:val="001F613A"/>
    <w:rsid w:val="00203E21"/>
    <w:rsid w:val="0020784B"/>
    <w:rsid w:val="00207C28"/>
    <w:rsid w:val="00213637"/>
    <w:rsid w:val="00213F9B"/>
    <w:rsid w:val="00222B72"/>
    <w:rsid w:val="002236EF"/>
    <w:rsid w:val="00224BC4"/>
    <w:rsid w:val="00225564"/>
    <w:rsid w:val="0022658A"/>
    <w:rsid w:val="00230C35"/>
    <w:rsid w:val="00231BFF"/>
    <w:rsid w:val="002328CA"/>
    <w:rsid w:val="002329FF"/>
    <w:rsid w:val="002346E1"/>
    <w:rsid w:val="00237B44"/>
    <w:rsid w:val="0024012F"/>
    <w:rsid w:val="0024028E"/>
    <w:rsid w:val="00244D5E"/>
    <w:rsid w:val="00244DA6"/>
    <w:rsid w:val="00247657"/>
    <w:rsid w:val="0025672E"/>
    <w:rsid w:val="002621F3"/>
    <w:rsid w:val="002625E1"/>
    <w:rsid w:val="00264F48"/>
    <w:rsid w:val="00267ED5"/>
    <w:rsid w:val="00272ECA"/>
    <w:rsid w:val="00273DFD"/>
    <w:rsid w:val="00276234"/>
    <w:rsid w:val="00291124"/>
    <w:rsid w:val="00292C8A"/>
    <w:rsid w:val="00296B57"/>
    <w:rsid w:val="002970E3"/>
    <w:rsid w:val="002A0FA0"/>
    <w:rsid w:val="002A1235"/>
    <w:rsid w:val="002A722F"/>
    <w:rsid w:val="002B1C27"/>
    <w:rsid w:val="002B324B"/>
    <w:rsid w:val="002B77F7"/>
    <w:rsid w:val="002B7B16"/>
    <w:rsid w:val="002C19CD"/>
    <w:rsid w:val="002C1CC8"/>
    <w:rsid w:val="002C250C"/>
    <w:rsid w:val="002C6421"/>
    <w:rsid w:val="002C67F1"/>
    <w:rsid w:val="002D0F5B"/>
    <w:rsid w:val="002D158B"/>
    <w:rsid w:val="002D28EF"/>
    <w:rsid w:val="002D2C27"/>
    <w:rsid w:val="002D2E14"/>
    <w:rsid w:val="002D30A5"/>
    <w:rsid w:val="002E0EC2"/>
    <w:rsid w:val="002E1124"/>
    <w:rsid w:val="002E23B9"/>
    <w:rsid w:val="002E3391"/>
    <w:rsid w:val="002E33A4"/>
    <w:rsid w:val="002E4652"/>
    <w:rsid w:val="002F2730"/>
    <w:rsid w:val="002F3E52"/>
    <w:rsid w:val="002F3E91"/>
    <w:rsid w:val="002F3E9A"/>
    <w:rsid w:val="002F6E9E"/>
    <w:rsid w:val="00304461"/>
    <w:rsid w:val="003063E5"/>
    <w:rsid w:val="003070A6"/>
    <w:rsid w:val="0031125E"/>
    <w:rsid w:val="00311E47"/>
    <w:rsid w:val="00314D94"/>
    <w:rsid w:val="00315776"/>
    <w:rsid w:val="0031621F"/>
    <w:rsid w:val="003169F8"/>
    <w:rsid w:val="00320F58"/>
    <w:rsid w:val="00321791"/>
    <w:rsid w:val="00321F26"/>
    <w:rsid w:val="0032BC82"/>
    <w:rsid w:val="0033565A"/>
    <w:rsid w:val="0033608D"/>
    <w:rsid w:val="00336E71"/>
    <w:rsid w:val="00337D43"/>
    <w:rsid w:val="00347A74"/>
    <w:rsid w:val="003512EB"/>
    <w:rsid w:val="003541BA"/>
    <w:rsid w:val="003610E9"/>
    <w:rsid w:val="0036170B"/>
    <w:rsid w:val="00361F9B"/>
    <w:rsid w:val="003630AF"/>
    <w:rsid w:val="0036541B"/>
    <w:rsid w:val="0036699F"/>
    <w:rsid w:val="00366F09"/>
    <w:rsid w:val="00372232"/>
    <w:rsid w:val="003803FF"/>
    <w:rsid w:val="00387792"/>
    <w:rsid w:val="00393342"/>
    <w:rsid w:val="00394E95"/>
    <w:rsid w:val="003A0458"/>
    <w:rsid w:val="003A0DB7"/>
    <w:rsid w:val="003A3968"/>
    <w:rsid w:val="003A5A37"/>
    <w:rsid w:val="003A7BC5"/>
    <w:rsid w:val="003B1D74"/>
    <w:rsid w:val="003C0081"/>
    <w:rsid w:val="003C5E39"/>
    <w:rsid w:val="003C7944"/>
    <w:rsid w:val="003D17A2"/>
    <w:rsid w:val="003D27CD"/>
    <w:rsid w:val="003D4270"/>
    <w:rsid w:val="003D5A40"/>
    <w:rsid w:val="003D5CF1"/>
    <w:rsid w:val="003F2F53"/>
    <w:rsid w:val="00400FA2"/>
    <w:rsid w:val="00401C48"/>
    <w:rsid w:val="00402C31"/>
    <w:rsid w:val="0040528E"/>
    <w:rsid w:val="004111F2"/>
    <w:rsid w:val="004234AE"/>
    <w:rsid w:val="004266FC"/>
    <w:rsid w:val="00426E81"/>
    <w:rsid w:val="00430CC7"/>
    <w:rsid w:val="0043241E"/>
    <w:rsid w:val="00433307"/>
    <w:rsid w:val="0043359D"/>
    <w:rsid w:val="00434812"/>
    <w:rsid w:val="00441C1F"/>
    <w:rsid w:val="004501B0"/>
    <w:rsid w:val="004502A1"/>
    <w:rsid w:val="00452040"/>
    <w:rsid w:val="0045CC31"/>
    <w:rsid w:val="004602C8"/>
    <w:rsid w:val="004643EC"/>
    <w:rsid w:val="00471018"/>
    <w:rsid w:val="00475B79"/>
    <w:rsid w:val="00481DA2"/>
    <w:rsid w:val="00483DC4"/>
    <w:rsid w:val="004853C0"/>
    <w:rsid w:val="00487076"/>
    <w:rsid w:val="004A059C"/>
    <w:rsid w:val="004A138B"/>
    <w:rsid w:val="004B0B5A"/>
    <w:rsid w:val="004B196F"/>
    <w:rsid w:val="004B1B58"/>
    <w:rsid w:val="004B1E23"/>
    <w:rsid w:val="004B3BB1"/>
    <w:rsid w:val="004B423B"/>
    <w:rsid w:val="004B69D3"/>
    <w:rsid w:val="004B6C7E"/>
    <w:rsid w:val="004B7C86"/>
    <w:rsid w:val="004C4D0B"/>
    <w:rsid w:val="004C66C1"/>
    <w:rsid w:val="004C7112"/>
    <w:rsid w:val="004D6D25"/>
    <w:rsid w:val="004E14AB"/>
    <w:rsid w:val="004F7215"/>
    <w:rsid w:val="004F7D72"/>
    <w:rsid w:val="005018C5"/>
    <w:rsid w:val="005028EE"/>
    <w:rsid w:val="00502A08"/>
    <w:rsid w:val="00506D53"/>
    <w:rsid w:val="005075C8"/>
    <w:rsid w:val="00511139"/>
    <w:rsid w:val="005117C6"/>
    <w:rsid w:val="00516C24"/>
    <w:rsid w:val="00516CF5"/>
    <w:rsid w:val="00517094"/>
    <w:rsid w:val="00522ED3"/>
    <w:rsid w:val="005312E8"/>
    <w:rsid w:val="0053361D"/>
    <w:rsid w:val="00533C79"/>
    <w:rsid w:val="00537DA5"/>
    <w:rsid w:val="00543049"/>
    <w:rsid w:val="00555BB6"/>
    <w:rsid w:val="0056162A"/>
    <w:rsid w:val="00561941"/>
    <w:rsid w:val="005627D0"/>
    <w:rsid w:val="005670AD"/>
    <w:rsid w:val="0057195C"/>
    <w:rsid w:val="00572160"/>
    <w:rsid w:val="005765D8"/>
    <w:rsid w:val="0058257E"/>
    <w:rsid w:val="00585FAC"/>
    <w:rsid w:val="005A603E"/>
    <w:rsid w:val="005B2486"/>
    <w:rsid w:val="005C4BB4"/>
    <w:rsid w:val="005C5DEE"/>
    <w:rsid w:val="005C62A7"/>
    <w:rsid w:val="005E0CF9"/>
    <w:rsid w:val="005E273F"/>
    <w:rsid w:val="005E30C1"/>
    <w:rsid w:val="005F12B6"/>
    <w:rsid w:val="005F2A64"/>
    <w:rsid w:val="005F39FA"/>
    <w:rsid w:val="005F4D41"/>
    <w:rsid w:val="00600ED9"/>
    <w:rsid w:val="00602D55"/>
    <w:rsid w:val="00605612"/>
    <w:rsid w:val="0061070F"/>
    <w:rsid w:val="006112E8"/>
    <w:rsid w:val="00611CBF"/>
    <w:rsid w:val="00612F10"/>
    <w:rsid w:val="0061421B"/>
    <w:rsid w:val="00621CC8"/>
    <w:rsid w:val="00623EB4"/>
    <w:rsid w:val="006245DC"/>
    <w:rsid w:val="00624B53"/>
    <w:rsid w:val="00624E7E"/>
    <w:rsid w:val="00633837"/>
    <w:rsid w:val="00645E8E"/>
    <w:rsid w:val="00646CD1"/>
    <w:rsid w:val="00654972"/>
    <w:rsid w:val="00660577"/>
    <w:rsid w:val="00661E67"/>
    <w:rsid w:val="0066344B"/>
    <w:rsid w:val="00663E69"/>
    <w:rsid w:val="00666F87"/>
    <w:rsid w:val="006673CA"/>
    <w:rsid w:val="006720AE"/>
    <w:rsid w:val="006723D4"/>
    <w:rsid w:val="00674573"/>
    <w:rsid w:val="00677DD3"/>
    <w:rsid w:val="006821A2"/>
    <w:rsid w:val="00685020"/>
    <w:rsid w:val="00691A3E"/>
    <w:rsid w:val="00691BAE"/>
    <w:rsid w:val="00691E7E"/>
    <w:rsid w:val="00695657"/>
    <w:rsid w:val="0069716E"/>
    <w:rsid w:val="006A0726"/>
    <w:rsid w:val="006A1095"/>
    <w:rsid w:val="006A2D6E"/>
    <w:rsid w:val="006A501E"/>
    <w:rsid w:val="006A6363"/>
    <w:rsid w:val="006A7E8F"/>
    <w:rsid w:val="006B1F4D"/>
    <w:rsid w:val="006C1B18"/>
    <w:rsid w:val="006D498E"/>
    <w:rsid w:val="006D534C"/>
    <w:rsid w:val="006D62C7"/>
    <w:rsid w:val="006D64C7"/>
    <w:rsid w:val="006D6741"/>
    <w:rsid w:val="006E1221"/>
    <w:rsid w:val="006E20F5"/>
    <w:rsid w:val="006E75DC"/>
    <w:rsid w:val="00701B8B"/>
    <w:rsid w:val="00705CA2"/>
    <w:rsid w:val="00710FC2"/>
    <w:rsid w:val="0071178A"/>
    <w:rsid w:val="00715CE6"/>
    <w:rsid w:val="00720D0F"/>
    <w:rsid w:val="00720FBC"/>
    <w:rsid w:val="00723C0F"/>
    <w:rsid w:val="007256CE"/>
    <w:rsid w:val="00725DFE"/>
    <w:rsid w:val="00726013"/>
    <w:rsid w:val="00726BC0"/>
    <w:rsid w:val="00731AD1"/>
    <w:rsid w:val="0073200E"/>
    <w:rsid w:val="00732DF8"/>
    <w:rsid w:val="00733FC9"/>
    <w:rsid w:val="00734BEF"/>
    <w:rsid w:val="00740013"/>
    <w:rsid w:val="00742127"/>
    <w:rsid w:val="00744FAB"/>
    <w:rsid w:val="007454EF"/>
    <w:rsid w:val="007463B2"/>
    <w:rsid w:val="00747FCE"/>
    <w:rsid w:val="00752D23"/>
    <w:rsid w:val="00753226"/>
    <w:rsid w:val="00766AEF"/>
    <w:rsid w:val="0077304C"/>
    <w:rsid w:val="00773852"/>
    <w:rsid w:val="00782984"/>
    <w:rsid w:val="00783F87"/>
    <w:rsid w:val="00786FBE"/>
    <w:rsid w:val="007877BC"/>
    <w:rsid w:val="00793076"/>
    <w:rsid w:val="00793440"/>
    <w:rsid w:val="007953AC"/>
    <w:rsid w:val="00795D9E"/>
    <w:rsid w:val="007A19A7"/>
    <w:rsid w:val="007A2D60"/>
    <w:rsid w:val="007A6A35"/>
    <w:rsid w:val="007B2E61"/>
    <w:rsid w:val="007C26FD"/>
    <w:rsid w:val="007C3AC5"/>
    <w:rsid w:val="007D3430"/>
    <w:rsid w:val="007E0415"/>
    <w:rsid w:val="007E5AFF"/>
    <w:rsid w:val="00800156"/>
    <w:rsid w:val="00800C40"/>
    <w:rsid w:val="008040A2"/>
    <w:rsid w:val="00804DE1"/>
    <w:rsid w:val="00807C88"/>
    <w:rsid w:val="00807EA3"/>
    <w:rsid w:val="00812998"/>
    <w:rsid w:val="008143C0"/>
    <w:rsid w:val="00817CAD"/>
    <w:rsid w:val="008227C9"/>
    <w:rsid w:val="00827372"/>
    <w:rsid w:val="00833A8C"/>
    <w:rsid w:val="00837172"/>
    <w:rsid w:val="008377F1"/>
    <w:rsid w:val="00853CF5"/>
    <w:rsid w:val="00854A5C"/>
    <w:rsid w:val="00855DDC"/>
    <w:rsid w:val="00856EF4"/>
    <w:rsid w:val="00861AC1"/>
    <w:rsid w:val="00861CFD"/>
    <w:rsid w:val="00862BE2"/>
    <w:rsid w:val="00863B53"/>
    <w:rsid w:val="00864CA2"/>
    <w:rsid w:val="00866B71"/>
    <w:rsid w:val="00866E72"/>
    <w:rsid w:val="008674B9"/>
    <w:rsid w:val="008734FD"/>
    <w:rsid w:val="00875CEE"/>
    <w:rsid w:val="00883BF7"/>
    <w:rsid w:val="008904B2"/>
    <w:rsid w:val="008A428B"/>
    <w:rsid w:val="008B039E"/>
    <w:rsid w:val="008B3F71"/>
    <w:rsid w:val="008B4152"/>
    <w:rsid w:val="008B504B"/>
    <w:rsid w:val="008B527E"/>
    <w:rsid w:val="008C5D23"/>
    <w:rsid w:val="008D0C8F"/>
    <w:rsid w:val="008D0F0D"/>
    <w:rsid w:val="008D54D8"/>
    <w:rsid w:val="008D7E35"/>
    <w:rsid w:val="008E11C6"/>
    <w:rsid w:val="008E27A3"/>
    <w:rsid w:val="00910341"/>
    <w:rsid w:val="009112B7"/>
    <w:rsid w:val="00914B3B"/>
    <w:rsid w:val="00914DEC"/>
    <w:rsid w:val="00914EA7"/>
    <w:rsid w:val="0092188B"/>
    <w:rsid w:val="00921E0E"/>
    <w:rsid w:val="0092554C"/>
    <w:rsid w:val="009255E1"/>
    <w:rsid w:val="00925A07"/>
    <w:rsid w:val="00941A5B"/>
    <w:rsid w:val="009429F7"/>
    <w:rsid w:val="0094688E"/>
    <w:rsid w:val="009510FA"/>
    <w:rsid w:val="009557C3"/>
    <w:rsid w:val="00964431"/>
    <w:rsid w:val="00973CB5"/>
    <w:rsid w:val="00976940"/>
    <w:rsid w:val="0097700D"/>
    <w:rsid w:val="00977670"/>
    <w:rsid w:val="00977A3D"/>
    <w:rsid w:val="00981EEC"/>
    <w:rsid w:val="0098395F"/>
    <w:rsid w:val="00983C06"/>
    <w:rsid w:val="0098706C"/>
    <w:rsid w:val="00990EF7"/>
    <w:rsid w:val="009975DB"/>
    <w:rsid w:val="009978C2"/>
    <w:rsid w:val="009978D7"/>
    <w:rsid w:val="009A3B6A"/>
    <w:rsid w:val="009A5777"/>
    <w:rsid w:val="009A5EA7"/>
    <w:rsid w:val="009A6296"/>
    <w:rsid w:val="009A63A9"/>
    <w:rsid w:val="009B381A"/>
    <w:rsid w:val="009B41CC"/>
    <w:rsid w:val="009B48B7"/>
    <w:rsid w:val="009B795F"/>
    <w:rsid w:val="009C127B"/>
    <w:rsid w:val="009C4CC3"/>
    <w:rsid w:val="009D1CBC"/>
    <w:rsid w:val="009D2277"/>
    <w:rsid w:val="009D67A6"/>
    <w:rsid w:val="009E7DAA"/>
    <w:rsid w:val="009F5E7E"/>
    <w:rsid w:val="009F6DC2"/>
    <w:rsid w:val="009F7251"/>
    <w:rsid w:val="00A0344A"/>
    <w:rsid w:val="00A03B5C"/>
    <w:rsid w:val="00A0763A"/>
    <w:rsid w:val="00A1428D"/>
    <w:rsid w:val="00A14735"/>
    <w:rsid w:val="00A17A21"/>
    <w:rsid w:val="00A22028"/>
    <w:rsid w:val="00A24EF5"/>
    <w:rsid w:val="00A257FD"/>
    <w:rsid w:val="00A31FAF"/>
    <w:rsid w:val="00A338D9"/>
    <w:rsid w:val="00A33BCC"/>
    <w:rsid w:val="00A4363B"/>
    <w:rsid w:val="00A50238"/>
    <w:rsid w:val="00A50699"/>
    <w:rsid w:val="00A5242D"/>
    <w:rsid w:val="00A56025"/>
    <w:rsid w:val="00A56603"/>
    <w:rsid w:val="00A61B0A"/>
    <w:rsid w:val="00A76094"/>
    <w:rsid w:val="00A76540"/>
    <w:rsid w:val="00A77BA8"/>
    <w:rsid w:val="00A82B60"/>
    <w:rsid w:val="00A853A6"/>
    <w:rsid w:val="00A90E53"/>
    <w:rsid w:val="00A93665"/>
    <w:rsid w:val="00A963C1"/>
    <w:rsid w:val="00AA1481"/>
    <w:rsid w:val="00AA3CEA"/>
    <w:rsid w:val="00AA79E2"/>
    <w:rsid w:val="00AB1D24"/>
    <w:rsid w:val="00AB6053"/>
    <w:rsid w:val="00AB60D9"/>
    <w:rsid w:val="00AB6CD3"/>
    <w:rsid w:val="00AC31F3"/>
    <w:rsid w:val="00AC336C"/>
    <w:rsid w:val="00AC3D0F"/>
    <w:rsid w:val="00AC417B"/>
    <w:rsid w:val="00AC4BA5"/>
    <w:rsid w:val="00AC652E"/>
    <w:rsid w:val="00AC67EC"/>
    <w:rsid w:val="00AD2AAD"/>
    <w:rsid w:val="00AD3D9D"/>
    <w:rsid w:val="00AD694E"/>
    <w:rsid w:val="00AE1755"/>
    <w:rsid w:val="00AE2703"/>
    <w:rsid w:val="00AE4E37"/>
    <w:rsid w:val="00AE75A3"/>
    <w:rsid w:val="00AE7B83"/>
    <w:rsid w:val="00AF1353"/>
    <w:rsid w:val="00AF3BA8"/>
    <w:rsid w:val="00B006A7"/>
    <w:rsid w:val="00B051EB"/>
    <w:rsid w:val="00B06871"/>
    <w:rsid w:val="00B071B2"/>
    <w:rsid w:val="00B0781C"/>
    <w:rsid w:val="00B112CB"/>
    <w:rsid w:val="00B1186B"/>
    <w:rsid w:val="00B1326D"/>
    <w:rsid w:val="00B133D5"/>
    <w:rsid w:val="00B14D5C"/>
    <w:rsid w:val="00B15CD6"/>
    <w:rsid w:val="00B2283A"/>
    <w:rsid w:val="00B23DCE"/>
    <w:rsid w:val="00B262F4"/>
    <w:rsid w:val="00B26E10"/>
    <w:rsid w:val="00B32313"/>
    <w:rsid w:val="00B3680C"/>
    <w:rsid w:val="00B40F5C"/>
    <w:rsid w:val="00B43870"/>
    <w:rsid w:val="00B461BE"/>
    <w:rsid w:val="00B47570"/>
    <w:rsid w:val="00B517DA"/>
    <w:rsid w:val="00B5346E"/>
    <w:rsid w:val="00B57B20"/>
    <w:rsid w:val="00B61483"/>
    <w:rsid w:val="00B71038"/>
    <w:rsid w:val="00B7344E"/>
    <w:rsid w:val="00B736CB"/>
    <w:rsid w:val="00B7443D"/>
    <w:rsid w:val="00B813E5"/>
    <w:rsid w:val="00B82C2C"/>
    <w:rsid w:val="00B82EFD"/>
    <w:rsid w:val="00B93F72"/>
    <w:rsid w:val="00B96002"/>
    <w:rsid w:val="00B965A0"/>
    <w:rsid w:val="00B9734A"/>
    <w:rsid w:val="00B973CA"/>
    <w:rsid w:val="00BA5811"/>
    <w:rsid w:val="00BA622E"/>
    <w:rsid w:val="00BA7E2E"/>
    <w:rsid w:val="00BA7EFA"/>
    <w:rsid w:val="00BB26E7"/>
    <w:rsid w:val="00BB6231"/>
    <w:rsid w:val="00BB7826"/>
    <w:rsid w:val="00BC098C"/>
    <w:rsid w:val="00BC5A6B"/>
    <w:rsid w:val="00BC6427"/>
    <w:rsid w:val="00BC6B82"/>
    <w:rsid w:val="00BC7739"/>
    <w:rsid w:val="00BD1003"/>
    <w:rsid w:val="00BD2E2C"/>
    <w:rsid w:val="00BD2E34"/>
    <w:rsid w:val="00BD45C7"/>
    <w:rsid w:val="00BD7CB3"/>
    <w:rsid w:val="00BE145A"/>
    <w:rsid w:val="00BF3E4B"/>
    <w:rsid w:val="00BF4DAB"/>
    <w:rsid w:val="00BF71DE"/>
    <w:rsid w:val="00C04A69"/>
    <w:rsid w:val="00C04C79"/>
    <w:rsid w:val="00C056E2"/>
    <w:rsid w:val="00C057F5"/>
    <w:rsid w:val="00C10946"/>
    <w:rsid w:val="00C13707"/>
    <w:rsid w:val="00C13CA5"/>
    <w:rsid w:val="00C14C24"/>
    <w:rsid w:val="00C14F66"/>
    <w:rsid w:val="00C16A87"/>
    <w:rsid w:val="00C2078B"/>
    <w:rsid w:val="00C21ECB"/>
    <w:rsid w:val="00C234C3"/>
    <w:rsid w:val="00C25E74"/>
    <w:rsid w:val="00C26F62"/>
    <w:rsid w:val="00C300F3"/>
    <w:rsid w:val="00C312C2"/>
    <w:rsid w:val="00C31A3F"/>
    <w:rsid w:val="00C31E8A"/>
    <w:rsid w:val="00C328FA"/>
    <w:rsid w:val="00C329C0"/>
    <w:rsid w:val="00C3401B"/>
    <w:rsid w:val="00C367D9"/>
    <w:rsid w:val="00C43137"/>
    <w:rsid w:val="00C43711"/>
    <w:rsid w:val="00C4413F"/>
    <w:rsid w:val="00C4465F"/>
    <w:rsid w:val="00C465EC"/>
    <w:rsid w:val="00C468C2"/>
    <w:rsid w:val="00C55A68"/>
    <w:rsid w:val="00C56DCA"/>
    <w:rsid w:val="00C57BF2"/>
    <w:rsid w:val="00C61359"/>
    <w:rsid w:val="00C6389F"/>
    <w:rsid w:val="00C6698B"/>
    <w:rsid w:val="00C66B7D"/>
    <w:rsid w:val="00C70366"/>
    <w:rsid w:val="00C70D0D"/>
    <w:rsid w:val="00C70F6B"/>
    <w:rsid w:val="00C75179"/>
    <w:rsid w:val="00C814C0"/>
    <w:rsid w:val="00C84469"/>
    <w:rsid w:val="00C85435"/>
    <w:rsid w:val="00C8620F"/>
    <w:rsid w:val="00C86DBB"/>
    <w:rsid w:val="00C9036F"/>
    <w:rsid w:val="00C92F3A"/>
    <w:rsid w:val="00CA11BE"/>
    <w:rsid w:val="00CA3133"/>
    <w:rsid w:val="00CA46A4"/>
    <w:rsid w:val="00CB2A67"/>
    <w:rsid w:val="00CC1505"/>
    <w:rsid w:val="00CC3540"/>
    <w:rsid w:val="00CC4736"/>
    <w:rsid w:val="00CC480E"/>
    <w:rsid w:val="00CC4854"/>
    <w:rsid w:val="00CC6D59"/>
    <w:rsid w:val="00CD0620"/>
    <w:rsid w:val="00CD36CD"/>
    <w:rsid w:val="00CD7F7C"/>
    <w:rsid w:val="00CE5343"/>
    <w:rsid w:val="00CF106D"/>
    <w:rsid w:val="00CF2255"/>
    <w:rsid w:val="00CF35D6"/>
    <w:rsid w:val="00CF439F"/>
    <w:rsid w:val="00CF4493"/>
    <w:rsid w:val="00D00CEF"/>
    <w:rsid w:val="00D01265"/>
    <w:rsid w:val="00D0147B"/>
    <w:rsid w:val="00D02A83"/>
    <w:rsid w:val="00D0489F"/>
    <w:rsid w:val="00D05E6B"/>
    <w:rsid w:val="00D17A59"/>
    <w:rsid w:val="00D17A66"/>
    <w:rsid w:val="00D17B94"/>
    <w:rsid w:val="00D20EFD"/>
    <w:rsid w:val="00D2599E"/>
    <w:rsid w:val="00D27C14"/>
    <w:rsid w:val="00D327BA"/>
    <w:rsid w:val="00D35032"/>
    <w:rsid w:val="00D37CCB"/>
    <w:rsid w:val="00D405B2"/>
    <w:rsid w:val="00D424E4"/>
    <w:rsid w:val="00D44BEF"/>
    <w:rsid w:val="00D44F14"/>
    <w:rsid w:val="00D45D39"/>
    <w:rsid w:val="00D53D7D"/>
    <w:rsid w:val="00D5413D"/>
    <w:rsid w:val="00D62C23"/>
    <w:rsid w:val="00D702F6"/>
    <w:rsid w:val="00D80BCE"/>
    <w:rsid w:val="00D8291D"/>
    <w:rsid w:val="00D82AB5"/>
    <w:rsid w:val="00D83B77"/>
    <w:rsid w:val="00D84644"/>
    <w:rsid w:val="00D8491F"/>
    <w:rsid w:val="00D86426"/>
    <w:rsid w:val="00D86494"/>
    <w:rsid w:val="00D86D44"/>
    <w:rsid w:val="00D91C86"/>
    <w:rsid w:val="00D9221A"/>
    <w:rsid w:val="00D951D6"/>
    <w:rsid w:val="00D96AC2"/>
    <w:rsid w:val="00D97A9B"/>
    <w:rsid w:val="00DA2D1B"/>
    <w:rsid w:val="00DA4697"/>
    <w:rsid w:val="00DA6311"/>
    <w:rsid w:val="00DA6772"/>
    <w:rsid w:val="00DA7829"/>
    <w:rsid w:val="00DB13A7"/>
    <w:rsid w:val="00DB2111"/>
    <w:rsid w:val="00DB4751"/>
    <w:rsid w:val="00DB64FF"/>
    <w:rsid w:val="00DB75E5"/>
    <w:rsid w:val="00DC23EA"/>
    <w:rsid w:val="00DC3602"/>
    <w:rsid w:val="00DC420B"/>
    <w:rsid w:val="00DC4E9E"/>
    <w:rsid w:val="00DC6797"/>
    <w:rsid w:val="00DC68BC"/>
    <w:rsid w:val="00DC7DA7"/>
    <w:rsid w:val="00DD269E"/>
    <w:rsid w:val="00DD2D5E"/>
    <w:rsid w:val="00DD4976"/>
    <w:rsid w:val="00DD50D0"/>
    <w:rsid w:val="00DE2433"/>
    <w:rsid w:val="00DE3AAD"/>
    <w:rsid w:val="00DE4E1C"/>
    <w:rsid w:val="00DE5262"/>
    <w:rsid w:val="00DE7E0F"/>
    <w:rsid w:val="00DF13C5"/>
    <w:rsid w:val="00DF1909"/>
    <w:rsid w:val="00DF3D8B"/>
    <w:rsid w:val="00E061EA"/>
    <w:rsid w:val="00E1568B"/>
    <w:rsid w:val="00E23040"/>
    <w:rsid w:val="00E26392"/>
    <w:rsid w:val="00E270F6"/>
    <w:rsid w:val="00E32FC6"/>
    <w:rsid w:val="00E33052"/>
    <w:rsid w:val="00E3399A"/>
    <w:rsid w:val="00E35F7F"/>
    <w:rsid w:val="00E378E0"/>
    <w:rsid w:val="00E458AB"/>
    <w:rsid w:val="00E54892"/>
    <w:rsid w:val="00E55CC5"/>
    <w:rsid w:val="00E56BDA"/>
    <w:rsid w:val="00E57E2C"/>
    <w:rsid w:val="00E57FE5"/>
    <w:rsid w:val="00E612AC"/>
    <w:rsid w:val="00E62590"/>
    <w:rsid w:val="00E65801"/>
    <w:rsid w:val="00E66311"/>
    <w:rsid w:val="00E66E47"/>
    <w:rsid w:val="00E717B1"/>
    <w:rsid w:val="00E7264B"/>
    <w:rsid w:val="00E732C2"/>
    <w:rsid w:val="00E74098"/>
    <w:rsid w:val="00E76792"/>
    <w:rsid w:val="00E937A5"/>
    <w:rsid w:val="00E956A5"/>
    <w:rsid w:val="00E964BD"/>
    <w:rsid w:val="00EA1052"/>
    <w:rsid w:val="00EA2E36"/>
    <w:rsid w:val="00EA3D15"/>
    <w:rsid w:val="00EA7818"/>
    <w:rsid w:val="00EB09F3"/>
    <w:rsid w:val="00EB4E3A"/>
    <w:rsid w:val="00EB4E49"/>
    <w:rsid w:val="00EC1900"/>
    <w:rsid w:val="00EC266E"/>
    <w:rsid w:val="00EC6596"/>
    <w:rsid w:val="00EC7D1C"/>
    <w:rsid w:val="00ED048A"/>
    <w:rsid w:val="00ED0CB6"/>
    <w:rsid w:val="00ED2BEC"/>
    <w:rsid w:val="00EE35C7"/>
    <w:rsid w:val="00EF07F7"/>
    <w:rsid w:val="00EF1546"/>
    <w:rsid w:val="00EF647C"/>
    <w:rsid w:val="00F003E8"/>
    <w:rsid w:val="00F05710"/>
    <w:rsid w:val="00F05F6B"/>
    <w:rsid w:val="00F114F5"/>
    <w:rsid w:val="00F12632"/>
    <w:rsid w:val="00F15ECC"/>
    <w:rsid w:val="00F1649B"/>
    <w:rsid w:val="00F1730F"/>
    <w:rsid w:val="00F234C7"/>
    <w:rsid w:val="00F25788"/>
    <w:rsid w:val="00F31C02"/>
    <w:rsid w:val="00F3357B"/>
    <w:rsid w:val="00F36AF2"/>
    <w:rsid w:val="00F36B19"/>
    <w:rsid w:val="00F4211E"/>
    <w:rsid w:val="00F500CC"/>
    <w:rsid w:val="00F51822"/>
    <w:rsid w:val="00F55A8D"/>
    <w:rsid w:val="00F601B9"/>
    <w:rsid w:val="00F64B9B"/>
    <w:rsid w:val="00F64BAD"/>
    <w:rsid w:val="00F671A3"/>
    <w:rsid w:val="00F67D50"/>
    <w:rsid w:val="00F70BA7"/>
    <w:rsid w:val="00F755EB"/>
    <w:rsid w:val="00F7663F"/>
    <w:rsid w:val="00F805F6"/>
    <w:rsid w:val="00F82842"/>
    <w:rsid w:val="00F86362"/>
    <w:rsid w:val="00F86DF4"/>
    <w:rsid w:val="00F900B8"/>
    <w:rsid w:val="00F91F85"/>
    <w:rsid w:val="00F9394E"/>
    <w:rsid w:val="00F93D15"/>
    <w:rsid w:val="00FA3BA0"/>
    <w:rsid w:val="00FA54AA"/>
    <w:rsid w:val="00FB1515"/>
    <w:rsid w:val="00FB48BD"/>
    <w:rsid w:val="00FB4EBF"/>
    <w:rsid w:val="00FC093D"/>
    <w:rsid w:val="00FC2985"/>
    <w:rsid w:val="00FC6632"/>
    <w:rsid w:val="00FD0CC8"/>
    <w:rsid w:val="00FD4B42"/>
    <w:rsid w:val="00FD5817"/>
    <w:rsid w:val="00FE2789"/>
    <w:rsid w:val="00FF2121"/>
    <w:rsid w:val="00FF65F3"/>
    <w:rsid w:val="0104538C"/>
    <w:rsid w:val="014C7C41"/>
    <w:rsid w:val="016EA373"/>
    <w:rsid w:val="01C0A913"/>
    <w:rsid w:val="01FE2D0A"/>
    <w:rsid w:val="021BFA45"/>
    <w:rsid w:val="021EFE3F"/>
    <w:rsid w:val="0375B6E2"/>
    <w:rsid w:val="03C9057D"/>
    <w:rsid w:val="04165931"/>
    <w:rsid w:val="0420C627"/>
    <w:rsid w:val="048240C5"/>
    <w:rsid w:val="04AD6772"/>
    <w:rsid w:val="04ADA497"/>
    <w:rsid w:val="04BDBEFA"/>
    <w:rsid w:val="05793002"/>
    <w:rsid w:val="05DC2CBB"/>
    <w:rsid w:val="05F849CD"/>
    <w:rsid w:val="0624AE7B"/>
    <w:rsid w:val="069A7FE1"/>
    <w:rsid w:val="06CFE858"/>
    <w:rsid w:val="071354F0"/>
    <w:rsid w:val="07894BE0"/>
    <w:rsid w:val="086BEA8F"/>
    <w:rsid w:val="088A1F83"/>
    <w:rsid w:val="08B81C43"/>
    <w:rsid w:val="0913C627"/>
    <w:rsid w:val="092125B2"/>
    <w:rsid w:val="0B2A0A7C"/>
    <w:rsid w:val="0B372686"/>
    <w:rsid w:val="0B86393D"/>
    <w:rsid w:val="0BFD991C"/>
    <w:rsid w:val="0C8449C9"/>
    <w:rsid w:val="0C8F2EE8"/>
    <w:rsid w:val="0CA9AB15"/>
    <w:rsid w:val="0D220B02"/>
    <w:rsid w:val="0D68082E"/>
    <w:rsid w:val="0D6E336C"/>
    <w:rsid w:val="0DED2FF7"/>
    <w:rsid w:val="0E3893EB"/>
    <w:rsid w:val="0E5B6162"/>
    <w:rsid w:val="0E9637DE"/>
    <w:rsid w:val="0F49DCB0"/>
    <w:rsid w:val="0FE0CBED"/>
    <w:rsid w:val="0FFAE3C4"/>
    <w:rsid w:val="1002ABD1"/>
    <w:rsid w:val="1013967E"/>
    <w:rsid w:val="10556A05"/>
    <w:rsid w:val="10781E6E"/>
    <w:rsid w:val="108E94A3"/>
    <w:rsid w:val="10A9EF3E"/>
    <w:rsid w:val="10CF2FDC"/>
    <w:rsid w:val="114F95F3"/>
    <w:rsid w:val="11B4B043"/>
    <w:rsid w:val="124B03A8"/>
    <w:rsid w:val="127B5FF8"/>
    <w:rsid w:val="129482B4"/>
    <w:rsid w:val="12F353DA"/>
    <w:rsid w:val="13065203"/>
    <w:rsid w:val="13186CAF"/>
    <w:rsid w:val="1322B3A8"/>
    <w:rsid w:val="1325E102"/>
    <w:rsid w:val="14025571"/>
    <w:rsid w:val="14A05F12"/>
    <w:rsid w:val="14A26029"/>
    <w:rsid w:val="14C010F5"/>
    <w:rsid w:val="1557847C"/>
    <w:rsid w:val="15BE65D9"/>
    <w:rsid w:val="15C5E916"/>
    <w:rsid w:val="166DFFE6"/>
    <w:rsid w:val="16C1E53F"/>
    <w:rsid w:val="1729D421"/>
    <w:rsid w:val="174AF560"/>
    <w:rsid w:val="17ABBF48"/>
    <w:rsid w:val="180CF574"/>
    <w:rsid w:val="180F193A"/>
    <w:rsid w:val="1813B150"/>
    <w:rsid w:val="187D7BCD"/>
    <w:rsid w:val="188BA229"/>
    <w:rsid w:val="1923CA27"/>
    <w:rsid w:val="192806D9"/>
    <w:rsid w:val="197BFA29"/>
    <w:rsid w:val="19A784AA"/>
    <w:rsid w:val="1A194C2E"/>
    <w:rsid w:val="1A640CEC"/>
    <w:rsid w:val="1A92E58E"/>
    <w:rsid w:val="1AB66E23"/>
    <w:rsid w:val="1AC3CE6B"/>
    <w:rsid w:val="1B235B7C"/>
    <w:rsid w:val="1B3A4038"/>
    <w:rsid w:val="1B41D1F0"/>
    <w:rsid w:val="1BBAD115"/>
    <w:rsid w:val="1C0B8D7D"/>
    <w:rsid w:val="1C4C546B"/>
    <w:rsid w:val="1CA2F78C"/>
    <w:rsid w:val="1CDDFE1F"/>
    <w:rsid w:val="1CF7A63D"/>
    <w:rsid w:val="1D0AC001"/>
    <w:rsid w:val="1D5F54D8"/>
    <w:rsid w:val="1DA3B953"/>
    <w:rsid w:val="1F1BBDA9"/>
    <w:rsid w:val="1F3E51C0"/>
    <w:rsid w:val="203FFB3B"/>
    <w:rsid w:val="206F6555"/>
    <w:rsid w:val="208E4238"/>
    <w:rsid w:val="20C88B49"/>
    <w:rsid w:val="20D0A7A0"/>
    <w:rsid w:val="211CDB8D"/>
    <w:rsid w:val="2209ABFF"/>
    <w:rsid w:val="221783F2"/>
    <w:rsid w:val="22249B7C"/>
    <w:rsid w:val="222EB8AD"/>
    <w:rsid w:val="22F82718"/>
    <w:rsid w:val="23574370"/>
    <w:rsid w:val="23BB4DEE"/>
    <w:rsid w:val="247D2E5C"/>
    <w:rsid w:val="252A8B06"/>
    <w:rsid w:val="25750F9B"/>
    <w:rsid w:val="257FE29B"/>
    <w:rsid w:val="2597495C"/>
    <w:rsid w:val="25A7171E"/>
    <w:rsid w:val="25F97273"/>
    <w:rsid w:val="2628D570"/>
    <w:rsid w:val="262C04A1"/>
    <w:rsid w:val="2655764E"/>
    <w:rsid w:val="2672BC94"/>
    <w:rsid w:val="26741524"/>
    <w:rsid w:val="2736F1A0"/>
    <w:rsid w:val="27A0620E"/>
    <w:rsid w:val="2843DCF0"/>
    <w:rsid w:val="28995ECE"/>
    <w:rsid w:val="28D0E828"/>
    <w:rsid w:val="28FEDA7B"/>
    <w:rsid w:val="29FA92CB"/>
    <w:rsid w:val="2AE992D1"/>
    <w:rsid w:val="2B0E6B44"/>
    <w:rsid w:val="2B3D9640"/>
    <w:rsid w:val="2BC15614"/>
    <w:rsid w:val="2BE905DA"/>
    <w:rsid w:val="2C3A68B0"/>
    <w:rsid w:val="2CB4A024"/>
    <w:rsid w:val="2CC8F2AD"/>
    <w:rsid w:val="2CE00322"/>
    <w:rsid w:val="2D03C956"/>
    <w:rsid w:val="2D489F0E"/>
    <w:rsid w:val="2D975F29"/>
    <w:rsid w:val="2DA89104"/>
    <w:rsid w:val="2DCEF44C"/>
    <w:rsid w:val="2E107EFF"/>
    <w:rsid w:val="2E4E2B62"/>
    <w:rsid w:val="2E7EBC0F"/>
    <w:rsid w:val="2E8FF24A"/>
    <w:rsid w:val="2EDFBDED"/>
    <w:rsid w:val="2FC4F51C"/>
    <w:rsid w:val="2FEF07E3"/>
    <w:rsid w:val="2FFA02C4"/>
    <w:rsid w:val="3043CEB9"/>
    <w:rsid w:val="30ABA387"/>
    <w:rsid w:val="31A119A9"/>
    <w:rsid w:val="31B4BBE0"/>
    <w:rsid w:val="31E1CE40"/>
    <w:rsid w:val="324DF4AB"/>
    <w:rsid w:val="325D4E69"/>
    <w:rsid w:val="3304B005"/>
    <w:rsid w:val="33075B63"/>
    <w:rsid w:val="33142DCC"/>
    <w:rsid w:val="332F734E"/>
    <w:rsid w:val="337A33E6"/>
    <w:rsid w:val="339A2BE8"/>
    <w:rsid w:val="33C042D0"/>
    <w:rsid w:val="3406A666"/>
    <w:rsid w:val="3407363E"/>
    <w:rsid w:val="34692906"/>
    <w:rsid w:val="34C9041A"/>
    <w:rsid w:val="350B5E22"/>
    <w:rsid w:val="35546A61"/>
    <w:rsid w:val="363FE314"/>
    <w:rsid w:val="3649EDC9"/>
    <w:rsid w:val="37CF6539"/>
    <w:rsid w:val="37DC8B20"/>
    <w:rsid w:val="37E883FE"/>
    <w:rsid w:val="37EA9326"/>
    <w:rsid w:val="380CBAB4"/>
    <w:rsid w:val="382599B9"/>
    <w:rsid w:val="38541EE1"/>
    <w:rsid w:val="385F55E4"/>
    <w:rsid w:val="3872ED6D"/>
    <w:rsid w:val="387F602D"/>
    <w:rsid w:val="38C3E4CD"/>
    <w:rsid w:val="39459A7D"/>
    <w:rsid w:val="398D5831"/>
    <w:rsid w:val="3AF30544"/>
    <w:rsid w:val="3B9914F4"/>
    <w:rsid w:val="3BB7AD95"/>
    <w:rsid w:val="3C0D71DD"/>
    <w:rsid w:val="3C29C96F"/>
    <w:rsid w:val="3C83E8CA"/>
    <w:rsid w:val="3C9FC277"/>
    <w:rsid w:val="3D87A0B0"/>
    <w:rsid w:val="3EA61614"/>
    <w:rsid w:val="3ED903F6"/>
    <w:rsid w:val="3EF58539"/>
    <w:rsid w:val="3F3C60C9"/>
    <w:rsid w:val="3F5E3AFC"/>
    <w:rsid w:val="3F8AB477"/>
    <w:rsid w:val="3FFD6B23"/>
    <w:rsid w:val="40080C85"/>
    <w:rsid w:val="40178341"/>
    <w:rsid w:val="402DF18A"/>
    <w:rsid w:val="40344991"/>
    <w:rsid w:val="4041E675"/>
    <w:rsid w:val="4053D7C8"/>
    <w:rsid w:val="408F9BE1"/>
    <w:rsid w:val="40CD2502"/>
    <w:rsid w:val="4104F9FC"/>
    <w:rsid w:val="411C253D"/>
    <w:rsid w:val="4122667E"/>
    <w:rsid w:val="415899E8"/>
    <w:rsid w:val="41E0D9E7"/>
    <w:rsid w:val="42264273"/>
    <w:rsid w:val="42342B2A"/>
    <w:rsid w:val="43042005"/>
    <w:rsid w:val="431E661C"/>
    <w:rsid w:val="439F10A9"/>
    <w:rsid w:val="43A1D4D4"/>
    <w:rsid w:val="43D3D315"/>
    <w:rsid w:val="4424B7B6"/>
    <w:rsid w:val="44539AA4"/>
    <w:rsid w:val="44E3580B"/>
    <w:rsid w:val="45058C0B"/>
    <w:rsid w:val="4514D2F6"/>
    <w:rsid w:val="452EF322"/>
    <w:rsid w:val="456C87E4"/>
    <w:rsid w:val="456FA376"/>
    <w:rsid w:val="463B7DBB"/>
    <w:rsid w:val="46A46CB1"/>
    <w:rsid w:val="46E35953"/>
    <w:rsid w:val="4743301B"/>
    <w:rsid w:val="4751B46B"/>
    <w:rsid w:val="476355DA"/>
    <w:rsid w:val="48665D25"/>
    <w:rsid w:val="486D9E61"/>
    <w:rsid w:val="48740852"/>
    <w:rsid w:val="48B58ECF"/>
    <w:rsid w:val="4934EE0A"/>
    <w:rsid w:val="497F8340"/>
    <w:rsid w:val="4993C8D2"/>
    <w:rsid w:val="49A144D2"/>
    <w:rsid w:val="49AA0A9B"/>
    <w:rsid w:val="49B84742"/>
    <w:rsid w:val="49BFC34B"/>
    <w:rsid w:val="49CAF477"/>
    <w:rsid w:val="49E191B1"/>
    <w:rsid w:val="4A2D0F1E"/>
    <w:rsid w:val="4A4D9D1A"/>
    <w:rsid w:val="4A54CD78"/>
    <w:rsid w:val="4A819C69"/>
    <w:rsid w:val="4AA28BD2"/>
    <w:rsid w:val="4AA9DF26"/>
    <w:rsid w:val="4AF5F079"/>
    <w:rsid w:val="4B31E6E5"/>
    <w:rsid w:val="4B67AD48"/>
    <w:rsid w:val="4B961E52"/>
    <w:rsid w:val="4BD1D111"/>
    <w:rsid w:val="4C0E9298"/>
    <w:rsid w:val="4C808603"/>
    <w:rsid w:val="4CA7BF4F"/>
    <w:rsid w:val="4D801A83"/>
    <w:rsid w:val="4E00240C"/>
    <w:rsid w:val="4EBE1B69"/>
    <w:rsid w:val="4F8D4B54"/>
    <w:rsid w:val="4FC11848"/>
    <w:rsid w:val="51162C60"/>
    <w:rsid w:val="51AB3734"/>
    <w:rsid w:val="51C48AD1"/>
    <w:rsid w:val="522AB281"/>
    <w:rsid w:val="526080D0"/>
    <w:rsid w:val="5273541B"/>
    <w:rsid w:val="52C7B313"/>
    <w:rsid w:val="538D3E75"/>
    <w:rsid w:val="54369512"/>
    <w:rsid w:val="545EBFA1"/>
    <w:rsid w:val="548B97E8"/>
    <w:rsid w:val="54B4B5FF"/>
    <w:rsid w:val="55188458"/>
    <w:rsid w:val="55593E15"/>
    <w:rsid w:val="55952DFD"/>
    <w:rsid w:val="567EF98C"/>
    <w:rsid w:val="567F2ED4"/>
    <w:rsid w:val="56C27299"/>
    <w:rsid w:val="56F11AD8"/>
    <w:rsid w:val="56F834E9"/>
    <w:rsid w:val="5771F458"/>
    <w:rsid w:val="5792E915"/>
    <w:rsid w:val="5873339E"/>
    <w:rsid w:val="58C80A93"/>
    <w:rsid w:val="59243549"/>
    <w:rsid w:val="59998408"/>
    <w:rsid w:val="5A5BA39A"/>
    <w:rsid w:val="5A9E5845"/>
    <w:rsid w:val="5AFC779B"/>
    <w:rsid w:val="5B9AB51B"/>
    <w:rsid w:val="5B9ED2E9"/>
    <w:rsid w:val="5BEB3D24"/>
    <w:rsid w:val="5C0C4E22"/>
    <w:rsid w:val="5C4314B3"/>
    <w:rsid w:val="5C802592"/>
    <w:rsid w:val="5CDDAB3C"/>
    <w:rsid w:val="5DD74E7B"/>
    <w:rsid w:val="5E10FAA3"/>
    <w:rsid w:val="5E9A6A05"/>
    <w:rsid w:val="5EDA520B"/>
    <w:rsid w:val="5EEE0C86"/>
    <w:rsid w:val="5F0CB2F3"/>
    <w:rsid w:val="5F8DA0F8"/>
    <w:rsid w:val="5FBDADF5"/>
    <w:rsid w:val="6009CBF4"/>
    <w:rsid w:val="603DAC90"/>
    <w:rsid w:val="6065DE3A"/>
    <w:rsid w:val="610EEF3D"/>
    <w:rsid w:val="61419195"/>
    <w:rsid w:val="61E0F3C2"/>
    <w:rsid w:val="62028BB6"/>
    <w:rsid w:val="6263CAFE"/>
    <w:rsid w:val="62E03FFF"/>
    <w:rsid w:val="62FD291E"/>
    <w:rsid w:val="6316A0E3"/>
    <w:rsid w:val="632FE968"/>
    <w:rsid w:val="63EAC01D"/>
    <w:rsid w:val="64BCFA56"/>
    <w:rsid w:val="64CAFA8E"/>
    <w:rsid w:val="65173BF8"/>
    <w:rsid w:val="65319882"/>
    <w:rsid w:val="6560EAED"/>
    <w:rsid w:val="65CC5272"/>
    <w:rsid w:val="65FE49D8"/>
    <w:rsid w:val="67644709"/>
    <w:rsid w:val="67907928"/>
    <w:rsid w:val="686ED9B4"/>
    <w:rsid w:val="68E7E5F3"/>
    <w:rsid w:val="694CA37A"/>
    <w:rsid w:val="6A03B8D2"/>
    <w:rsid w:val="6A485EF5"/>
    <w:rsid w:val="6A9C009B"/>
    <w:rsid w:val="6AAF05F7"/>
    <w:rsid w:val="6ABB4D9B"/>
    <w:rsid w:val="6B54FC30"/>
    <w:rsid w:val="6B7349B4"/>
    <w:rsid w:val="6B8E6B02"/>
    <w:rsid w:val="6B9694F6"/>
    <w:rsid w:val="6BC22EF8"/>
    <w:rsid w:val="6BC88347"/>
    <w:rsid w:val="6BD31455"/>
    <w:rsid w:val="6C7C4186"/>
    <w:rsid w:val="6C826A63"/>
    <w:rsid w:val="6CC9B72D"/>
    <w:rsid w:val="6CCDF3BE"/>
    <w:rsid w:val="6D3FA28F"/>
    <w:rsid w:val="6D55925E"/>
    <w:rsid w:val="6DE86E9B"/>
    <w:rsid w:val="6E1DF40C"/>
    <w:rsid w:val="6E6AF700"/>
    <w:rsid w:val="6EA6C522"/>
    <w:rsid w:val="6EBFED7F"/>
    <w:rsid w:val="6EDB666A"/>
    <w:rsid w:val="6F09D3C3"/>
    <w:rsid w:val="6F2A7F9D"/>
    <w:rsid w:val="6F5CD519"/>
    <w:rsid w:val="6F63ECCB"/>
    <w:rsid w:val="70232A2B"/>
    <w:rsid w:val="702744D1"/>
    <w:rsid w:val="702D4F95"/>
    <w:rsid w:val="70429583"/>
    <w:rsid w:val="70575D2A"/>
    <w:rsid w:val="71234E5E"/>
    <w:rsid w:val="715A133F"/>
    <w:rsid w:val="71B6DC17"/>
    <w:rsid w:val="71D9E018"/>
    <w:rsid w:val="72FF4772"/>
    <w:rsid w:val="730C7273"/>
    <w:rsid w:val="730D35E0"/>
    <w:rsid w:val="744E4522"/>
    <w:rsid w:val="7474177D"/>
    <w:rsid w:val="747D3BD1"/>
    <w:rsid w:val="74F73048"/>
    <w:rsid w:val="74F8C68F"/>
    <w:rsid w:val="76294CA9"/>
    <w:rsid w:val="762BC26D"/>
    <w:rsid w:val="763A3CDC"/>
    <w:rsid w:val="76AD7651"/>
    <w:rsid w:val="7734CC88"/>
    <w:rsid w:val="7880CC08"/>
    <w:rsid w:val="7895A269"/>
    <w:rsid w:val="78B39699"/>
    <w:rsid w:val="79295960"/>
    <w:rsid w:val="7970FAE7"/>
    <w:rsid w:val="7994DC54"/>
    <w:rsid w:val="7A30E533"/>
    <w:rsid w:val="7A76CA3E"/>
    <w:rsid w:val="7AF6AC19"/>
    <w:rsid w:val="7B4085CB"/>
    <w:rsid w:val="7B5B4C57"/>
    <w:rsid w:val="7B6C013F"/>
    <w:rsid w:val="7B8D35B0"/>
    <w:rsid w:val="7B9F77B8"/>
    <w:rsid w:val="7BFEE928"/>
    <w:rsid w:val="7C30E268"/>
    <w:rsid w:val="7C3448BE"/>
    <w:rsid w:val="7CA2558C"/>
    <w:rsid w:val="7CF51C22"/>
    <w:rsid w:val="7D1CB7D5"/>
    <w:rsid w:val="7D4A1130"/>
    <w:rsid w:val="7D543D2B"/>
    <w:rsid w:val="7DEA4833"/>
    <w:rsid w:val="7E1F6DEA"/>
    <w:rsid w:val="7E8FEE24"/>
    <w:rsid w:val="7EB16B75"/>
    <w:rsid w:val="7EBE3CBC"/>
    <w:rsid w:val="7EE2BB7E"/>
    <w:rsid w:val="7F22EABE"/>
    <w:rsid w:val="7F6DC359"/>
    <w:rsid w:val="7FBE3B2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6B281"/>
  <w15:chartTrackingRefBased/>
  <w15:docId w15:val="{8280DAB4-1324-4F95-8457-E11F2CE4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12F"/>
    <w:pPr>
      <w:spacing w:after="120" w:line="288" w:lineRule="auto"/>
      <w:jc w:val="both"/>
    </w:pPr>
    <w:rPr>
      <w:color w:val="262626" w:themeColor="text1" w:themeTint="D9"/>
    </w:rPr>
  </w:style>
  <w:style w:type="paragraph" w:styleId="Titre1">
    <w:name w:val="heading 1"/>
    <w:basedOn w:val="Normal"/>
    <w:next w:val="Normal"/>
    <w:link w:val="Titre1Car"/>
    <w:uiPriority w:val="9"/>
    <w:qFormat/>
    <w:rsid w:val="00A963C1"/>
    <w:pPr>
      <w:keepNext/>
      <w:keepLines/>
      <w:pageBreakBefore/>
      <w:numPr>
        <w:numId w:val="1"/>
      </w:numPr>
      <w:pBdr>
        <w:top w:val="single" w:sz="48" w:space="1" w:color="155E48"/>
        <w:left w:val="single" w:sz="48" w:space="4" w:color="155E48"/>
        <w:bottom w:val="single" w:sz="48" w:space="1" w:color="155E48"/>
        <w:right w:val="single" w:sz="48" w:space="4" w:color="155E48"/>
      </w:pBdr>
      <w:shd w:val="clear" w:color="auto" w:fill="155E48"/>
      <w:spacing w:before="480" w:after="480" w:line="240" w:lineRule="auto"/>
      <w:jc w:val="left"/>
      <w:outlineLvl w:val="0"/>
    </w:pPr>
    <w:rPr>
      <w:rFonts w:eastAsia="Times New Roman" w:cstheme="majorBidi"/>
      <w:b/>
      <w:bCs/>
      <w:iCs/>
      <w:caps/>
      <w:color w:val="FFFFFF" w:themeColor="background1"/>
      <w:sz w:val="28"/>
      <w:szCs w:val="24"/>
      <w:lang w:eastAsia="fr-FR"/>
    </w:rPr>
  </w:style>
  <w:style w:type="paragraph" w:styleId="Titre2">
    <w:name w:val="heading 2"/>
    <w:next w:val="Normal"/>
    <w:link w:val="Titre2Car"/>
    <w:uiPriority w:val="9"/>
    <w:unhideWhenUsed/>
    <w:qFormat/>
    <w:rsid w:val="00A50238"/>
    <w:pPr>
      <w:keepNext/>
      <w:keepLines/>
      <w:numPr>
        <w:ilvl w:val="1"/>
        <w:numId w:val="1"/>
      </w:numPr>
      <w:pBdr>
        <w:bottom w:val="single" w:sz="8" w:space="1" w:color="auto"/>
        <w:between w:val="single" w:sz="48" w:space="1" w:color="4A89AA"/>
      </w:pBdr>
      <w:spacing w:before="360" w:after="360" w:line="240" w:lineRule="auto"/>
      <w:outlineLvl w:val="1"/>
    </w:pPr>
    <w:rPr>
      <w:rFonts w:eastAsia="Times New Roman" w:cstheme="majorBidi"/>
      <w:b/>
      <w:bCs/>
      <w:iCs/>
      <w:caps/>
      <w:smallCaps/>
      <w:color w:val="307A55"/>
      <w:sz w:val="28"/>
      <w:szCs w:val="24"/>
      <w:lang w:val="en-US" w:eastAsia="fr-FR"/>
    </w:rPr>
  </w:style>
  <w:style w:type="paragraph" w:styleId="Titre3">
    <w:name w:val="heading 3"/>
    <w:next w:val="Normal"/>
    <w:link w:val="Titre3Car"/>
    <w:uiPriority w:val="9"/>
    <w:unhideWhenUsed/>
    <w:qFormat/>
    <w:rsid w:val="00DA4697"/>
    <w:pPr>
      <w:keepNext/>
      <w:keepLines/>
      <w:numPr>
        <w:ilvl w:val="2"/>
        <w:numId w:val="1"/>
      </w:numPr>
      <w:spacing w:before="240" w:after="240" w:line="240" w:lineRule="auto"/>
      <w:outlineLvl w:val="2"/>
    </w:pPr>
    <w:rPr>
      <w:rFonts w:eastAsia="Times New Roman" w:cs="Times New Roman"/>
      <w:b/>
      <w:bCs/>
      <w:iCs/>
      <w:caps/>
      <w:smallCaps/>
      <w:color w:val="4B5943"/>
      <w:sz w:val="24"/>
      <w:szCs w:val="24"/>
      <w:lang w:val="en-US" w:eastAsia="fr-FR"/>
    </w:rPr>
  </w:style>
  <w:style w:type="paragraph" w:styleId="Titre4">
    <w:name w:val="heading 4"/>
    <w:basedOn w:val="Normal"/>
    <w:next w:val="Normal"/>
    <w:link w:val="Titre4Car"/>
    <w:uiPriority w:val="9"/>
    <w:unhideWhenUsed/>
    <w:qFormat/>
    <w:rsid w:val="00DA4697"/>
    <w:pPr>
      <w:keepNext/>
      <w:keepLines/>
      <w:numPr>
        <w:ilvl w:val="3"/>
        <w:numId w:val="1"/>
      </w:numPr>
      <w:spacing w:before="240" w:after="240" w:line="240" w:lineRule="auto"/>
      <w:jc w:val="left"/>
      <w:outlineLvl w:val="3"/>
    </w:pPr>
    <w:rPr>
      <w:rFonts w:asciiTheme="majorHAnsi" w:eastAsiaTheme="majorEastAsia" w:hAnsiTheme="majorHAnsi" w:cstheme="majorBidi"/>
      <w:b/>
      <w:bCs/>
      <w:i/>
      <w:iCs/>
      <w:color w:val="4B5943"/>
    </w:rPr>
  </w:style>
  <w:style w:type="paragraph" w:styleId="Titre5">
    <w:name w:val="heading 5"/>
    <w:basedOn w:val="Normal"/>
    <w:next w:val="Normal"/>
    <w:link w:val="Titre5Car"/>
    <w:uiPriority w:val="9"/>
    <w:unhideWhenUsed/>
    <w:rsid w:val="00D86D4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itre6">
    <w:name w:val="heading 6"/>
    <w:basedOn w:val="Normal"/>
    <w:next w:val="Normal"/>
    <w:link w:val="Titre6Car"/>
    <w:uiPriority w:val="9"/>
    <w:unhideWhenUsed/>
    <w:rsid w:val="00D86D4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itre7">
    <w:name w:val="heading 7"/>
    <w:basedOn w:val="Normal"/>
    <w:next w:val="Normal"/>
    <w:link w:val="Titre7Car"/>
    <w:uiPriority w:val="9"/>
    <w:semiHidden/>
    <w:unhideWhenUsed/>
    <w:rsid w:val="00D86D4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86D4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86D4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mage">
    <w:name w:val="Image"/>
    <w:basedOn w:val="Normal"/>
    <w:rsid w:val="00DA4697"/>
    <w:pPr>
      <w:keepNext/>
      <w:keepLines/>
      <w:tabs>
        <w:tab w:val="left" w:pos="6285"/>
      </w:tabs>
      <w:spacing w:before="480" w:line="240" w:lineRule="auto"/>
      <w:jc w:val="center"/>
    </w:pPr>
    <w:rPr>
      <w:rFonts w:eastAsia="Times New Roman" w:cs="Times New Roman"/>
      <w:color w:val="21374B"/>
      <w:sz w:val="20"/>
      <w:szCs w:val="20"/>
      <w:lang w:eastAsia="fr-FR"/>
    </w:rPr>
  </w:style>
  <w:style w:type="paragraph" w:styleId="Tabledesillustrations">
    <w:name w:val="table of figures"/>
    <w:basedOn w:val="TM1"/>
    <w:next w:val="Normal"/>
    <w:uiPriority w:val="99"/>
    <w:unhideWhenUsed/>
    <w:qFormat/>
    <w:rsid w:val="0073200E"/>
    <w:rPr>
      <w:caps w:val="0"/>
    </w:rPr>
  </w:style>
  <w:style w:type="character" w:customStyle="1" w:styleId="comment">
    <w:name w:val="comment"/>
    <w:basedOn w:val="Policepardfaut"/>
    <w:rsid w:val="00C329C0"/>
  </w:style>
  <w:style w:type="paragraph" w:styleId="Paragraphedeliste">
    <w:name w:val="List Paragraph"/>
    <w:aliases w:val="Bullet List,FooterText,List Paragraph1,numbered,Paragraphe de liste1,Bulletr List Paragraph"/>
    <w:basedOn w:val="Normal"/>
    <w:link w:val="ParagraphedelisteCar"/>
    <w:uiPriority w:val="34"/>
    <w:qFormat/>
    <w:rsid w:val="00C329C0"/>
    <w:pPr>
      <w:ind w:left="720"/>
      <w:contextualSpacing/>
    </w:pPr>
  </w:style>
  <w:style w:type="paragraph" w:styleId="Textedebulles">
    <w:name w:val="Balloon Text"/>
    <w:basedOn w:val="Normal"/>
    <w:link w:val="TextedebullesCar"/>
    <w:uiPriority w:val="99"/>
    <w:semiHidden/>
    <w:unhideWhenUsed/>
    <w:rsid w:val="002C6421"/>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2C6421"/>
    <w:rPr>
      <w:rFonts w:ascii="Segoe UI" w:hAnsi="Segoe UI" w:cs="Segoe UI"/>
      <w:sz w:val="18"/>
      <w:szCs w:val="18"/>
    </w:rPr>
  </w:style>
  <w:style w:type="paragraph" w:styleId="En-tte">
    <w:name w:val="header"/>
    <w:basedOn w:val="Normal"/>
    <w:link w:val="En-tteCar"/>
    <w:unhideWhenUsed/>
    <w:rsid w:val="00336E71"/>
    <w:pPr>
      <w:tabs>
        <w:tab w:val="center" w:pos="4680"/>
        <w:tab w:val="right" w:pos="9360"/>
      </w:tabs>
      <w:spacing w:after="0" w:line="240" w:lineRule="auto"/>
    </w:pPr>
  </w:style>
  <w:style w:type="character" w:customStyle="1" w:styleId="En-tteCar">
    <w:name w:val="En-tête Car"/>
    <w:basedOn w:val="Policepardfaut"/>
    <w:link w:val="En-tte"/>
    <w:rsid w:val="00336E71"/>
  </w:style>
  <w:style w:type="paragraph" w:styleId="Pieddepage">
    <w:name w:val="footer"/>
    <w:basedOn w:val="Normal"/>
    <w:link w:val="PieddepageCar"/>
    <w:uiPriority w:val="99"/>
    <w:unhideWhenUsed/>
    <w:rsid w:val="00336E7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36E71"/>
  </w:style>
  <w:style w:type="character" w:styleId="Lienhypertexte">
    <w:name w:val="Hyperlink"/>
    <w:basedOn w:val="Policepardfaut"/>
    <w:uiPriority w:val="99"/>
    <w:unhideWhenUsed/>
    <w:rPr>
      <w:color w:val="0563C1" w:themeColor="hyperlink"/>
      <w:u w:val="single"/>
    </w:rPr>
  </w:style>
  <w:style w:type="character" w:customStyle="1" w:styleId="Titre1Car">
    <w:name w:val="Titre 1 Car"/>
    <w:basedOn w:val="Policepardfaut"/>
    <w:link w:val="Titre1"/>
    <w:uiPriority w:val="9"/>
    <w:rsid w:val="00A963C1"/>
    <w:rPr>
      <w:rFonts w:eastAsia="Times New Roman" w:cstheme="majorBidi"/>
      <w:b/>
      <w:bCs/>
      <w:iCs/>
      <w:caps/>
      <w:color w:val="FFFFFF" w:themeColor="background1"/>
      <w:sz w:val="28"/>
      <w:szCs w:val="24"/>
      <w:shd w:val="clear" w:color="auto" w:fill="155E48"/>
      <w:lang w:eastAsia="fr-FR"/>
    </w:rPr>
  </w:style>
  <w:style w:type="character" w:customStyle="1" w:styleId="Titre2Car">
    <w:name w:val="Titre 2 Car"/>
    <w:basedOn w:val="Policepardfaut"/>
    <w:link w:val="Titre2"/>
    <w:uiPriority w:val="9"/>
    <w:rsid w:val="00A50238"/>
    <w:rPr>
      <w:rFonts w:eastAsia="Times New Roman" w:cstheme="majorBidi"/>
      <w:b/>
      <w:bCs/>
      <w:iCs/>
      <w:caps/>
      <w:smallCaps/>
      <w:color w:val="307A55"/>
      <w:sz w:val="28"/>
      <w:szCs w:val="24"/>
      <w:lang w:val="en-US" w:eastAsia="fr-FR"/>
    </w:rPr>
  </w:style>
  <w:style w:type="character" w:styleId="Marquedecommentaire">
    <w:name w:val="annotation reference"/>
    <w:basedOn w:val="Policepardfaut"/>
    <w:uiPriority w:val="99"/>
    <w:semiHidden/>
    <w:unhideWhenUsed/>
    <w:rsid w:val="00D5413D"/>
    <w:rPr>
      <w:sz w:val="16"/>
      <w:szCs w:val="16"/>
    </w:rPr>
  </w:style>
  <w:style w:type="paragraph" w:styleId="Commentaire">
    <w:name w:val="annotation text"/>
    <w:basedOn w:val="Normal"/>
    <w:link w:val="CommentaireCar"/>
    <w:uiPriority w:val="99"/>
    <w:unhideWhenUsed/>
    <w:rsid w:val="00D5413D"/>
    <w:pPr>
      <w:spacing w:line="240" w:lineRule="auto"/>
    </w:pPr>
    <w:rPr>
      <w:sz w:val="20"/>
      <w:szCs w:val="20"/>
    </w:rPr>
  </w:style>
  <w:style w:type="character" w:customStyle="1" w:styleId="CommentaireCar">
    <w:name w:val="Commentaire Car"/>
    <w:basedOn w:val="Policepardfaut"/>
    <w:link w:val="Commentaire"/>
    <w:uiPriority w:val="99"/>
    <w:rsid w:val="00D5413D"/>
    <w:rPr>
      <w:sz w:val="20"/>
      <w:szCs w:val="20"/>
    </w:rPr>
  </w:style>
  <w:style w:type="paragraph" w:styleId="Objetducommentaire">
    <w:name w:val="annotation subject"/>
    <w:basedOn w:val="Commentaire"/>
    <w:next w:val="Commentaire"/>
    <w:link w:val="ObjetducommentaireCar"/>
    <w:uiPriority w:val="99"/>
    <w:semiHidden/>
    <w:unhideWhenUsed/>
    <w:rsid w:val="00D5413D"/>
    <w:rPr>
      <w:b/>
      <w:bCs/>
    </w:rPr>
  </w:style>
  <w:style w:type="character" w:customStyle="1" w:styleId="ObjetducommentaireCar">
    <w:name w:val="Objet du commentaire Car"/>
    <w:basedOn w:val="CommentaireCar"/>
    <w:link w:val="Objetducommentaire"/>
    <w:uiPriority w:val="99"/>
    <w:semiHidden/>
    <w:rsid w:val="00D5413D"/>
    <w:rPr>
      <w:b/>
      <w:bCs/>
      <w:sz w:val="20"/>
      <w:szCs w:val="20"/>
    </w:rPr>
  </w:style>
  <w:style w:type="character" w:customStyle="1" w:styleId="Titre3Car">
    <w:name w:val="Titre 3 Car"/>
    <w:basedOn w:val="Policepardfaut"/>
    <w:link w:val="Titre3"/>
    <w:uiPriority w:val="9"/>
    <w:rsid w:val="00DA4697"/>
    <w:rPr>
      <w:rFonts w:eastAsia="Times New Roman" w:cs="Times New Roman"/>
      <w:b/>
      <w:bCs/>
      <w:iCs/>
      <w:caps/>
      <w:smallCaps/>
      <w:color w:val="4B5943"/>
      <w:sz w:val="24"/>
      <w:szCs w:val="24"/>
      <w:lang w:val="en-US" w:eastAsia="fr-FR"/>
    </w:rPr>
  </w:style>
  <w:style w:type="character" w:customStyle="1" w:styleId="Titre4Car">
    <w:name w:val="Titre 4 Car"/>
    <w:basedOn w:val="Policepardfaut"/>
    <w:link w:val="Titre4"/>
    <w:uiPriority w:val="9"/>
    <w:rsid w:val="00DA4697"/>
    <w:rPr>
      <w:rFonts w:asciiTheme="majorHAnsi" w:eastAsiaTheme="majorEastAsia" w:hAnsiTheme="majorHAnsi" w:cstheme="majorBidi"/>
      <w:b/>
      <w:bCs/>
      <w:i/>
      <w:iCs/>
      <w:color w:val="4B5943"/>
    </w:rPr>
  </w:style>
  <w:style w:type="character" w:customStyle="1" w:styleId="Titre5Car">
    <w:name w:val="Titre 5 Car"/>
    <w:basedOn w:val="Policepardfaut"/>
    <w:link w:val="Titre5"/>
    <w:uiPriority w:val="9"/>
    <w:rsid w:val="00D86D44"/>
    <w:rPr>
      <w:rFonts w:asciiTheme="majorHAnsi" w:eastAsiaTheme="majorEastAsia" w:hAnsiTheme="majorHAnsi" w:cstheme="majorBidi"/>
      <w:color w:val="323E4F" w:themeColor="text2" w:themeShade="BF"/>
    </w:rPr>
  </w:style>
  <w:style w:type="character" w:customStyle="1" w:styleId="Titre6Car">
    <w:name w:val="Titre 6 Car"/>
    <w:basedOn w:val="Policepardfaut"/>
    <w:link w:val="Titre6"/>
    <w:uiPriority w:val="9"/>
    <w:rsid w:val="00D86D44"/>
    <w:rPr>
      <w:rFonts w:asciiTheme="majorHAnsi" w:eastAsiaTheme="majorEastAsia" w:hAnsiTheme="majorHAnsi" w:cstheme="majorBidi"/>
      <w:i/>
      <w:iCs/>
      <w:color w:val="323E4F" w:themeColor="text2" w:themeShade="BF"/>
    </w:rPr>
  </w:style>
  <w:style w:type="character" w:customStyle="1" w:styleId="Titre7Car">
    <w:name w:val="Titre 7 Car"/>
    <w:basedOn w:val="Policepardfaut"/>
    <w:link w:val="Titre7"/>
    <w:uiPriority w:val="9"/>
    <w:semiHidden/>
    <w:rsid w:val="00D86D4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86D4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86D44"/>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623EB4"/>
    <w:pPr>
      <w:spacing w:before="120" w:after="240" w:line="240" w:lineRule="auto"/>
      <w:jc w:val="center"/>
    </w:pPr>
    <w:rPr>
      <w:i/>
      <w:iCs/>
      <w:szCs w:val="18"/>
    </w:rPr>
  </w:style>
  <w:style w:type="paragraph" w:styleId="Titre">
    <w:name w:val="Title"/>
    <w:basedOn w:val="Normal"/>
    <w:next w:val="Normal"/>
    <w:link w:val="TitreCar"/>
    <w:uiPriority w:val="10"/>
    <w:rsid w:val="00321791"/>
    <w:pPr>
      <w:spacing w:after="0" w:line="360" w:lineRule="auto"/>
      <w:jc w:val="right"/>
    </w:pPr>
    <w:rPr>
      <w:b/>
      <w:bCs/>
      <w:color w:val="4A89AA"/>
      <w:sz w:val="56"/>
      <w:szCs w:val="56"/>
    </w:rPr>
  </w:style>
  <w:style w:type="character" w:customStyle="1" w:styleId="TitreCar">
    <w:name w:val="Titre Car"/>
    <w:basedOn w:val="Policepardfaut"/>
    <w:link w:val="Titre"/>
    <w:uiPriority w:val="10"/>
    <w:rsid w:val="00321791"/>
    <w:rPr>
      <w:b/>
      <w:bCs/>
      <w:color w:val="4A89AA"/>
      <w:sz w:val="56"/>
      <w:szCs w:val="56"/>
    </w:rPr>
  </w:style>
  <w:style w:type="paragraph" w:styleId="Sous-titre">
    <w:name w:val="Subtitle"/>
    <w:basedOn w:val="Version"/>
    <w:next w:val="Normal"/>
    <w:link w:val="Sous-titreCar"/>
    <w:uiPriority w:val="11"/>
    <w:rsid w:val="00744FAB"/>
    <w:pPr>
      <w:spacing w:line="240" w:lineRule="auto"/>
    </w:pPr>
    <w:rPr>
      <w:sz w:val="48"/>
      <w:szCs w:val="48"/>
    </w:rPr>
  </w:style>
  <w:style w:type="character" w:customStyle="1" w:styleId="Sous-titreCar">
    <w:name w:val="Sous-titre Car"/>
    <w:basedOn w:val="Policepardfaut"/>
    <w:link w:val="Sous-titre"/>
    <w:uiPriority w:val="11"/>
    <w:rsid w:val="00744FAB"/>
    <w:rPr>
      <w:i/>
      <w:iCs/>
      <w:color w:val="4B5943"/>
      <w:sz w:val="48"/>
      <w:szCs w:val="48"/>
    </w:rPr>
  </w:style>
  <w:style w:type="character" w:styleId="lev">
    <w:name w:val="Strong"/>
    <w:basedOn w:val="Policepardfaut"/>
    <w:uiPriority w:val="22"/>
    <w:qFormat/>
    <w:rsid w:val="00D86D44"/>
    <w:rPr>
      <w:b/>
      <w:bCs/>
      <w:color w:val="000000" w:themeColor="text1"/>
    </w:rPr>
  </w:style>
  <w:style w:type="character" w:styleId="Accentuation">
    <w:name w:val="Emphasis"/>
    <w:basedOn w:val="Policepardfaut"/>
    <w:uiPriority w:val="20"/>
    <w:rsid w:val="00D86D44"/>
    <w:rPr>
      <w:i/>
      <w:iCs/>
      <w:color w:val="auto"/>
    </w:rPr>
  </w:style>
  <w:style w:type="paragraph" w:styleId="Sansinterligne">
    <w:name w:val="No Spacing"/>
    <w:uiPriority w:val="1"/>
    <w:rsid w:val="00D86D44"/>
    <w:pPr>
      <w:spacing w:after="0" w:line="240" w:lineRule="auto"/>
    </w:pPr>
  </w:style>
  <w:style w:type="paragraph" w:styleId="Citation">
    <w:name w:val="Quote"/>
    <w:basedOn w:val="Normal"/>
    <w:next w:val="Normal"/>
    <w:link w:val="CitationCar"/>
    <w:uiPriority w:val="29"/>
    <w:rsid w:val="00D86D44"/>
    <w:pPr>
      <w:spacing w:before="160"/>
      <w:ind w:left="720" w:right="720"/>
    </w:pPr>
    <w:rPr>
      <w:i/>
      <w:iCs/>
      <w:color w:val="000000" w:themeColor="text1"/>
    </w:rPr>
  </w:style>
  <w:style w:type="character" w:customStyle="1" w:styleId="CitationCar">
    <w:name w:val="Citation Car"/>
    <w:basedOn w:val="Policepardfaut"/>
    <w:link w:val="Citation"/>
    <w:uiPriority w:val="29"/>
    <w:rsid w:val="00D86D44"/>
    <w:rPr>
      <w:i/>
      <w:iCs/>
      <w:color w:val="000000" w:themeColor="text1"/>
    </w:rPr>
  </w:style>
  <w:style w:type="paragraph" w:styleId="Citationintense">
    <w:name w:val="Intense Quote"/>
    <w:basedOn w:val="Normal"/>
    <w:next w:val="Normal"/>
    <w:link w:val="CitationintenseCar"/>
    <w:uiPriority w:val="30"/>
    <w:rsid w:val="00D86D4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D86D44"/>
    <w:rPr>
      <w:color w:val="000000" w:themeColor="text1"/>
      <w:shd w:val="clear" w:color="auto" w:fill="F2F2F2" w:themeFill="background1" w:themeFillShade="F2"/>
    </w:rPr>
  </w:style>
  <w:style w:type="character" w:styleId="Accentuationlgre">
    <w:name w:val="Subtle Emphasis"/>
    <w:basedOn w:val="Policepardfaut"/>
    <w:uiPriority w:val="19"/>
    <w:rsid w:val="00D86D44"/>
    <w:rPr>
      <w:i/>
      <w:iCs/>
      <w:color w:val="404040" w:themeColor="text1" w:themeTint="BF"/>
    </w:rPr>
  </w:style>
  <w:style w:type="character" w:styleId="Accentuationintense">
    <w:name w:val="Intense Emphasis"/>
    <w:basedOn w:val="Policepardfaut"/>
    <w:uiPriority w:val="21"/>
    <w:rsid w:val="00D86D44"/>
    <w:rPr>
      <w:b/>
      <w:bCs/>
      <w:i/>
      <w:iCs/>
      <w:caps/>
    </w:rPr>
  </w:style>
  <w:style w:type="character" w:styleId="Rfrencelgre">
    <w:name w:val="Subtle Reference"/>
    <w:basedOn w:val="Policepardfaut"/>
    <w:uiPriority w:val="31"/>
    <w:rsid w:val="00D86D44"/>
    <w:rPr>
      <w:smallCaps/>
      <w:color w:val="404040" w:themeColor="text1" w:themeTint="BF"/>
      <w:u w:val="single" w:color="7F7F7F" w:themeColor="text1" w:themeTint="80"/>
    </w:rPr>
  </w:style>
  <w:style w:type="character" w:styleId="Rfrenceintense">
    <w:name w:val="Intense Reference"/>
    <w:basedOn w:val="Policepardfaut"/>
    <w:uiPriority w:val="32"/>
    <w:rsid w:val="00D86D44"/>
    <w:rPr>
      <w:b/>
      <w:bCs/>
      <w:smallCaps/>
      <w:u w:val="single"/>
    </w:rPr>
  </w:style>
  <w:style w:type="character" w:styleId="Titredulivre">
    <w:name w:val="Book Title"/>
    <w:basedOn w:val="Policepardfaut"/>
    <w:uiPriority w:val="33"/>
    <w:rsid w:val="00D86D44"/>
    <w:rPr>
      <w:b w:val="0"/>
      <w:bCs w:val="0"/>
      <w:smallCaps/>
      <w:spacing w:val="5"/>
    </w:rPr>
  </w:style>
  <w:style w:type="paragraph" w:styleId="En-ttedetabledesmatires">
    <w:name w:val="TOC Heading"/>
    <w:aliases w:val="SYNTHÈSE / REMERCIEMENTS / ÉDITO"/>
    <w:basedOn w:val="Titre1"/>
    <w:next w:val="Normal"/>
    <w:uiPriority w:val="39"/>
    <w:unhideWhenUsed/>
    <w:qFormat/>
    <w:rsid w:val="00A963C1"/>
    <w:pPr>
      <w:pageBreakBefore w:val="0"/>
      <w:numPr>
        <w:numId w:val="0"/>
      </w:num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FFFFFF" w:themeFill="background1"/>
      <w:outlineLvl w:val="9"/>
    </w:pPr>
    <w:rPr>
      <w:color w:val="155E48"/>
    </w:rPr>
  </w:style>
  <w:style w:type="paragraph" w:styleId="TM2">
    <w:name w:val="toc 2"/>
    <w:basedOn w:val="Normal"/>
    <w:next w:val="Normal"/>
    <w:autoRedefine/>
    <w:uiPriority w:val="39"/>
    <w:unhideWhenUsed/>
    <w:rsid w:val="004B1E23"/>
    <w:pPr>
      <w:tabs>
        <w:tab w:val="left" w:pos="567"/>
        <w:tab w:val="right" w:leader="dot" w:pos="9072"/>
      </w:tabs>
      <w:spacing w:after="100" w:line="240" w:lineRule="auto"/>
      <w:ind w:left="567" w:hanging="425"/>
      <w:jc w:val="left"/>
    </w:pPr>
    <w:rPr>
      <w:rFonts w:cs="Times New Roman"/>
      <w:noProof/>
      <w:lang w:eastAsia="fr-FR"/>
    </w:rPr>
  </w:style>
  <w:style w:type="paragraph" w:styleId="TM1">
    <w:name w:val="toc 1"/>
    <w:basedOn w:val="Normal"/>
    <w:next w:val="Normal"/>
    <w:autoRedefine/>
    <w:uiPriority w:val="39"/>
    <w:unhideWhenUsed/>
    <w:rsid w:val="00CF2255"/>
    <w:pPr>
      <w:keepNext/>
      <w:tabs>
        <w:tab w:val="right" w:leader="dot" w:pos="9072"/>
      </w:tabs>
      <w:spacing w:before="240" w:line="240" w:lineRule="auto"/>
      <w:ind w:left="238" w:hanging="238"/>
      <w:jc w:val="left"/>
    </w:pPr>
    <w:rPr>
      <w:rFonts w:eastAsia="SimSun"/>
      <w:b/>
      <w:caps/>
      <w:noProof/>
      <w:color w:val="4B5943"/>
      <w:lang w:val="en-US"/>
    </w:rPr>
  </w:style>
  <w:style w:type="paragraph" w:styleId="TM3">
    <w:name w:val="toc 3"/>
    <w:basedOn w:val="Normal"/>
    <w:next w:val="Normal"/>
    <w:autoRedefine/>
    <w:uiPriority w:val="39"/>
    <w:unhideWhenUsed/>
    <w:rsid w:val="004B1E23"/>
    <w:pPr>
      <w:tabs>
        <w:tab w:val="left" w:pos="851"/>
        <w:tab w:val="right" w:leader="dot" w:pos="9072"/>
      </w:tabs>
      <w:spacing w:after="100" w:line="240" w:lineRule="auto"/>
      <w:ind w:left="851" w:right="-2" w:hanging="553"/>
      <w:jc w:val="left"/>
    </w:pPr>
    <w:rPr>
      <w:rFonts w:cs="Times New Roman"/>
      <w:noProof/>
      <w:lang w:eastAsia="fr-FR"/>
    </w:rPr>
  </w:style>
  <w:style w:type="paragraph" w:customStyle="1" w:styleId="Version">
    <w:name w:val="Version"/>
    <w:basedOn w:val="Normal"/>
    <w:rsid w:val="00F86DF4"/>
    <w:pPr>
      <w:spacing w:after="0" w:line="360" w:lineRule="auto"/>
      <w:jc w:val="right"/>
    </w:pPr>
    <w:rPr>
      <w:i/>
      <w:iCs/>
      <w:color w:val="4B5943"/>
      <w:sz w:val="28"/>
      <w:szCs w:val="28"/>
    </w:rPr>
  </w:style>
  <w:style w:type="table" w:styleId="Grilledutableau">
    <w:name w:val="Table Grid"/>
    <w:basedOn w:val="TableauNormal"/>
    <w:uiPriority w:val="39"/>
    <w:rsid w:val="006A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Encart">
    <w:name w:val="Titre Encart"/>
    <w:basedOn w:val="Normal"/>
    <w:link w:val="TitreEncartCar"/>
    <w:qFormat/>
    <w:rsid w:val="00DA4697"/>
    <w:pPr>
      <w:keepNext/>
      <w:keepLines/>
      <w:pBdr>
        <w:top w:val="nil"/>
        <w:left w:val="nil"/>
        <w:bottom w:val="nil"/>
        <w:right w:val="nil"/>
        <w:between w:val="nil"/>
      </w:pBdr>
      <w:spacing w:before="120" w:after="240"/>
      <w:ind w:left="284" w:right="284"/>
      <w:jc w:val="center"/>
    </w:pPr>
    <w:rPr>
      <w:b/>
      <w:color w:val="4B5943"/>
    </w:rPr>
  </w:style>
  <w:style w:type="paragraph" w:styleId="Notedebasdepage">
    <w:name w:val="footnote text"/>
    <w:basedOn w:val="Normal"/>
    <w:link w:val="NotedebasdepageCar"/>
    <w:uiPriority w:val="99"/>
    <w:unhideWhenUsed/>
    <w:qFormat/>
    <w:rsid w:val="00941A5B"/>
    <w:pPr>
      <w:spacing w:after="60" w:line="240" w:lineRule="auto"/>
      <w:jc w:val="left"/>
    </w:pPr>
    <w:rPr>
      <w:sz w:val="16"/>
      <w:szCs w:val="20"/>
    </w:rPr>
  </w:style>
  <w:style w:type="character" w:customStyle="1" w:styleId="NotedebasdepageCar">
    <w:name w:val="Note de bas de page Car"/>
    <w:basedOn w:val="Policepardfaut"/>
    <w:link w:val="Notedebasdepage"/>
    <w:uiPriority w:val="99"/>
    <w:rsid w:val="00941A5B"/>
    <w:rPr>
      <w:color w:val="262626" w:themeColor="text1" w:themeTint="D9"/>
      <w:sz w:val="16"/>
      <w:szCs w:val="20"/>
    </w:rPr>
  </w:style>
  <w:style w:type="character" w:styleId="Appelnotedebasdep">
    <w:name w:val="footnote reference"/>
    <w:basedOn w:val="Policepardfaut"/>
    <w:uiPriority w:val="99"/>
    <w:semiHidden/>
    <w:unhideWhenUsed/>
    <w:rsid w:val="00782984"/>
    <w:rPr>
      <w:vertAlign w:val="superscript"/>
    </w:rPr>
  </w:style>
  <w:style w:type="character" w:styleId="Mentionnonrsolue">
    <w:name w:val="Unresolved Mention"/>
    <w:basedOn w:val="Policepardfaut"/>
    <w:uiPriority w:val="99"/>
    <w:semiHidden/>
    <w:unhideWhenUsed/>
    <w:rsid w:val="00914B3B"/>
    <w:rPr>
      <w:color w:val="605E5C"/>
      <w:shd w:val="clear" w:color="auto" w:fill="E1DFDD"/>
    </w:rPr>
  </w:style>
  <w:style w:type="paragraph" w:styleId="Listenumros">
    <w:name w:val="List Number"/>
    <w:basedOn w:val="Normal"/>
    <w:uiPriority w:val="99"/>
    <w:unhideWhenUsed/>
    <w:rsid w:val="00914B3B"/>
    <w:pPr>
      <w:numPr>
        <w:numId w:val="3"/>
      </w:numPr>
      <w:contextualSpacing/>
    </w:pPr>
    <w:rPr>
      <w:rFonts w:ascii="Calibri" w:eastAsia="Calibri" w:hAnsi="Calibri" w:cs="Calibri"/>
      <w:color w:val="171717" w:themeColor="background2" w:themeShade="1A"/>
      <w:lang w:val="en-GB" w:eastAsia="fr-FR"/>
    </w:rPr>
  </w:style>
  <w:style w:type="character" w:customStyle="1" w:styleId="ParagraphedelisteCar">
    <w:name w:val="Paragraphe de liste Car"/>
    <w:aliases w:val="Bullet List Car,FooterText Car,List Paragraph1 Car,numbered Car,Paragraphe de liste1 Car,Bulletr List Paragraph Car"/>
    <w:basedOn w:val="Policepardfaut"/>
    <w:link w:val="Paragraphedeliste"/>
    <w:uiPriority w:val="34"/>
    <w:rsid w:val="008B039E"/>
    <w:rPr>
      <w:color w:val="262626" w:themeColor="text1" w:themeTint="D9"/>
    </w:rPr>
  </w:style>
  <w:style w:type="paragraph" w:styleId="Listepuces2">
    <w:name w:val="List Bullet 2"/>
    <w:basedOn w:val="Normal"/>
    <w:uiPriority w:val="99"/>
    <w:unhideWhenUsed/>
    <w:rsid w:val="008B039E"/>
    <w:pPr>
      <w:numPr>
        <w:numId w:val="4"/>
      </w:numPr>
      <w:contextualSpacing/>
    </w:pPr>
    <w:rPr>
      <w:rFonts w:ascii="Calibri" w:eastAsia="Calibri" w:hAnsi="Calibri" w:cs="Calibri"/>
      <w:color w:val="171717" w:themeColor="background2" w:themeShade="1A"/>
      <w:lang w:eastAsia="fr-FR"/>
    </w:rPr>
  </w:style>
  <w:style w:type="paragraph" w:styleId="Listepuces3">
    <w:name w:val="List Bullet 3"/>
    <w:basedOn w:val="Normal"/>
    <w:uiPriority w:val="99"/>
    <w:unhideWhenUsed/>
    <w:rsid w:val="008B039E"/>
    <w:pPr>
      <w:numPr>
        <w:numId w:val="5"/>
      </w:numPr>
      <w:contextualSpacing/>
    </w:pPr>
    <w:rPr>
      <w:rFonts w:ascii="Calibri" w:eastAsia="Calibri" w:hAnsi="Calibri" w:cs="Calibri"/>
      <w:color w:val="171717" w:themeColor="background2" w:themeShade="1A"/>
      <w:lang w:eastAsia="fr-FR"/>
    </w:rPr>
  </w:style>
  <w:style w:type="paragraph" w:styleId="Listepuces">
    <w:name w:val="List Bullet"/>
    <w:basedOn w:val="Normal"/>
    <w:uiPriority w:val="99"/>
    <w:unhideWhenUsed/>
    <w:rsid w:val="008B039E"/>
    <w:pPr>
      <w:numPr>
        <w:numId w:val="6"/>
      </w:numPr>
      <w:contextualSpacing/>
    </w:pPr>
    <w:rPr>
      <w:rFonts w:ascii="Calibri" w:eastAsia="Calibri" w:hAnsi="Calibri" w:cs="Calibri"/>
      <w:color w:val="171717" w:themeColor="background2" w:themeShade="1A"/>
      <w:lang w:val="en-GB" w:eastAsia="fr-FR"/>
    </w:rPr>
  </w:style>
  <w:style w:type="character" w:styleId="Lienhypertextesuivivisit">
    <w:name w:val="FollowedHyperlink"/>
    <w:basedOn w:val="Policepardfaut"/>
    <w:uiPriority w:val="99"/>
    <w:semiHidden/>
    <w:unhideWhenUsed/>
    <w:rsid w:val="00AC417B"/>
    <w:rPr>
      <w:color w:val="954F72" w:themeColor="followedHyperlink"/>
      <w:u w:val="single"/>
    </w:rPr>
  </w:style>
  <w:style w:type="paragraph" w:styleId="TM4">
    <w:name w:val="toc 4"/>
    <w:basedOn w:val="Normal"/>
    <w:next w:val="Normal"/>
    <w:autoRedefine/>
    <w:uiPriority w:val="39"/>
    <w:unhideWhenUsed/>
    <w:rsid w:val="00DA4697"/>
    <w:pPr>
      <w:tabs>
        <w:tab w:val="left" w:pos="1540"/>
        <w:tab w:val="right" w:leader="dot" w:pos="9070"/>
      </w:tabs>
      <w:spacing w:after="100" w:line="240" w:lineRule="auto"/>
      <w:ind w:left="660"/>
      <w:jc w:val="left"/>
    </w:pPr>
    <w:rPr>
      <w:noProof/>
    </w:rPr>
  </w:style>
  <w:style w:type="paragraph" w:styleId="Listenumros2">
    <w:name w:val="List Number 2"/>
    <w:basedOn w:val="Normal"/>
    <w:uiPriority w:val="99"/>
    <w:unhideWhenUsed/>
    <w:rsid w:val="004502A1"/>
    <w:pPr>
      <w:numPr>
        <w:numId w:val="7"/>
      </w:numPr>
      <w:contextualSpacing/>
    </w:pPr>
  </w:style>
  <w:style w:type="paragraph" w:styleId="Listenumros3">
    <w:name w:val="List Number 3"/>
    <w:basedOn w:val="Normal"/>
    <w:uiPriority w:val="99"/>
    <w:unhideWhenUsed/>
    <w:rsid w:val="004502A1"/>
    <w:pPr>
      <w:numPr>
        <w:numId w:val="8"/>
      </w:numPr>
      <w:contextualSpacing/>
    </w:pPr>
  </w:style>
  <w:style w:type="paragraph" w:styleId="Listenumros4">
    <w:name w:val="List Number 4"/>
    <w:basedOn w:val="Normal"/>
    <w:uiPriority w:val="99"/>
    <w:unhideWhenUsed/>
    <w:rsid w:val="004502A1"/>
    <w:pPr>
      <w:numPr>
        <w:numId w:val="9"/>
      </w:numPr>
      <w:contextualSpacing/>
    </w:pPr>
  </w:style>
  <w:style w:type="paragraph" w:styleId="Listenumros5">
    <w:name w:val="List Number 5"/>
    <w:basedOn w:val="Normal"/>
    <w:uiPriority w:val="99"/>
    <w:unhideWhenUsed/>
    <w:rsid w:val="004502A1"/>
    <w:pPr>
      <w:numPr>
        <w:numId w:val="10"/>
      </w:numPr>
      <w:contextualSpacing/>
    </w:pPr>
  </w:style>
  <w:style w:type="paragraph" w:styleId="NormalWeb">
    <w:name w:val="Normal (Web)"/>
    <w:basedOn w:val="Normal"/>
    <w:uiPriority w:val="99"/>
    <w:unhideWhenUsed/>
    <w:rsid w:val="004111F2"/>
    <w:rPr>
      <w:rFonts w:ascii="Times New Roman" w:hAnsi="Times New Roman" w:cs="Times New Roman"/>
      <w:sz w:val="24"/>
      <w:szCs w:val="24"/>
    </w:rPr>
  </w:style>
  <w:style w:type="paragraph" w:styleId="Rvision">
    <w:name w:val="Revision"/>
    <w:hidden/>
    <w:uiPriority w:val="99"/>
    <w:semiHidden/>
    <w:rsid w:val="00B006A7"/>
    <w:pPr>
      <w:spacing w:after="0" w:line="240" w:lineRule="auto"/>
    </w:pPr>
    <w:rPr>
      <w:color w:val="262626" w:themeColor="text1" w:themeTint="D9"/>
    </w:rPr>
  </w:style>
  <w:style w:type="paragraph" w:customStyle="1" w:styleId="pf0">
    <w:name w:val="pf0"/>
    <w:basedOn w:val="Normal"/>
    <w:rsid w:val="00E732C2"/>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customStyle="1" w:styleId="cf01">
    <w:name w:val="cf01"/>
    <w:basedOn w:val="Policepardfaut"/>
    <w:rsid w:val="00E732C2"/>
    <w:rPr>
      <w:rFonts w:ascii="Segoe UI" w:hAnsi="Segoe UI" w:cs="Segoe UI" w:hint="default"/>
      <w:color w:val="262626"/>
      <w:sz w:val="18"/>
      <w:szCs w:val="18"/>
    </w:rPr>
  </w:style>
  <w:style w:type="paragraph" w:customStyle="1" w:styleId="retenir">
    <w:name w:val="à retenir"/>
    <w:basedOn w:val="TitreEncart"/>
    <w:link w:val="retenirCar"/>
    <w:qFormat/>
    <w:rsid w:val="004C7112"/>
    <w:pPr>
      <w:pBdr>
        <w:top w:val="single" w:sz="18" w:space="1" w:color="155E48"/>
        <w:left w:val="single" w:sz="18" w:space="4" w:color="155E48"/>
        <w:bottom w:val="single" w:sz="18" w:space="1" w:color="155E48"/>
        <w:right w:val="single" w:sz="18" w:space="4" w:color="155E48"/>
        <w:between w:val="none" w:sz="0" w:space="0" w:color="auto"/>
      </w:pBdr>
      <w:shd w:val="clear" w:color="219370" w:fill="155E48"/>
    </w:pPr>
    <w:rPr>
      <w:bCs/>
      <w:color w:val="FFFFFF" w:themeColor="background1"/>
    </w:rPr>
  </w:style>
  <w:style w:type="character" w:customStyle="1" w:styleId="TitreEncartCar">
    <w:name w:val="Titre Encart Car"/>
    <w:basedOn w:val="Policepardfaut"/>
    <w:link w:val="TitreEncart"/>
    <w:rsid w:val="004C7112"/>
    <w:rPr>
      <w:b/>
      <w:color w:val="4B5943"/>
    </w:rPr>
  </w:style>
  <w:style w:type="character" w:customStyle="1" w:styleId="retenirCar">
    <w:name w:val="à retenir Car"/>
    <w:basedOn w:val="TitreEncartCar"/>
    <w:link w:val="retenir"/>
    <w:rsid w:val="004C7112"/>
    <w:rPr>
      <w:b/>
      <w:bCs/>
      <w:color w:val="FFFFFF" w:themeColor="background1"/>
      <w:shd w:val="clear" w:color="219370" w:fill="155E48"/>
    </w:rPr>
  </w:style>
  <w:style w:type="paragraph" w:customStyle="1" w:styleId="TitreencartREX">
    <w:name w:val="Titre encart REX"/>
    <w:basedOn w:val="retenir"/>
    <w:link w:val="TitreencartREXCar"/>
    <w:qFormat/>
    <w:rsid w:val="00F25788"/>
  </w:style>
  <w:style w:type="character" w:customStyle="1" w:styleId="TitreencartREXCar">
    <w:name w:val="Titre encart REX Car"/>
    <w:basedOn w:val="retenirCar"/>
    <w:link w:val="TitreencartREX"/>
    <w:rsid w:val="00F25788"/>
    <w:rPr>
      <w:b/>
      <w:bCs/>
      <w:color w:val="FFFFFF" w:themeColor="background1"/>
      <w:shd w:val="clear" w:color="219370" w:fill="155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9924">
      <w:bodyDiv w:val="1"/>
      <w:marLeft w:val="0"/>
      <w:marRight w:val="0"/>
      <w:marTop w:val="0"/>
      <w:marBottom w:val="0"/>
      <w:divBdr>
        <w:top w:val="none" w:sz="0" w:space="0" w:color="auto"/>
        <w:left w:val="none" w:sz="0" w:space="0" w:color="auto"/>
        <w:bottom w:val="none" w:sz="0" w:space="0" w:color="auto"/>
        <w:right w:val="none" w:sz="0" w:space="0" w:color="auto"/>
      </w:divBdr>
      <w:divsChild>
        <w:div w:id="6173388">
          <w:marLeft w:val="0"/>
          <w:marRight w:val="0"/>
          <w:marTop w:val="0"/>
          <w:marBottom w:val="0"/>
          <w:divBdr>
            <w:top w:val="none" w:sz="0" w:space="0" w:color="auto"/>
            <w:left w:val="none" w:sz="0" w:space="0" w:color="auto"/>
            <w:bottom w:val="none" w:sz="0" w:space="0" w:color="auto"/>
            <w:right w:val="none" w:sz="0" w:space="0" w:color="auto"/>
          </w:divBdr>
        </w:div>
        <w:div w:id="11496321">
          <w:marLeft w:val="0"/>
          <w:marRight w:val="0"/>
          <w:marTop w:val="0"/>
          <w:marBottom w:val="0"/>
          <w:divBdr>
            <w:top w:val="none" w:sz="0" w:space="0" w:color="auto"/>
            <w:left w:val="none" w:sz="0" w:space="0" w:color="auto"/>
            <w:bottom w:val="none" w:sz="0" w:space="0" w:color="auto"/>
            <w:right w:val="none" w:sz="0" w:space="0" w:color="auto"/>
          </w:divBdr>
        </w:div>
        <w:div w:id="13775584">
          <w:marLeft w:val="0"/>
          <w:marRight w:val="0"/>
          <w:marTop w:val="0"/>
          <w:marBottom w:val="0"/>
          <w:divBdr>
            <w:top w:val="none" w:sz="0" w:space="0" w:color="auto"/>
            <w:left w:val="none" w:sz="0" w:space="0" w:color="auto"/>
            <w:bottom w:val="none" w:sz="0" w:space="0" w:color="auto"/>
            <w:right w:val="none" w:sz="0" w:space="0" w:color="auto"/>
          </w:divBdr>
        </w:div>
        <w:div w:id="27223663">
          <w:marLeft w:val="0"/>
          <w:marRight w:val="0"/>
          <w:marTop w:val="0"/>
          <w:marBottom w:val="0"/>
          <w:divBdr>
            <w:top w:val="none" w:sz="0" w:space="0" w:color="auto"/>
            <w:left w:val="none" w:sz="0" w:space="0" w:color="auto"/>
            <w:bottom w:val="none" w:sz="0" w:space="0" w:color="auto"/>
            <w:right w:val="none" w:sz="0" w:space="0" w:color="auto"/>
          </w:divBdr>
        </w:div>
        <w:div w:id="34543051">
          <w:marLeft w:val="0"/>
          <w:marRight w:val="0"/>
          <w:marTop w:val="0"/>
          <w:marBottom w:val="0"/>
          <w:divBdr>
            <w:top w:val="none" w:sz="0" w:space="0" w:color="auto"/>
            <w:left w:val="none" w:sz="0" w:space="0" w:color="auto"/>
            <w:bottom w:val="none" w:sz="0" w:space="0" w:color="auto"/>
            <w:right w:val="none" w:sz="0" w:space="0" w:color="auto"/>
          </w:divBdr>
        </w:div>
        <w:div w:id="45640127">
          <w:marLeft w:val="0"/>
          <w:marRight w:val="0"/>
          <w:marTop w:val="0"/>
          <w:marBottom w:val="0"/>
          <w:divBdr>
            <w:top w:val="none" w:sz="0" w:space="0" w:color="auto"/>
            <w:left w:val="none" w:sz="0" w:space="0" w:color="auto"/>
            <w:bottom w:val="none" w:sz="0" w:space="0" w:color="auto"/>
            <w:right w:val="none" w:sz="0" w:space="0" w:color="auto"/>
          </w:divBdr>
        </w:div>
        <w:div w:id="45757939">
          <w:marLeft w:val="0"/>
          <w:marRight w:val="0"/>
          <w:marTop w:val="0"/>
          <w:marBottom w:val="0"/>
          <w:divBdr>
            <w:top w:val="none" w:sz="0" w:space="0" w:color="auto"/>
            <w:left w:val="none" w:sz="0" w:space="0" w:color="auto"/>
            <w:bottom w:val="none" w:sz="0" w:space="0" w:color="auto"/>
            <w:right w:val="none" w:sz="0" w:space="0" w:color="auto"/>
          </w:divBdr>
        </w:div>
        <w:div w:id="47530970">
          <w:marLeft w:val="0"/>
          <w:marRight w:val="0"/>
          <w:marTop w:val="0"/>
          <w:marBottom w:val="0"/>
          <w:divBdr>
            <w:top w:val="none" w:sz="0" w:space="0" w:color="auto"/>
            <w:left w:val="none" w:sz="0" w:space="0" w:color="auto"/>
            <w:bottom w:val="none" w:sz="0" w:space="0" w:color="auto"/>
            <w:right w:val="none" w:sz="0" w:space="0" w:color="auto"/>
          </w:divBdr>
        </w:div>
        <w:div w:id="61174004">
          <w:marLeft w:val="0"/>
          <w:marRight w:val="0"/>
          <w:marTop w:val="0"/>
          <w:marBottom w:val="0"/>
          <w:divBdr>
            <w:top w:val="none" w:sz="0" w:space="0" w:color="auto"/>
            <w:left w:val="none" w:sz="0" w:space="0" w:color="auto"/>
            <w:bottom w:val="none" w:sz="0" w:space="0" w:color="auto"/>
            <w:right w:val="none" w:sz="0" w:space="0" w:color="auto"/>
          </w:divBdr>
        </w:div>
        <w:div w:id="69696310">
          <w:marLeft w:val="0"/>
          <w:marRight w:val="0"/>
          <w:marTop w:val="0"/>
          <w:marBottom w:val="0"/>
          <w:divBdr>
            <w:top w:val="none" w:sz="0" w:space="0" w:color="auto"/>
            <w:left w:val="none" w:sz="0" w:space="0" w:color="auto"/>
            <w:bottom w:val="none" w:sz="0" w:space="0" w:color="auto"/>
            <w:right w:val="none" w:sz="0" w:space="0" w:color="auto"/>
          </w:divBdr>
        </w:div>
        <w:div w:id="76369618">
          <w:marLeft w:val="0"/>
          <w:marRight w:val="0"/>
          <w:marTop w:val="0"/>
          <w:marBottom w:val="0"/>
          <w:divBdr>
            <w:top w:val="none" w:sz="0" w:space="0" w:color="auto"/>
            <w:left w:val="none" w:sz="0" w:space="0" w:color="auto"/>
            <w:bottom w:val="none" w:sz="0" w:space="0" w:color="auto"/>
            <w:right w:val="none" w:sz="0" w:space="0" w:color="auto"/>
          </w:divBdr>
        </w:div>
        <w:div w:id="99229652">
          <w:marLeft w:val="0"/>
          <w:marRight w:val="0"/>
          <w:marTop w:val="0"/>
          <w:marBottom w:val="0"/>
          <w:divBdr>
            <w:top w:val="none" w:sz="0" w:space="0" w:color="auto"/>
            <w:left w:val="none" w:sz="0" w:space="0" w:color="auto"/>
            <w:bottom w:val="none" w:sz="0" w:space="0" w:color="auto"/>
            <w:right w:val="none" w:sz="0" w:space="0" w:color="auto"/>
          </w:divBdr>
        </w:div>
        <w:div w:id="126238067">
          <w:marLeft w:val="0"/>
          <w:marRight w:val="0"/>
          <w:marTop w:val="0"/>
          <w:marBottom w:val="0"/>
          <w:divBdr>
            <w:top w:val="none" w:sz="0" w:space="0" w:color="auto"/>
            <w:left w:val="none" w:sz="0" w:space="0" w:color="auto"/>
            <w:bottom w:val="none" w:sz="0" w:space="0" w:color="auto"/>
            <w:right w:val="none" w:sz="0" w:space="0" w:color="auto"/>
          </w:divBdr>
        </w:div>
        <w:div w:id="141508425">
          <w:marLeft w:val="0"/>
          <w:marRight w:val="0"/>
          <w:marTop w:val="0"/>
          <w:marBottom w:val="0"/>
          <w:divBdr>
            <w:top w:val="none" w:sz="0" w:space="0" w:color="auto"/>
            <w:left w:val="none" w:sz="0" w:space="0" w:color="auto"/>
            <w:bottom w:val="none" w:sz="0" w:space="0" w:color="auto"/>
            <w:right w:val="none" w:sz="0" w:space="0" w:color="auto"/>
          </w:divBdr>
        </w:div>
        <w:div w:id="148638493">
          <w:marLeft w:val="0"/>
          <w:marRight w:val="0"/>
          <w:marTop w:val="0"/>
          <w:marBottom w:val="0"/>
          <w:divBdr>
            <w:top w:val="none" w:sz="0" w:space="0" w:color="auto"/>
            <w:left w:val="none" w:sz="0" w:space="0" w:color="auto"/>
            <w:bottom w:val="none" w:sz="0" w:space="0" w:color="auto"/>
            <w:right w:val="none" w:sz="0" w:space="0" w:color="auto"/>
          </w:divBdr>
        </w:div>
        <w:div w:id="151600810">
          <w:marLeft w:val="0"/>
          <w:marRight w:val="0"/>
          <w:marTop w:val="0"/>
          <w:marBottom w:val="0"/>
          <w:divBdr>
            <w:top w:val="none" w:sz="0" w:space="0" w:color="auto"/>
            <w:left w:val="none" w:sz="0" w:space="0" w:color="auto"/>
            <w:bottom w:val="none" w:sz="0" w:space="0" w:color="auto"/>
            <w:right w:val="none" w:sz="0" w:space="0" w:color="auto"/>
          </w:divBdr>
        </w:div>
        <w:div w:id="155998989">
          <w:marLeft w:val="0"/>
          <w:marRight w:val="0"/>
          <w:marTop w:val="0"/>
          <w:marBottom w:val="0"/>
          <w:divBdr>
            <w:top w:val="none" w:sz="0" w:space="0" w:color="auto"/>
            <w:left w:val="none" w:sz="0" w:space="0" w:color="auto"/>
            <w:bottom w:val="none" w:sz="0" w:space="0" w:color="auto"/>
            <w:right w:val="none" w:sz="0" w:space="0" w:color="auto"/>
          </w:divBdr>
        </w:div>
        <w:div w:id="158011311">
          <w:marLeft w:val="0"/>
          <w:marRight w:val="0"/>
          <w:marTop w:val="0"/>
          <w:marBottom w:val="0"/>
          <w:divBdr>
            <w:top w:val="none" w:sz="0" w:space="0" w:color="auto"/>
            <w:left w:val="none" w:sz="0" w:space="0" w:color="auto"/>
            <w:bottom w:val="none" w:sz="0" w:space="0" w:color="auto"/>
            <w:right w:val="none" w:sz="0" w:space="0" w:color="auto"/>
          </w:divBdr>
        </w:div>
        <w:div w:id="165941132">
          <w:marLeft w:val="0"/>
          <w:marRight w:val="0"/>
          <w:marTop w:val="0"/>
          <w:marBottom w:val="0"/>
          <w:divBdr>
            <w:top w:val="none" w:sz="0" w:space="0" w:color="auto"/>
            <w:left w:val="none" w:sz="0" w:space="0" w:color="auto"/>
            <w:bottom w:val="none" w:sz="0" w:space="0" w:color="auto"/>
            <w:right w:val="none" w:sz="0" w:space="0" w:color="auto"/>
          </w:divBdr>
        </w:div>
        <w:div w:id="167908739">
          <w:marLeft w:val="0"/>
          <w:marRight w:val="0"/>
          <w:marTop w:val="0"/>
          <w:marBottom w:val="0"/>
          <w:divBdr>
            <w:top w:val="none" w:sz="0" w:space="0" w:color="auto"/>
            <w:left w:val="none" w:sz="0" w:space="0" w:color="auto"/>
            <w:bottom w:val="none" w:sz="0" w:space="0" w:color="auto"/>
            <w:right w:val="none" w:sz="0" w:space="0" w:color="auto"/>
          </w:divBdr>
        </w:div>
        <w:div w:id="177550802">
          <w:marLeft w:val="0"/>
          <w:marRight w:val="0"/>
          <w:marTop w:val="0"/>
          <w:marBottom w:val="0"/>
          <w:divBdr>
            <w:top w:val="none" w:sz="0" w:space="0" w:color="auto"/>
            <w:left w:val="none" w:sz="0" w:space="0" w:color="auto"/>
            <w:bottom w:val="none" w:sz="0" w:space="0" w:color="auto"/>
            <w:right w:val="none" w:sz="0" w:space="0" w:color="auto"/>
          </w:divBdr>
        </w:div>
        <w:div w:id="187178432">
          <w:marLeft w:val="0"/>
          <w:marRight w:val="0"/>
          <w:marTop w:val="0"/>
          <w:marBottom w:val="0"/>
          <w:divBdr>
            <w:top w:val="none" w:sz="0" w:space="0" w:color="auto"/>
            <w:left w:val="none" w:sz="0" w:space="0" w:color="auto"/>
            <w:bottom w:val="none" w:sz="0" w:space="0" w:color="auto"/>
            <w:right w:val="none" w:sz="0" w:space="0" w:color="auto"/>
          </w:divBdr>
        </w:div>
        <w:div w:id="188180149">
          <w:marLeft w:val="0"/>
          <w:marRight w:val="0"/>
          <w:marTop w:val="0"/>
          <w:marBottom w:val="0"/>
          <w:divBdr>
            <w:top w:val="none" w:sz="0" w:space="0" w:color="auto"/>
            <w:left w:val="none" w:sz="0" w:space="0" w:color="auto"/>
            <w:bottom w:val="none" w:sz="0" w:space="0" w:color="auto"/>
            <w:right w:val="none" w:sz="0" w:space="0" w:color="auto"/>
          </w:divBdr>
        </w:div>
        <w:div w:id="191191212">
          <w:marLeft w:val="0"/>
          <w:marRight w:val="0"/>
          <w:marTop w:val="0"/>
          <w:marBottom w:val="0"/>
          <w:divBdr>
            <w:top w:val="none" w:sz="0" w:space="0" w:color="auto"/>
            <w:left w:val="none" w:sz="0" w:space="0" w:color="auto"/>
            <w:bottom w:val="none" w:sz="0" w:space="0" w:color="auto"/>
            <w:right w:val="none" w:sz="0" w:space="0" w:color="auto"/>
          </w:divBdr>
        </w:div>
        <w:div w:id="192772683">
          <w:marLeft w:val="0"/>
          <w:marRight w:val="0"/>
          <w:marTop w:val="0"/>
          <w:marBottom w:val="0"/>
          <w:divBdr>
            <w:top w:val="none" w:sz="0" w:space="0" w:color="auto"/>
            <w:left w:val="none" w:sz="0" w:space="0" w:color="auto"/>
            <w:bottom w:val="none" w:sz="0" w:space="0" w:color="auto"/>
            <w:right w:val="none" w:sz="0" w:space="0" w:color="auto"/>
          </w:divBdr>
        </w:div>
        <w:div w:id="194273535">
          <w:marLeft w:val="0"/>
          <w:marRight w:val="0"/>
          <w:marTop w:val="0"/>
          <w:marBottom w:val="0"/>
          <w:divBdr>
            <w:top w:val="none" w:sz="0" w:space="0" w:color="auto"/>
            <w:left w:val="none" w:sz="0" w:space="0" w:color="auto"/>
            <w:bottom w:val="none" w:sz="0" w:space="0" w:color="auto"/>
            <w:right w:val="none" w:sz="0" w:space="0" w:color="auto"/>
          </w:divBdr>
        </w:div>
        <w:div w:id="207382880">
          <w:marLeft w:val="0"/>
          <w:marRight w:val="0"/>
          <w:marTop w:val="0"/>
          <w:marBottom w:val="0"/>
          <w:divBdr>
            <w:top w:val="none" w:sz="0" w:space="0" w:color="auto"/>
            <w:left w:val="none" w:sz="0" w:space="0" w:color="auto"/>
            <w:bottom w:val="none" w:sz="0" w:space="0" w:color="auto"/>
            <w:right w:val="none" w:sz="0" w:space="0" w:color="auto"/>
          </w:divBdr>
        </w:div>
        <w:div w:id="210776171">
          <w:marLeft w:val="0"/>
          <w:marRight w:val="0"/>
          <w:marTop w:val="0"/>
          <w:marBottom w:val="0"/>
          <w:divBdr>
            <w:top w:val="none" w:sz="0" w:space="0" w:color="auto"/>
            <w:left w:val="none" w:sz="0" w:space="0" w:color="auto"/>
            <w:bottom w:val="none" w:sz="0" w:space="0" w:color="auto"/>
            <w:right w:val="none" w:sz="0" w:space="0" w:color="auto"/>
          </w:divBdr>
        </w:div>
        <w:div w:id="215556224">
          <w:marLeft w:val="0"/>
          <w:marRight w:val="0"/>
          <w:marTop w:val="0"/>
          <w:marBottom w:val="0"/>
          <w:divBdr>
            <w:top w:val="none" w:sz="0" w:space="0" w:color="auto"/>
            <w:left w:val="none" w:sz="0" w:space="0" w:color="auto"/>
            <w:bottom w:val="none" w:sz="0" w:space="0" w:color="auto"/>
            <w:right w:val="none" w:sz="0" w:space="0" w:color="auto"/>
          </w:divBdr>
        </w:div>
        <w:div w:id="224683860">
          <w:marLeft w:val="0"/>
          <w:marRight w:val="0"/>
          <w:marTop w:val="0"/>
          <w:marBottom w:val="0"/>
          <w:divBdr>
            <w:top w:val="none" w:sz="0" w:space="0" w:color="auto"/>
            <w:left w:val="none" w:sz="0" w:space="0" w:color="auto"/>
            <w:bottom w:val="none" w:sz="0" w:space="0" w:color="auto"/>
            <w:right w:val="none" w:sz="0" w:space="0" w:color="auto"/>
          </w:divBdr>
        </w:div>
        <w:div w:id="233971974">
          <w:marLeft w:val="0"/>
          <w:marRight w:val="0"/>
          <w:marTop w:val="0"/>
          <w:marBottom w:val="0"/>
          <w:divBdr>
            <w:top w:val="none" w:sz="0" w:space="0" w:color="auto"/>
            <w:left w:val="none" w:sz="0" w:space="0" w:color="auto"/>
            <w:bottom w:val="none" w:sz="0" w:space="0" w:color="auto"/>
            <w:right w:val="none" w:sz="0" w:space="0" w:color="auto"/>
          </w:divBdr>
        </w:div>
        <w:div w:id="236936898">
          <w:marLeft w:val="0"/>
          <w:marRight w:val="0"/>
          <w:marTop w:val="0"/>
          <w:marBottom w:val="0"/>
          <w:divBdr>
            <w:top w:val="none" w:sz="0" w:space="0" w:color="auto"/>
            <w:left w:val="none" w:sz="0" w:space="0" w:color="auto"/>
            <w:bottom w:val="none" w:sz="0" w:space="0" w:color="auto"/>
            <w:right w:val="none" w:sz="0" w:space="0" w:color="auto"/>
          </w:divBdr>
        </w:div>
        <w:div w:id="247930834">
          <w:marLeft w:val="0"/>
          <w:marRight w:val="0"/>
          <w:marTop w:val="0"/>
          <w:marBottom w:val="0"/>
          <w:divBdr>
            <w:top w:val="none" w:sz="0" w:space="0" w:color="auto"/>
            <w:left w:val="none" w:sz="0" w:space="0" w:color="auto"/>
            <w:bottom w:val="none" w:sz="0" w:space="0" w:color="auto"/>
            <w:right w:val="none" w:sz="0" w:space="0" w:color="auto"/>
          </w:divBdr>
        </w:div>
        <w:div w:id="262080555">
          <w:marLeft w:val="0"/>
          <w:marRight w:val="0"/>
          <w:marTop w:val="0"/>
          <w:marBottom w:val="0"/>
          <w:divBdr>
            <w:top w:val="none" w:sz="0" w:space="0" w:color="auto"/>
            <w:left w:val="none" w:sz="0" w:space="0" w:color="auto"/>
            <w:bottom w:val="none" w:sz="0" w:space="0" w:color="auto"/>
            <w:right w:val="none" w:sz="0" w:space="0" w:color="auto"/>
          </w:divBdr>
        </w:div>
        <w:div w:id="265431103">
          <w:marLeft w:val="0"/>
          <w:marRight w:val="0"/>
          <w:marTop w:val="0"/>
          <w:marBottom w:val="0"/>
          <w:divBdr>
            <w:top w:val="none" w:sz="0" w:space="0" w:color="auto"/>
            <w:left w:val="none" w:sz="0" w:space="0" w:color="auto"/>
            <w:bottom w:val="none" w:sz="0" w:space="0" w:color="auto"/>
            <w:right w:val="none" w:sz="0" w:space="0" w:color="auto"/>
          </w:divBdr>
        </w:div>
        <w:div w:id="301352417">
          <w:marLeft w:val="0"/>
          <w:marRight w:val="0"/>
          <w:marTop w:val="0"/>
          <w:marBottom w:val="0"/>
          <w:divBdr>
            <w:top w:val="none" w:sz="0" w:space="0" w:color="auto"/>
            <w:left w:val="none" w:sz="0" w:space="0" w:color="auto"/>
            <w:bottom w:val="none" w:sz="0" w:space="0" w:color="auto"/>
            <w:right w:val="none" w:sz="0" w:space="0" w:color="auto"/>
          </w:divBdr>
        </w:div>
        <w:div w:id="348144283">
          <w:marLeft w:val="0"/>
          <w:marRight w:val="0"/>
          <w:marTop w:val="0"/>
          <w:marBottom w:val="0"/>
          <w:divBdr>
            <w:top w:val="none" w:sz="0" w:space="0" w:color="auto"/>
            <w:left w:val="none" w:sz="0" w:space="0" w:color="auto"/>
            <w:bottom w:val="none" w:sz="0" w:space="0" w:color="auto"/>
            <w:right w:val="none" w:sz="0" w:space="0" w:color="auto"/>
          </w:divBdr>
        </w:div>
        <w:div w:id="349992861">
          <w:marLeft w:val="0"/>
          <w:marRight w:val="0"/>
          <w:marTop w:val="0"/>
          <w:marBottom w:val="0"/>
          <w:divBdr>
            <w:top w:val="none" w:sz="0" w:space="0" w:color="auto"/>
            <w:left w:val="none" w:sz="0" w:space="0" w:color="auto"/>
            <w:bottom w:val="none" w:sz="0" w:space="0" w:color="auto"/>
            <w:right w:val="none" w:sz="0" w:space="0" w:color="auto"/>
          </w:divBdr>
        </w:div>
        <w:div w:id="354767328">
          <w:marLeft w:val="0"/>
          <w:marRight w:val="0"/>
          <w:marTop w:val="0"/>
          <w:marBottom w:val="0"/>
          <w:divBdr>
            <w:top w:val="none" w:sz="0" w:space="0" w:color="auto"/>
            <w:left w:val="none" w:sz="0" w:space="0" w:color="auto"/>
            <w:bottom w:val="none" w:sz="0" w:space="0" w:color="auto"/>
            <w:right w:val="none" w:sz="0" w:space="0" w:color="auto"/>
          </w:divBdr>
        </w:div>
        <w:div w:id="403452827">
          <w:marLeft w:val="0"/>
          <w:marRight w:val="0"/>
          <w:marTop w:val="0"/>
          <w:marBottom w:val="0"/>
          <w:divBdr>
            <w:top w:val="none" w:sz="0" w:space="0" w:color="auto"/>
            <w:left w:val="none" w:sz="0" w:space="0" w:color="auto"/>
            <w:bottom w:val="none" w:sz="0" w:space="0" w:color="auto"/>
            <w:right w:val="none" w:sz="0" w:space="0" w:color="auto"/>
          </w:divBdr>
        </w:div>
        <w:div w:id="412748395">
          <w:marLeft w:val="0"/>
          <w:marRight w:val="0"/>
          <w:marTop w:val="0"/>
          <w:marBottom w:val="0"/>
          <w:divBdr>
            <w:top w:val="none" w:sz="0" w:space="0" w:color="auto"/>
            <w:left w:val="none" w:sz="0" w:space="0" w:color="auto"/>
            <w:bottom w:val="none" w:sz="0" w:space="0" w:color="auto"/>
            <w:right w:val="none" w:sz="0" w:space="0" w:color="auto"/>
          </w:divBdr>
        </w:div>
        <w:div w:id="426584801">
          <w:marLeft w:val="0"/>
          <w:marRight w:val="0"/>
          <w:marTop w:val="0"/>
          <w:marBottom w:val="0"/>
          <w:divBdr>
            <w:top w:val="none" w:sz="0" w:space="0" w:color="auto"/>
            <w:left w:val="none" w:sz="0" w:space="0" w:color="auto"/>
            <w:bottom w:val="none" w:sz="0" w:space="0" w:color="auto"/>
            <w:right w:val="none" w:sz="0" w:space="0" w:color="auto"/>
          </w:divBdr>
        </w:div>
        <w:div w:id="442462995">
          <w:marLeft w:val="0"/>
          <w:marRight w:val="0"/>
          <w:marTop w:val="0"/>
          <w:marBottom w:val="0"/>
          <w:divBdr>
            <w:top w:val="none" w:sz="0" w:space="0" w:color="auto"/>
            <w:left w:val="none" w:sz="0" w:space="0" w:color="auto"/>
            <w:bottom w:val="none" w:sz="0" w:space="0" w:color="auto"/>
            <w:right w:val="none" w:sz="0" w:space="0" w:color="auto"/>
          </w:divBdr>
        </w:div>
        <w:div w:id="457384139">
          <w:marLeft w:val="0"/>
          <w:marRight w:val="0"/>
          <w:marTop w:val="0"/>
          <w:marBottom w:val="0"/>
          <w:divBdr>
            <w:top w:val="none" w:sz="0" w:space="0" w:color="auto"/>
            <w:left w:val="none" w:sz="0" w:space="0" w:color="auto"/>
            <w:bottom w:val="none" w:sz="0" w:space="0" w:color="auto"/>
            <w:right w:val="none" w:sz="0" w:space="0" w:color="auto"/>
          </w:divBdr>
        </w:div>
        <w:div w:id="459616004">
          <w:marLeft w:val="0"/>
          <w:marRight w:val="0"/>
          <w:marTop w:val="0"/>
          <w:marBottom w:val="0"/>
          <w:divBdr>
            <w:top w:val="none" w:sz="0" w:space="0" w:color="auto"/>
            <w:left w:val="none" w:sz="0" w:space="0" w:color="auto"/>
            <w:bottom w:val="none" w:sz="0" w:space="0" w:color="auto"/>
            <w:right w:val="none" w:sz="0" w:space="0" w:color="auto"/>
          </w:divBdr>
        </w:div>
        <w:div w:id="465856068">
          <w:marLeft w:val="0"/>
          <w:marRight w:val="0"/>
          <w:marTop w:val="0"/>
          <w:marBottom w:val="0"/>
          <w:divBdr>
            <w:top w:val="none" w:sz="0" w:space="0" w:color="auto"/>
            <w:left w:val="none" w:sz="0" w:space="0" w:color="auto"/>
            <w:bottom w:val="none" w:sz="0" w:space="0" w:color="auto"/>
            <w:right w:val="none" w:sz="0" w:space="0" w:color="auto"/>
          </w:divBdr>
        </w:div>
        <w:div w:id="487988286">
          <w:marLeft w:val="0"/>
          <w:marRight w:val="0"/>
          <w:marTop w:val="0"/>
          <w:marBottom w:val="0"/>
          <w:divBdr>
            <w:top w:val="none" w:sz="0" w:space="0" w:color="auto"/>
            <w:left w:val="none" w:sz="0" w:space="0" w:color="auto"/>
            <w:bottom w:val="none" w:sz="0" w:space="0" w:color="auto"/>
            <w:right w:val="none" w:sz="0" w:space="0" w:color="auto"/>
          </w:divBdr>
        </w:div>
        <w:div w:id="488519065">
          <w:marLeft w:val="0"/>
          <w:marRight w:val="0"/>
          <w:marTop w:val="0"/>
          <w:marBottom w:val="0"/>
          <w:divBdr>
            <w:top w:val="none" w:sz="0" w:space="0" w:color="auto"/>
            <w:left w:val="none" w:sz="0" w:space="0" w:color="auto"/>
            <w:bottom w:val="none" w:sz="0" w:space="0" w:color="auto"/>
            <w:right w:val="none" w:sz="0" w:space="0" w:color="auto"/>
          </w:divBdr>
        </w:div>
        <w:div w:id="498540050">
          <w:marLeft w:val="0"/>
          <w:marRight w:val="0"/>
          <w:marTop w:val="0"/>
          <w:marBottom w:val="0"/>
          <w:divBdr>
            <w:top w:val="none" w:sz="0" w:space="0" w:color="auto"/>
            <w:left w:val="none" w:sz="0" w:space="0" w:color="auto"/>
            <w:bottom w:val="none" w:sz="0" w:space="0" w:color="auto"/>
            <w:right w:val="none" w:sz="0" w:space="0" w:color="auto"/>
          </w:divBdr>
        </w:div>
        <w:div w:id="501552497">
          <w:marLeft w:val="0"/>
          <w:marRight w:val="0"/>
          <w:marTop w:val="0"/>
          <w:marBottom w:val="0"/>
          <w:divBdr>
            <w:top w:val="none" w:sz="0" w:space="0" w:color="auto"/>
            <w:left w:val="none" w:sz="0" w:space="0" w:color="auto"/>
            <w:bottom w:val="none" w:sz="0" w:space="0" w:color="auto"/>
            <w:right w:val="none" w:sz="0" w:space="0" w:color="auto"/>
          </w:divBdr>
        </w:div>
        <w:div w:id="506137854">
          <w:marLeft w:val="0"/>
          <w:marRight w:val="0"/>
          <w:marTop w:val="0"/>
          <w:marBottom w:val="0"/>
          <w:divBdr>
            <w:top w:val="none" w:sz="0" w:space="0" w:color="auto"/>
            <w:left w:val="none" w:sz="0" w:space="0" w:color="auto"/>
            <w:bottom w:val="none" w:sz="0" w:space="0" w:color="auto"/>
            <w:right w:val="none" w:sz="0" w:space="0" w:color="auto"/>
          </w:divBdr>
        </w:div>
        <w:div w:id="506212880">
          <w:marLeft w:val="0"/>
          <w:marRight w:val="0"/>
          <w:marTop w:val="0"/>
          <w:marBottom w:val="0"/>
          <w:divBdr>
            <w:top w:val="none" w:sz="0" w:space="0" w:color="auto"/>
            <w:left w:val="none" w:sz="0" w:space="0" w:color="auto"/>
            <w:bottom w:val="none" w:sz="0" w:space="0" w:color="auto"/>
            <w:right w:val="none" w:sz="0" w:space="0" w:color="auto"/>
          </w:divBdr>
        </w:div>
        <w:div w:id="522477707">
          <w:marLeft w:val="0"/>
          <w:marRight w:val="0"/>
          <w:marTop w:val="0"/>
          <w:marBottom w:val="0"/>
          <w:divBdr>
            <w:top w:val="none" w:sz="0" w:space="0" w:color="auto"/>
            <w:left w:val="none" w:sz="0" w:space="0" w:color="auto"/>
            <w:bottom w:val="none" w:sz="0" w:space="0" w:color="auto"/>
            <w:right w:val="none" w:sz="0" w:space="0" w:color="auto"/>
          </w:divBdr>
        </w:div>
        <w:div w:id="523707988">
          <w:marLeft w:val="0"/>
          <w:marRight w:val="0"/>
          <w:marTop w:val="0"/>
          <w:marBottom w:val="0"/>
          <w:divBdr>
            <w:top w:val="none" w:sz="0" w:space="0" w:color="auto"/>
            <w:left w:val="none" w:sz="0" w:space="0" w:color="auto"/>
            <w:bottom w:val="none" w:sz="0" w:space="0" w:color="auto"/>
            <w:right w:val="none" w:sz="0" w:space="0" w:color="auto"/>
          </w:divBdr>
        </w:div>
        <w:div w:id="527107403">
          <w:marLeft w:val="0"/>
          <w:marRight w:val="0"/>
          <w:marTop w:val="0"/>
          <w:marBottom w:val="0"/>
          <w:divBdr>
            <w:top w:val="none" w:sz="0" w:space="0" w:color="auto"/>
            <w:left w:val="none" w:sz="0" w:space="0" w:color="auto"/>
            <w:bottom w:val="none" w:sz="0" w:space="0" w:color="auto"/>
            <w:right w:val="none" w:sz="0" w:space="0" w:color="auto"/>
          </w:divBdr>
        </w:div>
        <w:div w:id="549145961">
          <w:marLeft w:val="0"/>
          <w:marRight w:val="0"/>
          <w:marTop w:val="0"/>
          <w:marBottom w:val="0"/>
          <w:divBdr>
            <w:top w:val="none" w:sz="0" w:space="0" w:color="auto"/>
            <w:left w:val="none" w:sz="0" w:space="0" w:color="auto"/>
            <w:bottom w:val="none" w:sz="0" w:space="0" w:color="auto"/>
            <w:right w:val="none" w:sz="0" w:space="0" w:color="auto"/>
          </w:divBdr>
        </w:div>
        <w:div w:id="566843561">
          <w:marLeft w:val="0"/>
          <w:marRight w:val="0"/>
          <w:marTop w:val="0"/>
          <w:marBottom w:val="0"/>
          <w:divBdr>
            <w:top w:val="none" w:sz="0" w:space="0" w:color="auto"/>
            <w:left w:val="none" w:sz="0" w:space="0" w:color="auto"/>
            <w:bottom w:val="none" w:sz="0" w:space="0" w:color="auto"/>
            <w:right w:val="none" w:sz="0" w:space="0" w:color="auto"/>
          </w:divBdr>
        </w:div>
        <w:div w:id="581915835">
          <w:marLeft w:val="0"/>
          <w:marRight w:val="0"/>
          <w:marTop w:val="0"/>
          <w:marBottom w:val="0"/>
          <w:divBdr>
            <w:top w:val="none" w:sz="0" w:space="0" w:color="auto"/>
            <w:left w:val="none" w:sz="0" w:space="0" w:color="auto"/>
            <w:bottom w:val="none" w:sz="0" w:space="0" w:color="auto"/>
            <w:right w:val="none" w:sz="0" w:space="0" w:color="auto"/>
          </w:divBdr>
        </w:div>
        <w:div w:id="612130863">
          <w:marLeft w:val="0"/>
          <w:marRight w:val="0"/>
          <w:marTop w:val="0"/>
          <w:marBottom w:val="0"/>
          <w:divBdr>
            <w:top w:val="none" w:sz="0" w:space="0" w:color="auto"/>
            <w:left w:val="none" w:sz="0" w:space="0" w:color="auto"/>
            <w:bottom w:val="none" w:sz="0" w:space="0" w:color="auto"/>
            <w:right w:val="none" w:sz="0" w:space="0" w:color="auto"/>
          </w:divBdr>
        </w:div>
        <w:div w:id="622615205">
          <w:marLeft w:val="0"/>
          <w:marRight w:val="0"/>
          <w:marTop w:val="0"/>
          <w:marBottom w:val="0"/>
          <w:divBdr>
            <w:top w:val="none" w:sz="0" w:space="0" w:color="auto"/>
            <w:left w:val="none" w:sz="0" w:space="0" w:color="auto"/>
            <w:bottom w:val="none" w:sz="0" w:space="0" w:color="auto"/>
            <w:right w:val="none" w:sz="0" w:space="0" w:color="auto"/>
          </w:divBdr>
        </w:div>
        <w:div w:id="634218476">
          <w:marLeft w:val="0"/>
          <w:marRight w:val="0"/>
          <w:marTop w:val="0"/>
          <w:marBottom w:val="0"/>
          <w:divBdr>
            <w:top w:val="none" w:sz="0" w:space="0" w:color="auto"/>
            <w:left w:val="none" w:sz="0" w:space="0" w:color="auto"/>
            <w:bottom w:val="none" w:sz="0" w:space="0" w:color="auto"/>
            <w:right w:val="none" w:sz="0" w:space="0" w:color="auto"/>
          </w:divBdr>
        </w:div>
        <w:div w:id="636687371">
          <w:marLeft w:val="0"/>
          <w:marRight w:val="0"/>
          <w:marTop w:val="0"/>
          <w:marBottom w:val="0"/>
          <w:divBdr>
            <w:top w:val="none" w:sz="0" w:space="0" w:color="auto"/>
            <w:left w:val="none" w:sz="0" w:space="0" w:color="auto"/>
            <w:bottom w:val="none" w:sz="0" w:space="0" w:color="auto"/>
            <w:right w:val="none" w:sz="0" w:space="0" w:color="auto"/>
          </w:divBdr>
        </w:div>
        <w:div w:id="640427027">
          <w:marLeft w:val="0"/>
          <w:marRight w:val="0"/>
          <w:marTop w:val="0"/>
          <w:marBottom w:val="0"/>
          <w:divBdr>
            <w:top w:val="none" w:sz="0" w:space="0" w:color="auto"/>
            <w:left w:val="none" w:sz="0" w:space="0" w:color="auto"/>
            <w:bottom w:val="none" w:sz="0" w:space="0" w:color="auto"/>
            <w:right w:val="none" w:sz="0" w:space="0" w:color="auto"/>
          </w:divBdr>
        </w:div>
        <w:div w:id="675225740">
          <w:marLeft w:val="0"/>
          <w:marRight w:val="0"/>
          <w:marTop w:val="0"/>
          <w:marBottom w:val="0"/>
          <w:divBdr>
            <w:top w:val="none" w:sz="0" w:space="0" w:color="auto"/>
            <w:left w:val="none" w:sz="0" w:space="0" w:color="auto"/>
            <w:bottom w:val="none" w:sz="0" w:space="0" w:color="auto"/>
            <w:right w:val="none" w:sz="0" w:space="0" w:color="auto"/>
          </w:divBdr>
        </w:div>
        <w:div w:id="690912805">
          <w:marLeft w:val="0"/>
          <w:marRight w:val="0"/>
          <w:marTop w:val="0"/>
          <w:marBottom w:val="0"/>
          <w:divBdr>
            <w:top w:val="none" w:sz="0" w:space="0" w:color="auto"/>
            <w:left w:val="none" w:sz="0" w:space="0" w:color="auto"/>
            <w:bottom w:val="none" w:sz="0" w:space="0" w:color="auto"/>
            <w:right w:val="none" w:sz="0" w:space="0" w:color="auto"/>
          </w:divBdr>
        </w:div>
        <w:div w:id="700520472">
          <w:marLeft w:val="0"/>
          <w:marRight w:val="0"/>
          <w:marTop w:val="0"/>
          <w:marBottom w:val="0"/>
          <w:divBdr>
            <w:top w:val="none" w:sz="0" w:space="0" w:color="auto"/>
            <w:left w:val="none" w:sz="0" w:space="0" w:color="auto"/>
            <w:bottom w:val="none" w:sz="0" w:space="0" w:color="auto"/>
            <w:right w:val="none" w:sz="0" w:space="0" w:color="auto"/>
          </w:divBdr>
        </w:div>
        <w:div w:id="701323860">
          <w:marLeft w:val="0"/>
          <w:marRight w:val="0"/>
          <w:marTop w:val="0"/>
          <w:marBottom w:val="0"/>
          <w:divBdr>
            <w:top w:val="none" w:sz="0" w:space="0" w:color="auto"/>
            <w:left w:val="none" w:sz="0" w:space="0" w:color="auto"/>
            <w:bottom w:val="none" w:sz="0" w:space="0" w:color="auto"/>
            <w:right w:val="none" w:sz="0" w:space="0" w:color="auto"/>
          </w:divBdr>
        </w:div>
        <w:div w:id="704646354">
          <w:marLeft w:val="0"/>
          <w:marRight w:val="0"/>
          <w:marTop w:val="0"/>
          <w:marBottom w:val="0"/>
          <w:divBdr>
            <w:top w:val="none" w:sz="0" w:space="0" w:color="auto"/>
            <w:left w:val="none" w:sz="0" w:space="0" w:color="auto"/>
            <w:bottom w:val="none" w:sz="0" w:space="0" w:color="auto"/>
            <w:right w:val="none" w:sz="0" w:space="0" w:color="auto"/>
          </w:divBdr>
        </w:div>
        <w:div w:id="705370854">
          <w:marLeft w:val="0"/>
          <w:marRight w:val="0"/>
          <w:marTop w:val="0"/>
          <w:marBottom w:val="0"/>
          <w:divBdr>
            <w:top w:val="none" w:sz="0" w:space="0" w:color="auto"/>
            <w:left w:val="none" w:sz="0" w:space="0" w:color="auto"/>
            <w:bottom w:val="none" w:sz="0" w:space="0" w:color="auto"/>
            <w:right w:val="none" w:sz="0" w:space="0" w:color="auto"/>
          </w:divBdr>
        </w:div>
        <w:div w:id="728961201">
          <w:marLeft w:val="0"/>
          <w:marRight w:val="0"/>
          <w:marTop w:val="0"/>
          <w:marBottom w:val="0"/>
          <w:divBdr>
            <w:top w:val="none" w:sz="0" w:space="0" w:color="auto"/>
            <w:left w:val="none" w:sz="0" w:space="0" w:color="auto"/>
            <w:bottom w:val="none" w:sz="0" w:space="0" w:color="auto"/>
            <w:right w:val="none" w:sz="0" w:space="0" w:color="auto"/>
          </w:divBdr>
        </w:div>
        <w:div w:id="731387953">
          <w:marLeft w:val="0"/>
          <w:marRight w:val="0"/>
          <w:marTop w:val="0"/>
          <w:marBottom w:val="0"/>
          <w:divBdr>
            <w:top w:val="none" w:sz="0" w:space="0" w:color="auto"/>
            <w:left w:val="none" w:sz="0" w:space="0" w:color="auto"/>
            <w:bottom w:val="none" w:sz="0" w:space="0" w:color="auto"/>
            <w:right w:val="none" w:sz="0" w:space="0" w:color="auto"/>
          </w:divBdr>
        </w:div>
        <w:div w:id="733966936">
          <w:marLeft w:val="0"/>
          <w:marRight w:val="0"/>
          <w:marTop w:val="0"/>
          <w:marBottom w:val="0"/>
          <w:divBdr>
            <w:top w:val="none" w:sz="0" w:space="0" w:color="auto"/>
            <w:left w:val="none" w:sz="0" w:space="0" w:color="auto"/>
            <w:bottom w:val="none" w:sz="0" w:space="0" w:color="auto"/>
            <w:right w:val="none" w:sz="0" w:space="0" w:color="auto"/>
          </w:divBdr>
        </w:div>
        <w:div w:id="739866914">
          <w:marLeft w:val="0"/>
          <w:marRight w:val="0"/>
          <w:marTop w:val="0"/>
          <w:marBottom w:val="0"/>
          <w:divBdr>
            <w:top w:val="none" w:sz="0" w:space="0" w:color="auto"/>
            <w:left w:val="none" w:sz="0" w:space="0" w:color="auto"/>
            <w:bottom w:val="none" w:sz="0" w:space="0" w:color="auto"/>
            <w:right w:val="none" w:sz="0" w:space="0" w:color="auto"/>
          </w:divBdr>
        </w:div>
        <w:div w:id="747968268">
          <w:marLeft w:val="0"/>
          <w:marRight w:val="0"/>
          <w:marTop w:val="0"/>
          <w:marBottom w:val="0"/>
          <w:divBdr>
            <w:top w:val="none" w:sz="0" w:space="0" w:color="auto"/>
            <w:left w:val="none" w:sz="0" w:space="0" w:color="auto"/>
            <w:bottom w:val="none" w:sz="0" w:space="0" w:color="auto"/>
            <w:right w:val="none" w:sz="0" w:space="0" w:color="auto"/>
          </w:divBdr>
        </w:div>
        <w:div w:id="763263077">
          <w:marLeft w:val="0"/>
          <w:marRight w:val="0"/>
          <w:marTop w:val="0"/>
          <w:marBottom w:val="0"/>
          <w:divBdr>
            <w:top w:val="none" w:sz="0" w:space="0" w:color="auto"/>
            <w:left w:val="none" w:sz="0" w:space="0" w:color="auto"/>
            <w:bottom w:val="none" w:sz="0" w:space="0" w:color="auto"/>
            <w:right w:val="none" w:sz="0" w:space="0" w:color="auto"/>
          </w:divBdr>
        </w:div>
        <w:div w:id="781613808">
          <w:marLeft w:val="0"/>
          <w:marRight w:val="0"/>
          <w:marTop w:val="0"/>
          <w:marBottom w:val="0"/>
          <w:divBdr>
            <w:top w:val="none" w:sz="0" w:space="0" w:color="auto"/>
            <w:left w:val="none" w:sz="0" w:space="0" w:color="auto"/>
            <w:bottom w:val="none" w:sz="0" w:space="0" w:color="auto"/>
            <w:right w:val="none" w:sz="0" w:space="0" w:color="auto"/>
          </w:divBdr>
        </w:div>
        <w:div w:id="790243636">
          <w:marLeft w:val="0"/>
          <w:marRight w:val="0"/>
          <w:marTop w:val="0"/>
          <w:marBottom w:val="0"/>
          <w:divBdr>
            <w:top w:val="none" w:sz="0" w:space="0" w:color="auto"/>
            <w:left w:val="none" w:sz="0" w:space="0" w:color="auto"/>
            <w:bottom w:val="none" w:sz="0" w:space="0" w:color="auto"/>
            <w:right w:val="none" w:sz="0" w:space="0" w:color="auto"/>
          </w:divBdr>
        </w:div>
        <w:div w:id="795566557">
          <w:marLeft w:val="0"/>
          <w:marRight w:val="0"/>
          <w:marTop w:val="0"/>
          <w:marBottom w:val="0"/>
          <w:divBdr>
            <w:top w:val="none" w:sz="0" w:space="0" w:color="auto"/>
            <w:left w:val="none" w:sz="0" w:space="0" w:color="auto"/>
            <w:bottom w:val="none" w:sz="0" w:space="0" w:color="auto"/>
            <w:right w:val="none" w:sz="0" w:space="0" w:color="auto"/>
          </w:divBdr>
        </w:div>
        <w:div w:id="805318008">
          <w:marLeft w:val="0"/>
          <w:marRight w:val="0"/>
          <w:marTop w:val="0"/>
          <w:marBottom w:val="0"/>
          <w:divBdr>
            <w:top w:val="none" w:sz="0" w:space="0" w:color="auto"/>
            <w:left w:val="none" w:sz="0" w:space="0" w:color="auto"/>
            <w:bottom w:val="none" w:sz="0" w:space="0" w:color="auto"/>
            <w:right w:val="none" w:sz="0" w:space="0" w:color="auto"/>
          </w:divBdr>
        </w:div>
        <w:div w:id="809900857">
          <w:marLeft w:val="0"/>
          <w:marRight w:val="0"/>
          <w:marTop w:val="0"/>
          <w:marBottom w:val="0"/>
          <w:divBdr>
            <w:top w:val="none" w:sz="0" w:space="0" w:color="auto"/>
            <w:left w:val="none" w:sz="0" w:space="0" w:color="auto"/>
            <w:bottom w:val="none" w:sz="0" w:space="0" w:color="auto"/>
            <w:right w:val="none" w:sz="0" w:space="0" w:color="auto"/>
          </w:divBdr>
        </w:div>
        <w:div w:id="817528061">
          <w:marLeft w:val="0"/>
          <w:marRight w:val="0"/>
          <w:marTop w:val="0"/>
          <w:marBottom w:val="0"/>
          <w:divBdr>
            <w:top w:val="none" w:sz="0" w:space="0" w:color="auto"/>
            <w:left w:val="none" w:sz="0" w:space="0" w:color="auto"/>
            <w:bottom w:val="none" w:sz="0" w:space="0" w:color="auto"/>
            <w:right w:val="none" w:sz="0" w:space="0" w:color="auto"/>
          </w:divBdr>
        </w:div>
        <w:div w:id="822086180">
          <w:marLeft w:val="0"/>
          <w:marRight w:val="0"/>
          <w:marTop w:val="0"/>
          <w:marBottom w:val="0"/>
          <w:divBdr>
            <w:top w:val="none" w:sz="0" w:space="0" w:color="auto"/>
            <w:left w:val="none" w:sz="0" w:space="0" w:color="auto"/>
            <w:bottom w:val="none" w:sz="0" w:space="0" w:color="auto"/>
            <w:right w:val="none" w:sz="0" w:space="0" w:color="auto"/>
          </w:divBdr>
        </w:div>
        <w:div w:id="827985452">
          <w:marLeft w:val="0"/>
          <w:marRight w:val="0"/>
          <w:marTop w:val="0"/>
          <w:marBottom w:val="0"/>
          <w:divBdr>
            <w:top w:val="none" w:sz="0" w:space="0" w:color="auto"/>
            <w:left w:val="none" w:sz="0" w:space="0" w:color="auto"/>
            <w:bottom w:val="none" w:sz="0" w:space="0" w:color="auto"/>
            <w:right w:val="none" w:sz="0" w:space="0" w:color="auto"/>
          </w:divBdr>
        </w:div>
        <w:div w:id="828598936">
          <w:marLeft w:val="0"/>
          <w:marRight w:val="0"/>
          <w:marTop w:val="0"/>
          <w:marBottom w:val="0"/>
          <w:divBdr>
            <w:top w:val="none" w:sz="0" w:space="0" w:color="auto"/>
            <w:left w:val="none" w:sz="0" w:space="0" w:color="auto"/>
            <w:bottom w:val="none" w:sz="0" w:space="0" w:color="auto"/>
            <w:right w:val="none" w:sz="0" w:space="0" w:color="auto"/>
          </w:divBdr>
        </w:div>
        <w:div w:id="839396661">
          <w:marLeft w:val="0"/>
          <w:marRight w:val="0"/>
          <w:marTop w:val="0"/>
          <w:marBottom w:val="0"/>
          <w:divBdr>
            <w:top w:val="none" w:sz="0" w:space="0" w:color="auto"/>
            <w:left w:val="none" w:sz="0" w:space="0" w:color="auto"/>
            <w:bottom w:val="none" w:sz="0" w:space="0" w:color="auto"/>
            <w:right w:val="none" w:sz="0" w:space="0" w:color="auto"/>
          </w:divBdr>
        </w:div>
        <w:div w:id="844592936">
          <w:marLeft w:val="0"/>
          <w:marRight w:val="0"/>
          <w:marTop w:val="0"/>
          <w:marBottom w:val="0"/>
          <w:divBdr>
            <w:top w:val="none" w:sz="0" w:space="0" w:color="auto"/>
            <w:left w:val="none" w:sz="0" w:space="0" w:color="auto"/>
            <w:bottom w:val="none" w:sz="0" w:space="0" w:color="auto"/>
            <w:right w:val="none" w:sz="0" w:space="0" w:color="auto"/>
          </w:divBdr>
        </w:div>
        <w:div w:id="854149660">
          <w:marLeft w:val="0"/>
          <w:marRight w:val="0"/>
          <w:marTop w:val="0"/>
          <w:marBottom w:val="0"/>
          <w:divBdr>
            <w:top w:val="none" w:sz="0" w:space="0" w:color="auto"/>
            <w:left w:val="none" w:sz="0" w:space="0" w:color="auto"/>
            <w:bottom w:val="none" w:sz="0" w:space="0" w:color="auto"/>
            <w:right w:val="none" w:sz="0" w:space="0" w:color="auto"/>
          </w:divBdr>
        </w:div>
        <w:div w:id="855728345">
          <w:marLeft w:val="0"/>
          <w:marRight w:val="0"/>
          <w:marTop w:val="0"/>
          <w:marBottom w:val="0"/>
          <w:divBdr>
            <w:top w:val="none" w:sz="0" w:space="0" w:color="auto"/>
            <w:left w:val="none" w:sz="0" w:space="0" w:color="auto"/>
            <w:bottom w:val="none" w:sz="0" w:space="0" w:color="auto"/>
            <w:right w:val="none" w:sz="0" w:space="0" w:color="auto"/>
          </w:divBdr>
        </w:div>
        <w:div w:id="877208112">
          <w:marLeft w:val="0"/>
          <w:marRight w:val="0"/>
          <w:marTop w:val="0"/>
          <w:marBottom w:val="0"/>
          <w:divBdr>
            <w:top w:val="none" w:sz="0" w:space="0" w:color="auto"/>
            <w:left w:val="none" w:sz="0" w:space="0" w:color="auto"/>
            <w:bottom w:val="none" w:sz="0" w:space="0" w:color="auto"/>
            <w:right w:val="none" w:sz="0" w:space="0" w:color="auto"/>
          </w:divBdr>
        </w:div>
        <w:div w:id="899681000">
          <w:marLeft w:val="0"/>
          <w:marRight w:val="0"/>
          <w:marTop w:val="0"/>
          <w:marBottom w:val="0"/>
          <w:divBdr>
            <w:top w:val="none" w:sz="0" w:space="0" w:color="auto"/>
            <w:left w:val="none" w:sz="0" w:space="0" w:color="auto"/>
            <w:bottom w:val="none" w:sz="0" w:space="0" w:color="auto"/>
            <w:right w:val="none" w:sz="0" w:space="0" w:color="auto"/>
          </w:divBdr>
        </w:div>
        <w:div w:id="900137762">
          <w:marLeft w:val="0"/>
          <w:marRight w:val="0"/>
          <w:marTop w:val="0"/>
          <w:marBottom w:val="0"/>
          <w:divBdr>
            <w:top w:val="none" w:sz="0" w:space="0" w:color="auto"/>
            <w:left w:val="none" w:sz="0" w:space="0" w:color="auto"/>
            <w:bottom w:val="none" w:sz="0" w:space="0" w:color="auto"/>
            <w:right w:val="none" w:sz="0" w:space="0" w:color="auto"/>
          </w:divBdr>
        </w:div>
        <w:div w:id="900208980">
          <w:marLeft w:val="0"/>
          <w:marRight w:val="0"/>
          <w:marTop w:val="0"/>
          <w:marBottom w:val="0"/>
          <w:divBdr>
            <w:top w:val="none" w:sz="0" w:space="0" w:color="auto"/>
            <w:left w:val="none" w:sz="0" w:space="0" w:color="auto"/>
            <w:bottom w:val="none" w:sz="0" w:space="0" w:color="auto"/>
            <w:right w:val="none" w:sz="0" w:space="0" w:color="auto"/>
          </w:divBdr>
        </w:div>
        <w:div w:id="900215182">
          <w:marLeft w:val="0"/>
          <w:marRight w:val="0"/>
          <w:marTop w:val="0"/>
          <w:marBottom w:val="0"/>
          <w:divBdr>
            <w:top w:val="none" w:sz="0" w:space="0" w:color="auto"/>
            <w:left w:val="none" w:sz="0" w:space="0" w:color="auto"/>
            <w:bottom w:val="none" w:sz="0" w:space="0" w:color="auto"/>
            <w:right w:val="none" w:sz="0" w:space="0" w:color="auto"/>
          </w:divBdr>
        </w:div>
        <w:div w:id="901411009">
          <w:marLeft w:val="0"/>
          <w:marRight w:val="0"/>
          <w:marTop w:val="0"/>
          <w:marBottom w:val="0"/>
          <w:divBdr>
            <w:top w:val="none" w:sz="0" w:space="0" w:color="auto"/>
            <w:left w:val="none" w:sz="0" w:space="0" w:color="auto"/>
            <w:bottom w:val="none" w:sz="0" w:space="0" w:color="auto"/>
            <w:right w:val="none" w:sz="0" w:space="0" w:color="auto"/>
          </w:divBdr>
        </w:div>
        <w:div w:id="905070033">
          <w:marLeft w:val="0"/>
          <w:marRight w:val="0"/>
          <w:marTop w:val="0"/>
          <w:marBottom w:val="0"/>
          <w:divBdr>
            <w:top w:val="none" w:sz="0" w:space="0" w:color="auto"/>
            <w:left w:val="none" w:sz="0" w:space="0" w:color="auto"/>
            <w:bottom w:val="none" w:sz="0" w:space="0" w:color="auto"/>
            <w:right w:val="none" w:sz="0" w:space="0" w:color="auto"/>
          </w:divBdr>
        </w:div>
        <w:div w:id="907882261">
          <w:marLeft w:val="0"/>
          <w:marRight w:val="0"/>
          <w:marTop w:val="0"/>
          <w:marBottom w:val="0"/>
          <w:divBdr>
            <w:top w:val="none" w:sz="0" w:space="0" w:color="auto"/>
            <w:left w:val="none" w:sz="0" w:space="0" w:color="auto"/>
            <w:bottom w:val="none" w:sz="0" w:space="0" w:color="auto"/>
            <w:right w:val="none" w:sz="0" w:space="0" w:color="auto"/>
          </w:divBdr>
        </w:div>
        <w:div w:id="922223189">
          <w:marLeft w:val="0"/>
          <w:marRight w:val="0"/>
          <w:marTop w:val="0"/>
          <w:marBottom w:val="0"/>
          <w:divBdr>
            <w:top w:val="none" w:sz="0" w:space="0" w:color="auto"/>
            <w:left w:val="none" w:sz="0" w:space="0" w:color="auto"/>
            <w:bottom w:val="none" w:sz="0" w:space="0" w:color="auto"/>
            <w:right w:val="none" w:sz="0" w:space="0" w:color="auto"/>
          </w:divBdr>
        </w:div>
        <w:div w:id="946621170">
          <w:marLeft w:val="0"/>
          <w:marRight w:val="0"/>
          <w:marTop w:val="0"/>
          <w:marBottom w:val="0"/>
          <w:divBdr>
            <w:top w:val="none" w:sz="0" w:space="0" w:color="auto"/>
            <w:left w:val="none" w:sz="0" w:space="0" w:color="auto"/>
            <w:bottom w:val="none" w:sz="0" w:space="0" w:color="auto"/>
            <w:right w:val="none" w:sz="0" w:space="0" w:color="auto"/>
          </w:divBdr>
        </w:div>
        <w:div w:id="962881672">
          <w:marLeft w:val="0"/>
          <w:marRight w:val="0"/>
          <w:marTop w:val="0"/>
          <w:marBottom w:val="0"/>
          <w:divBdr>
            <w:top w:val="none" w:sz="0" w:space="0" w:color="auto"/>
            <w:left w:val="none" w:sz="0" w:space="0" w:color="auto"/>
            <w:bottom w:val="none" w:sz="0" w:space="0" w:color="auto"/>
            <w:right w:val="none" w:sz="0" w:space="0" w:color="auto"/>
          </w:divBdr>
        </w:div>
        <w:div w:id="976180009">
          <w:marLeft w:val="0"/>
          <w:marRight w:val="0"/>
          <w:marTop w:val="0"/>
          <w:marBottom w:val="0"/>
          <w:divBdr>
            <w:top w:val="none" w:sz="0" w:space="0" w:color="auto"/>
            <w:left w:val="none" w:sz="0" w:space="0" w:color="auto"/>
            <w:bottom w:val="none" w:sz="0" w:space="0" w:color="auto"/>
            <w:right w:val="none" w:sz="0" w:space="0" w:color="auto"/>
          </w:divBdr>
        </w:div>
        <w:div w:id="981740099">
          <w:marLeft w:val="0"/>
          <w:marRight w:val="0"/>
          <w:marTop w:val="0"/>
          <w:marBottom w:val="0"/>
          <w:divBdr>
            <w:top w:val="none" w:sz="0" w:space="0" w:color="auto"/>
            <w:left w:val="none" w:sz="0" w:space="0" w:color="auto"/>
            <w:bottom w:val="none" w:sz="0" w:space="0" w:color="auto"/>
            <w:right w:val="none" w:sz="0" w:space="0" w:color="auto"/>
          </w:divBdr>
        </w:div>
        <w:div w:id="982739508">
          <w:marLeft w:val="0"/>
          <w:marRight w:val="0"/>
          <w:marTop w:val="0"/>
          <w:marBottom w:val="0"/>
          <w:divBdr>
            <w:top w:val="none" w:sz="0" w:space="0" w:color="auto"/>
            <w:left w:val="none" w:sz="0" w:space="0" w:color="auto"/>
            <w:bottom w:val="none" w:sz="0" w:space="0" w:color="auto"/>
            <w:right w:val="none" w:sz="0" w:space="0" w:color="auto"/>
          </w:divBdr>
        </w:div>
        <w:div w:id="991449028">
          <w:marLeft w:val="0"/>
          <w:marRight w:val="0"/>
          <w:marTop w:val="0"/>
          <w:marBottom w:val="0"/>
          <w:divBdr>
            <w:top w:val="none" w:sz="0" w:space="0" w:color="auto"/>
            <w:left w:val="none" w:sz="0" w:space="0" w:color="auto"/>
            <w:bottom w:val="none" w:sz="0" w:space="0" w:color="auto"/>
            <w:right w:val="none" w:sz="0" w:space="0" w:color="auto"/>
          </w:divBdr>
        </w:div>
        <w:div w:id="996687665">
          <w:marLeft w:val="0"/>
          <w:marRight w:val="0"/>
          <w:marTop w:val="0"/>
          <w:marBottom w:val="0"/>
          <w:divBdr>
            <w:top w:val="none" w:sz="0" w:space="0" w:color="auto"/>
            <w:left w:val="none" w:sz="0" w:space="0" w:color="auto"/>
            <w:bottom w:val="none" w:sz="0" w:space="0" w:color="auto"/>
            <w:right w:val="none" w:sz="0" w:space="0" w:color="auto"/>
          </w:divBdr>
        </w:div>
        <w:div w:id="1003434327">
          <w:marLeft w:val="0"/>
          <w:marRight w:val="0"/>
          <w:marTop w:val="0"/>
          <w:marBottom w:val="0"/>
          <w:divBdr>
            <w:top w:val="none" w:sz="0" w:space="0" w:color="auto"/>
            <w:left w:val="none" w:sz="0" w:space="0" w:color="auto"/>
            <w:bottom w:val="none" w:sz="0" w:space="0" w:color="auto"/>
            <w:right w:val="none" w:sz="0" w:space="0" w:color="auto"/>
          </w:divBdr>
        </w:div>
        <w:div w:id="1005322406">
          <w:marLeft w:val="0"/>
          <w:marRight w:val="0"/>
          <w:marTop w:val="0"/>
          <w:marBottom w:val="0"/>
          <w:divBdr>
            <w:top w:val="none" w:sz="0" w:space="0" w:color="auto"/>
            <w:left w:val="none" w:sz="0" w:space="0" w:color="auto"/>
            <w:bottom w:val="none" w:sz="0" w:space="0" w:color="auto"/>
            <w:right w:val="none" w:sz="0" w:space="0" w:color="auto"/>
          </w:divBdr>
        </w:div>
        <w:div w:id="1005403421">
          <w:marLeft w:val="0"/>
          <w:marRight w:val="0"/>
          <w:marTop w:val="0"/>
          <w:marBottom w:val="0"/>
          <w:divBdr>
            <w:top w:val="none" w:sz="0" w:space="0" w:color="auto"/>
            <w:left w:val="none" w:sz="0" w:space="0" w:color="auto"/>
            <w:bottom w:val="none" w:sz="0" w:space="0" w:color="auto"/>
            <w:right w:val="none" w:sz="0" w:space="0" w:color="auto"/>
          </w:divBdr>
        </w:div>
        <w:div w:id="1006636062">
          <w:marLeft w:val="0"/>
          <w:marRight w:val="0"/>
          <w:marTop w:val="0"/>
          <w:marBottom w:val="0"/>
          <w:divBdr>
            <w:top w:val="none" w:sz="0" w:space="0" w:color="auto"/>
            <w:left w:val="none" w:sz="0" w:space="0" w:color="auto"/>
            <w:bottom w:val="none" w:sz="0" w:space="0" w:color="auto"/>
            <w:right w:val="none" w:sz="0" w:space="0" w:color="auto"/>
          </w:divBdr>
        </w:div>
        <w:div w:id="1016543260">
          <w:marLeft w:val="0"/>
          <w:marRight w:val="0"/>
          <w:marTop w:val="0"/>
          <w:marBottom w:val="0"/>
          <w:divBdr>
            <w:top w:val="none" w:sz="0" w:space="0" w:color="auto"/>
            <w:left w:val="none" w:sz="0" w:space="0" w:color="auto"/>
            <w:bottom w:val="none" w:sz="0" w:space="0" w:color="auto"/>
            <w:right w:val="none" w:sz="0" w:space="0" w:color="auto"/>
          </w:divBdr>
        </w:div>
        <w:div w:id="1017080380">
          <w:marLeft w:val="0"/>
          <w:marRight w:val="0"/>
          <w:marTop w:val="0"/>
          <w:marBottom w:val="0"/>
          <w:divBdr>
            <w:top w:val="none" w:sz="0" w:space="0" w:color="auto"/>
            <w:left w:val="none" w:sz="0" w:space="0" w:color="auto"/>
            <w:bottom w:val="none" w:sz="0" w:space="0" w:color="auto"/>
            <w:right w:val="none" w:sz="0" w:space="0" w:color="auto"/>
          </w:divBdr>
        </w:div>
        <w:div w:id="1019697963">
          <w:marLeft w:val="0"/>
          <w:marRight w:val="0"/>
          <w:marTop w:val="0"/>
          <w:marBottom w:val="0"/>
          <w:divBdr>
            <w:top w:val="none" w:sz="0" w:space="0" w:color="auto"/>
            <w:left w:val="none" w:sz="0" w:space="0" w:color="auto"/>
            <w:bottom w:val="none" w:sz="0" w:space="0" w:color="auto"/>
            <w:right w:val="none" w:sz="0" w:space="0" w:color="auto"/>
          </w:divBdr>
        </w:div>
        <w:div w:id="1042830970">
          <w:marLeft w:val="0"/>
          <w:marRight w:val="0"/>
          <w:marTop w:val="0"/>
          <w:marBottom w:val="0"/>
          <w:divBdr>
            <w:top w:val="none" w:sz="0" w:space="0" w:color="auto"/>
            <w:left w:val="none" w:sz="0" w:space="0" w:color="auto"/>
            <w:bottom w:val="none" w:sz="0" w:space="0" w:color="auto"/>
            <w:right w:val="none" w:sz="0" w:space="0" w:color="auto"/>
          </w:divBdr>
        </w:div>
        <w:div w:id="1051225095">
          <w:marLeft w:val="0"/>
          <w:marRight w:val="0"/>
          <w:marTop w:val="0"/>
          <w:marBottom w:val="0"/>
          <w:divBdr>
            <w:top w:val="none" w:sz="0" w:space="0" w:color="auto"/>
            <w:left w:val="none" w:sz="0" w:space="0" w:color="auto"/>
            <w:bottom w:val="none" w:sz="0" w:space="0" w:color="auto"/>
            <w:right w:val="none" w:sz="0" w:space="0" w:color="auto"/>
          </w:divBdr>
        </w:div>
        <w:div w:id="1052120567">
          <w:marLeft w:val="0"/>
          <w:marRight w:val="0"/>
          <w:marTop w:val="0"/>
          <w:marBottom w:val="0"/>
          <w:divBdr>
            <w:top w:val="none" w:sz="0" w:space="0" w:color="auto"/>
            <w:left w:val="none" w:sz="0" w:space="0" w:color="auto"/>
            <w:bottom w:val="none" w:sz="0" w:space="0" w:color="auto"/>
            <w:right w:val="none" w:sz="0" w:space="0" w:color="auto"/>
          </w:divBdr>
        </w:div>
        <w:div w:id="1052386006">
          <w:marLeft w:val="0"/>
          <w:marRight w:val="0"/>
          <w:marTop w:val="0"/>
          <w:marBottom w:val="0"/>
          <w:divBdr>
            <w:top w:val="none" w:sz="0" w:space="0" w:color="auto"/>
            <w:left w:val="none" w:sz="0" w:space="0" w:color="auto"/>
            <w:bottom w:val="none" w:sz="0" w:space="0" w:color="auto"/>
            <w:right w:val="none" w:sz="0" w:space="0" w:color="auto"/>
          </w:divBdr>
        </w:div>
        <w:div w:id="1052386575">
          <w:marLeft w:val="0"/>
          <w:marRight w:val="0"/>
          <w:marTop w:val="0"/>
          <w:marBottom w:val="0"/>
          <w:divBdr>
            <w:top w:val="none" w:sz="0" w:space="0" w:color="auto"/>
            <w:left w:val="none" w:sz="0" w:space="0" w:color="auto"/>
            <w:bottom w:val="none" w:sz="0" w:space="0" w:color="auto"/>
            <w:right w:val="none" w:sz="0" w:space="0" w:color="auto"/>
          </w:divBdr>
        </w:div>
        <w:div w:id="1059595061">
          <w:marLeft w:val="0"/>
          <w:marRight w:val="0"/>
          <w:marTop w:val="0"/>
          <w:marBottom w:val="0"/>
          <w:divBdr>
            <w:top w:val="none" w:sz="0" w:space="0" w:color="auto"/>
            <w:left w:val="none" w:sz="0" w:space="0" w:color="auto"/>
            <w:bottom w:val="none" w:sz="0" w:space="0" w:color="auto"/>
            <w:right w:val="none" w:sz="0" w:space="0" w:color="auto"/>
          </w:divBdr>
        </w:div>
        <w:div w:id="1076707768">
          <w:marLeft w:val="0"/>
          <w:marRight w:val="0"/>
          <w:marTop w:val="0"/>
          <w:marBottom w:val="0"/>
          <w:divBdr>
            <w:top w:val="none" w:sz="0" w:space="0" w:color="auto"/>
            <w:left w:val="none" w:sz="0" w:space="0" w:color="auto"/>
            <w:bottom w:val="none" w:sz="0" w:space="0" w:color="auto"/>
            <w:right w:val="none" w:sz="0" w:space="0" w:color="auto"/>
          </w:divBdr>
        </w:div>
        <w:div w:id="1083257620">
          <w:marLeft w:val="0"/>
          <w:marRight w:val="0"/>
          <w:marTop w:val="0"/>
          <w:marBottom w:val="0"/>
          <w:divBdr>
            <w:top w:val="none" w:sz="0" w:space="0" w:color="auto"/>
            <w:left w:val="none" w:sz="0" w:space="0" w:color="auto"/>
            <w:bottom w:val="none" w:sz="0" w:space="0" w:color="auto"/>
            <w:right w:val="none" w:sz="0" w:space="0" w:color="auto"/>
          </w:divBdr>
        </w:div>
        <w:div w:id="1099718423">
          <w:marLeft w:val="0"/>
          <w:marRight w:val="0"/>
          <w:marTop w:val="0"/>
          <w:marBottom w:val="0"/>
          <w:divBdr>
            <w:top w:val="none" w:sz="0" w:space="0" w:color="auto"/>
            <w:left w:val="none" w:sz="0" w:space="0" w:color="auto"/>
            <w:bottom w:val="none" w:sz="0" w:space="0" w:color="auto"/>
            <w:right w:val="none" w:sz="0" w:space="0" w:color="auto"/>
          </w:divBdr>
        </w:div>
        <w:div w:id="1108741960">
          <w:marLeft w:val="0"/>
          <w:marRight w:val="0"/>
          <w:marTop w:val="0"/>
          <w:marBottom w:val="0"/>
          <w:divBdr>
            <w:top w:val="none" w:sz="0" w:space="0" w:color="auto"/>
            <w:left w:val="none" w:sz="0" w:space="0" w:color="auto"/>
            <w:bottom w:val="none" w:sz="0" w:space="0" w:color="auto"/>
            <w:right w:val="none" w:sz="0" w:space="0" w:color="auto"/>
          </w:divBdr>
        </w:div>
        <w:div w:id="1110322182">
          <w:marLeft w:val="0"/>
          <w:marRight w:val="0"/>
          <w:marTop w:val="0"/>
          <w:marBottom w:val="0"/>
          <w:divBdr>
            <w:top w:val="none" w:sz="0" w:space="0" w:color="auto"/>
            <w:left w:val="none" w:sz="0" w:space="0" w:color="auto"/>
            <w:bottom w:val="none" w:sz="0" w:space="0" w:color="auto"/>
            <w:right w:val="none" w:sz="0" w:space="0" w:color="auto"/>
          </w:divBdr>
        </w:div>
        <w:div w:id="1120106140">
          <w:marLeft w:val="0"/>
          <w:marRight w:val="0"/>
          <w:marTop w:val="0"/>
          <w:marBottom w:val="0"/>
          <w:divBdr>
            <w:top w:val="none" w:sz="0" w:space="0" w:color="auto"/>
            <w:left w:val="none" w:sz="0" w:space="0" w:color="auto"/>
            <w:bottom w:val="none" w:sz="0" w:space="0" w:color="auto"/>
            <w:right w:val="none" w:sz="0" w:space="0" w:color="auto"/>
          </w:divBdr>
        </w:div>
        <w:div w:id="1125271679">
          <w:marLeft w:val="0"/>
          <w:marRight w:val="0"/>
          <w:marTop w:val="0"/>
          <w:marBottom w:val="0"/>
          <w:divBdr>
            <w:top w:val="none" w:sz="0" w:space="0" w:color="auto"/>
            <w:left w:val="none" w:sz="0" w:space="0" w:color="auto"/>
            <w:bottom w:val="none" w:sz="0" w:space="0" w:color="auto"/>
            <w:right w:val="none" w:sz="0" w:space="0" w:color="auto"/>
          </w:divBdr>
        </w:div>
        <w:div w:id="1128622985">
          <w:marLeft w:val="0"/>
          <w:marRight w:val="0"/>
          <w:marTop w:val="0"/>
          <w:marBottom w:val="0"/>
          <w:divBdr>
            <w:top w:val="none" w:sz="0" w:space="0" w:color="auto"/>
            <w:left w:val="none" w:sz="0" w:space="0" w:color="auto"/>
            <w:bottom w:val="none" w:sz="0" w:space="0" w:color="auto"/>
            <w:right w:val="none" w:sz="0" w:space="0" w:color="auto"/>
          </w:divBdr>
        </w:div>
        <w:div w:id="1133715573">
          <w:marLeft w:val="0"/>
          <w:marRight w:val="0"/>
          <w:marTop w:val="0"/>
          <w:marBottom w:val="0"/>
          <w:divBdr>
            <w:top w:val="none" w:sz="0" w:space="0" w:color="auto"/>
            <w:left w:val="none" w:sz="0" w:space="0" w:color="auto"/>
            <w:bottom w:val="none" w:sz="0" w:space="0" w:color="auto"/>
            <w:right w:val="none" w:sz="0" w:space="0" w:color="auto"/>
          </w:divBdr>
        </w:div>
        <w:div w:id="1134756111">
          <w:marLeft w:val="0"/>
          <w:marRight w:val="0"/>
          <w:marTop w:val="0"/>
          <w:marBottom w:val="0"/>
          <w:divBdr>
            <w:top w:val="none" w:sz="0" w:space="0" w:color="auto"/>
            <w:left w:val="none" w:sz="0" w:space="0" w:color="auto"/>
            <w:bottom w:val="none" w:sz="0" w:space="0" w:color="auto"/>
            <w:right w:val="none" w:sz="0" w:space="0" w:color="auto"/>
          </w:divBdr>
        </w:div>
        <w:div w:id="1135828177">
          <w:marLeft w:val="0"/>
          <w:marRight w:val="0"/>
          <w:marTop w:val="0"/>
          <w:marBottom w:val="0"/>
          <w:divBdr>
            <w:top w:val="none" w:sz="0" w:space="0" w:color="auto"/>
            <w:left w:val="none" w:sz="0" w:space="0" w:color="auto"/>
            <w:bottom w:val="none" w:sz="0" w:space="0" w:color="auto"/>
            <w:right w:val="none" w:sz="0" w:space="0" w:color="auto"/>
          </w:divBdr>
        </w:div>
        <w:div w:id="1141457813">
          <w:marLeft w:val="0"/>
          <w:marRight w:val="0"/>
          <w:marTop w:val="0"/>
          <w:marBottom w:val="0"/>
          <w:divBdr>
            <w:top w:val="none" w:sz="0" w:space="0" w:color="auto"/>
            <w:left w:val="none" w:sz="0" w:space="0" w:color="auto"/>
            <w:bottom w:val="none" w:sz="0" w:space="0" w:color="auto"/>
            <w:right w:val="none" w:sz="0" w:space="0" w:color="auto"/>
          </w:divBdr>
        </w:div>
        <w:div w:id="1160852832">
          <w:marLeft w:val="0"/>
          <w:marRight w:val="0"/>
          <w:marTop w:val="0"/>
          <w:marBottom w:val="0"/>
          <w:divBdr>
            <w:top w:val="none" w:sz="0" w:space="0" w:color="auto"/>
            <w:left w:val="none" w:sz="0" w:space="0" w:color="auto"/>
            <w:bottom w:val="none" w:sz="0" w:space="0" w:color="auto"/>
            <w:right w:val="none" w:sz="0" w:space="0" w:color="auto"/>
          </w:divBdr>
        </w:div>
        <w:div w:id="1179928890">
          <w:marLeft w:val="0"/>
          <w:marRight w:val="0"/>
          <w:marTop w:val="0"/>
          <w:marBottom w:val="0"/>
          <w:divBdr>
            <w:top w:val="none" w:sz="0" w:space="0" w:color="auto"/>
            <w:left w:val="none" w:sz="0" w:space="0" w:color="auto"/>
            <w:bottom w:val="none" w:sz="0" w:space="0" w:color="auto"/>
            <w:right w:val="none" w:sz="0" w:space="0" w:color="auto"/>
          </w:divBdr>
        </w:div>
        <w:div w:id="1186483828">
          <w:marLeft w:val="0"/>
          <w:marRight w:val="0"/>
          <w:marTop w:val="0"/>
          <w:marBottom w:val="0"/>
          <w:divBdr>
            <w:top w:val="none" w:sz="0" w:space="0" w:color="auto"/>
            <w:left w:val="none" w:sz="0" w:space="0" w:color="auto"/>
            <w:bottom w:val="none" w:sz="0" w:space="0" w:color="auto"/>
            <w:right w:val="none" w:sz="0" w:space="0" w:color="auto"/>
          </w:divBdr>
        </w:div>
        <w:div w:id="1187132385">
          <w:marLeft w:val="0"/>
          <w:marRight w:val="0"/>
          <w:marTop w:val="0"/>
          <w:marBottom w:val="0"/>
          <w:divBdr>
            <w:top w:val="none" w:sz="0" w:space="0" w:color="auto"/>
            <w:left w:val="none" w:sz="0" w:space="0" w:color="auto"/>
            <w:bottom w:val="none" w:sz="0" w:space="0" w:color="auto"/>
            <w:right w:val="none" w:sz="0" w:space="0" w:color="auto"/>
          </w:divBdr>
        </w:div>
        <w:div w:id="1189293923">
          <w:marLeft w:val="0"/>
          <w:marRight w:val="0"/>
          <w:marTop w:val="0"/>
          <w:marBottom w:val="0"/>
          <w:divBdr>
            <w:top w:val="none" w:sz="0" w:space="0" w:color="auto"/>
            <w:left w:val="none" w:sz="0" w:space="0" w:color="auto"/>
            <w:bottom w:val="none" w:sz="0" w:space="0" w:color="auto"/>
            <w:right w:val="none" w:sz="0" w:space="0" w:color="auto"/>
          </w:divBdr>
        </w:div>
        <w:div w:id="1235623709">
          <w:marLeft w:val="0"/>
          <w:marRight w:val="0"/>
          <w:marTop w:val="0"/>
          <w:marBottom w:val="0"/>
          <w:divBdr>
            <w:top w:val="none" w:sz="0" w:space="0" w:color="auto"/>
            <w:left w:val="none" w:sz="0" w:space="0" w:color="auto"/>
            <w:bottom w:val="none" w:sz="0" w:space="0" w:color="auto"/>
            <w:right w:val="none" w:sz="0" w:space="0" w:color="auto"/>
          </w:divBdr>
        </w:div>
        <w:div w:id="1237475342">
          <w:marLeft w:val="0"/>
          <w:marRight w:val="0"/>
          <w:marTop w:val="0"/>
          <w:marBottom w:val="0"/>
          <w:divBdr>
            <w:top w:val="none" w:sz="0" w:space="0" w:color="auto"/>
            <w:left w:val="none" w:sz="0" w:space="0" w:color="auto"/>
            <w:bottom w:val="none" w:sz="0" w:space="0" w:color="auto"/>
            <w:right w:val="none" w:sz="0" w:space="0" w:color="auto"/>
          </w:divBdr>
        </w:div>
        <w:div w:id="1249536432">
          <w:marLeft w:val="0"/>
          <w:marRight w:val="0"/>
          <w:marTop w:val="0"/>
          <w:marBottom w:val="0"/>
          <w:divBdr>
            <w:top w:val="none" w:sz="0" w:space="0" w:color="auto"/>
            <w:left w:val="none" w:sz="0" w:space="0" w:color="auto"/>
            <w:bottom w:val="none" w:sz="0" w:space="0" w:color="auto"/>
            <w:right w:val="none" w:sz="0" w:space="0" w:color="auto"/>
          </w:divBdr>
        </w:div>
        <w:div w:id="1259869883">
          <w:marLeft w:val="0"/>
          <w:marRight w:val="0"/>
          <w:marTop w:val="0"/>
          <w:marBottom w:val="0"/>
          <w:divBdr>
            <w:top w:val="none" w:sz="0" w:space="0" w:color="auto"/>
            <w:left w:val="none" w:sz="0" w:space="0" w:color="auto"/>
            <w:bottom w:val="none" w:sz="0" w:space="0" w:color="auto"/>
            <w:right w:val="none" w:sz="0" w:space="0" w:color="auto"/>
          </w:divBdr>
        </w:div>
        <w:div w:id="1277524248">
          <w:marLeft w:val="0"/>
          <w:marRight w:val="0"/>
          <w:marTop w:val="0"/>
          <w:marBottom w:val="0"/>
          <w:divBdr>
            <w:top w:val="none" w:sz="0" w:space="0" w:color="auto"/>
            <w:left w:val="none" w:sz="0" w:space="0" w:color="auto"/>
            <w:bottom w:val="none" w:sz="0" w:space="0" w:color="auto"/>
            <w:right w:val="none" w:sz="0" w:space="0" w:color="auto"/>
          </w:divBdr>
        </w:div>
        <w:div w:id="1284532044">
          <w:marLeft w:val="0"/>
          <w:marRight w:val="0"/>
          <w:marTop w:val="0"/>
          <w:marBottom w:val="0"/>
          <w:divBdr>
            <w:top w:val="none" w:sz="0" w:space="0" w:color="auto"/>
            <w:left w:val="none" w:sz="0" w:space="0" w:color="auto"/>
            <w:bottom w:val="none" w:sz="0" w:space="0" w:color="auto"/>
            <w:right w:val="none" w:sz="0" w:space="0" w:color="auto"/>
          </w:divBdr>
        </w:div>
        <w:div w:id="1289506837">
          <w:marLeft w:val="0"/>
          <w:marRight w:val="0"/>
          <w:marTop w:val="0"/>
          <w:marBottom w:val="0"/>
          <w:divBdr>
            <w:top w:val="none" w:sz="0" w:space="0" w:color="auto"/>
            <w:left w:val="none" w:sz="0" w:space="0" w:color="auto"/>
            <w:bottom w:val="none" w:sz="0" w:space="0" w:color="auto"/>
            <w:right w:val="none" w:sz="0" w:space="0" w:color="auto"/>
          </w:divBdr>
        </w:div>
        <w:div w:id="1295523349">
          <w:marLeft w:val="0"/>
          <w:marRight w:val="0"/>
          <w:marTop w:val="0"/>
          <w:marBottom w:val="0"/>
          <w:divBdr>
            <w:top w:val="none" w:sz="0" w:space="0" w:color="auto"/>
            <w:left w:val="none" w:sz="0" w:space="0" w:color="auto"/>
            <w:bottom w:val="none" w:sz="0" w:space="0" w:color="auto"/>
            <w:right w:val="none" w:sz="0" w:space="0" w:color="auto"/>
          </w:divBdr>
        </w:div>
        <w:div w:id="1295982555">
          <w:marLeft w:val="0"/>
          <w:marRight w:val="0"/>
          <w:marTop w:val="0"/>
          <w:marBottom w:val="0"/>
          <w:divBdr>
            <w:top w:val="none" w:sz="0" w:space="0" w:color="auto"/>
            <w:left w:val="none" w:sz="0" w:space="0" w:color="auto"/>
            <w:bottom w:val="none" w:sz="0" w:space="0" w:color="auto"/>
            <w:right w:val="none" w:sz="0" w:space="0" w:color="auto"/>
          </w:divBdr>
        </w:div>
        <w:div w:id="1299454529">
          <w:marLeft w:val="0"/>
          <w:marRight w:val="0"/>
          <w:marTop w:val="0"/>
          <w:marBottom w:val="0"/>
          <w:divBdr>
            <w:top w:val="none" w:sz="0" w:space="0" w:color="auto"/>
            <w:left w:val="none" w:sz="0" w:space="0" w:color="auto"/>
            <w:bottom w:val="none" w:sz="0" w:space="0" w:color="auto"/>
            <w:right w:val="none" w:sz="0" w:space="0" w:color="auto"/>
          </w:divBdr>
        </w:div>
        <w:div w:id="1302229762">
          <w:marLeft w:val="0"/>
          <w:marRight w:val="0"/>
          <w:marTop w:val="0"/>
          <w:marBottom w:val="0"/>
          <w:divBdr>
            <w:top w:val="none" w:sz="0" w:space="0" w:color="auto"/>
            <w:left w:val="none" w:sz="0" w:space="0" w:color="auto"/>
            <w:bottom w:val="none" w:sz="0" w:space="0" w:color="auto"/>
            <w:right w:val="none" w:sz="0" w:space="0" w:color="auto"/>
          </w:divBdr>
        </w:div>
        <w:div w:id="1307394080">
          <w:marLeft w:val="0"/>
          <w:marRight w:val="0"/>
          <w:marTop w:val="0"/>
          <w:marBottom w:val="0"/>
          <w:divBdr>
            <w:top w:val="none" w:sz="0" w:space="0" w:color="auto"/>
            <w:left w:val="none" w:sz="0" w:space="0" w:color="auto"/>
            <w:bottom w:val="none" w:sz="0" w:space="0" w:color="auto"/>
            <w:right w:val="none" w:sz="0" w:space="0" w:color="auto"/>
          </w:divBdr>
        </w:div>
        <w:div w:id="1307472182">
          <w:marLeft w:val="0"/>
          <w:marRight w:val="0"/>
          <w:marTop w:val="0"/>
          <w:marBottom w:val="0"/>
          <w:divBdr>
            <w:top w:val="none" w:sz="0" w:space="0" w:color="auto"/>
            <w:left w:val="none" w:sz="0" w:space="0" w:color="auto"/>
            <w:bottom w:val="none" w:sz="0" w:space="0" w:color="auto"/>
            <w:right w:val="none" w:sz="0" w:space="0" w:color="auto"/>
          </w:divBdr>
        </w:div>
        <w:div w:id="1309474824">
          <w:marLeft w:val="0"/>
          <w:marRight w:val="0"/>
          <w:marTop w:val="0"/>
          <w:marBottom w:val="0"/>
          <w:divBdr>
            <w:top w:val="none" w:sz="0" w:space="0" w:color="auto"/>
            <w:left w:val="none" w:sz="0" w:space="0" w:color="auto"/>
            <w:bottom w:val="none" w:sz="0" w:space="0" w:color="auto"/>
            <w:right w:val="none" w:sz="0" w:space="0" w:color="auto"/>
          </w:divBdr>
        </w:div>
        <w:div w:id="1316300823">
          <w:marLeft w:val="0"/>
          <w:marRight w:val="0"/>
          <w:marTop w:val="0"/>
          <w:marBottom w:val="0"/>
          <w:divBdr>
            <w:top w:val="none" w:sz="0" w:space="0" w:color="auto"/>
            <w:left w:val="none" w:sz="0" w:space="0" w:color="auto"/>
            <w:bottom w:val="none" w:sz="0" w:space="0" w:color="auto"/>
            <w:right w:val="none" w:sz="0" w:space="0" w:color="auto"/>
          </w:divBdr>
        </w:div>
        <w:div w:id="1340279092">
          <w:marLeft w:val="0"/>
          <w:marRight w:val="0"/>
          <w:marTop w:val="0"/>
          <w:marBottom w:val="0"/>
          <w:divBdr>
            <w:top w:val="none" w:sz="0" w:space="0" w:color="auto"/>
            <w:left w:val="none" w:sz="0" w:space="0" w:color="auto"/>
            <w:bottom w:val="none" w:sz="0" w:space="0" w:color="auto"/>
            <w:right w:val="none" w:sz="0" w:space="0" w:color="auto"/>
          </w:divBdr>
        </w:div>
        <w:div w:id="1342048299">
          <w:marLeft w:val="0"/>
          <w:marRight w:val="0"/>
          <w:marTop w:val="0"/>
          <w:marBottom w:val="0"/>
          <w:divBdr>
            <w:top w:val="none" w:sz="0" w:space="0" w:color="auto"/>
            <w:left w:val="none" w:sz="0" w:space="0" w:color="auto"/>
            <w:bottom w:val="none" w:sz="0" w:space="0" w:color="auto"/>
            <w:right w:val="none" w:sz="0" w:space="0" w:color="auto"/>
          </w:divBdr>
        </w:div>
        <w:div w:id="1343319356">
          <w:marLeft w:val="0"/>
          <w:marRight w:val="0"/>
          <w:marTop w:val="0"/>
          <w:marBottom w:val="0"/>
          <w:divBdr>
            <w:top w:val="none" w:sz="0" w:space="0" w:color="auto"/>
            <w:left w:val="none" w:sz="0" w:space="0" w:color="auto"/>
            <w:bottom w:val="none" w:sz="0" w:space="0" w:color="auto"/>
            <w:right w:val="none" w:sz="0" w:space="0" w:color="auto"/>
          </w:divBdr>
        </w:div>
        <w:div w:id="1367485136">
          <w:marLeft w:val="0"/>
          <w:marRight w:val="0"/>
          <w:marTop w:val="0"/>
          <w:marBottom w:val="0"/>
          <w:divBdr>
            <w:top w:val="none" w:sz="0" w:space="0" w:color="auto"/>
            <w:left w:val="none" w:sz="0" w:space="0" w:color="auto"/>
            <w:bottom w:val="none" w:sz="0" w:space="0" w:color="auto"/>
            <w:right w:val="none" w:sz="0" w:space="0" w:color="auto"/>
          </w:divBdr>
        </w:div>
        <w:div w:id="1376076036">
          <w:marLeft w:val="0"/>
          <w:marRight w:val="0"/>
          <w:marTop w:val="0"/>
          <w:marBottom w:val="0"/>
          <w:divBdr>
            <w:top w:val="none" w:sz="0" w:space="0" w:color="auto"/>
            <w:left w:val="none" w:sz="0" w:space="0" w:color="auto"/>
            <w:bottom w:val="none" w:sz="0" w:space="0" w:color="auto"/>
            <w:right w:val="none" w:sz="0" w:space="0" w:color="auto"/>
          </w:divBdr>
        </w:div>
        <w:div w:id="1411385832">
          <w:marLeft w:val="0"/>
          <w:marRight w:val="0"/>
          <w:marTop w:val="0"/>
          <w:marBottom w:val="0"/>
          <w:divBdr>
            <w:top w:val="none" w:sz="0" w:space="0" w:color="auto"/>
            <w:left w:val="none" w:sz="0" w:space="0" w:color="auto"/>
            <w:bottom w:val="none" w:sz="0" w:space="0" w:color="auto"/>
            <w:right w:val="none" w:sz="0" w:space="0" w:color="auto"/>
          </w:divBdr>
        </w:div>
        <w:div w:id="1418819901">
          <w:marLeft w:val="0"/>
          <w:marRight w:val="0"/>
          <w:marTop w:val="0"/>
          <w:marBottom w:val="0"/>
          <w:divBdr>
            <w:top w:val="none" w:sz="0" w:space="0" w:color="auto"/>
            <w:left w:val="none" w:sz="0" w:space="0" w:color="auto"/>
            <w:bottom w:val="none" w:sz="0" w:space="0" w:color="auto"/>
            <w:right w:val="none" w:sz="0" w:space="0" w:color="auto"/>
          </w:divBdr>
        </w:div>
        <w:div w:id="1420247045">
          <w:marLeft w:val="0"/>
          <w:marRight w:val="0"/>
          <w:marTop w:val="0"/>
          <w:marBottom w:val="0"/>
          <w:divBdr>
            <w:top w:val="none" w:sz="0" w:space="0" w:color="auto"/>
            <w:left w:val="none" w:sz="0" w:space="0" w:color="auto"/>
            <w:bottom w:val="none" w:sz="0" w:space="0" w:color="auto"/>
            <w:right w:val="none" w:sz="0" w:space="0" w:color="auto"/>
          </w:divBdr>
        </w:div>
        <w:div w:id="1421488730">
          <w:marLeft w:val="0"/>
          <w:marRight w:val="0"/>
          <w:marTop w:val="0"/>
          <w:marBottom w:val="0"/>
          <w:divBdr>
            <w:top w:val="none" w:sz="0" w:space="0" w:color="auto"/>
            <w:left w:val="none" w:sz="0" w:space="0" w:color="auto"/>
            <w:bottom w:val="none" w:sz="0" w:space="0" w:color="auto"/>
            <w:right w:val="none" w:sz="0" w:space="0" w:color="auto"/>
          </w:divBdr>
        </w:div>
        <w:div w:id="1421557513">
          <w:marLeft w:val="0"/>
          <w:marRight w:val="0"/>
          <w:marTop w:val="0"/>
          <w:marBottom w:val="0"/>
          <w:divBdr>
            <w:top w:val="none" w:sz="0" w:space="0" w:color="auto"/>
            <w:left w:val="none" w:sz="0" w:space="0" w:color="auto"/>
            <w:bottom w:val="none" w:sz="0" w:space="0" w:color="auto"/>
            <w:right w:val="none" w:sz="0" w:space="0" w:color="auto"/>
          </w:divBdr>
        </w:div>
        <w:div w:id="1426536845">
          <w:marLeft w:val="0"/>
          <w:marRight w:val="0"/>
          <w:marTop w:val="0"/>
          <w:marBottom w:val="0"/>
          <w:divBdr>
            <w:top w:val="none" w:sz="0" w:space="0" w:color="auto"/>
            <w:left w:val="none" w:sz="0" w:space="0" w:color="auto"/>
            <w:bottom w:val="none" w:sz="0" w:space="0" w:color="auto"/>
            <w:right w:val="none" w:sz="0" w:space="0" w:color="auto"/>
          </w:divBdr>
        </w:div>
        <w:div w:id="1426921811">
          <w:marLeft w:val="0"/>
          <w:marRight w:val="0"/>
          <w:marTop w:val="0"/>
          <w:marBottom w:val="0"/>
          <w:divBdr>
            <w:top w:val="none" w:sz="0" w:space="0" w:color="auto"/>
            <w:left w:val="none" w:sz="0" w:space="0" w:color="auto"/>
            <w:bottom w:val="none" w:sz="0" w:space="0" w:color="auto"/>
            <w:right w:val="none" w:sz="0" w:space="0" w:color="auto"/>
          </w:divBdr>
        </w:div>
        <w:div w:id="1439371503">
          <w:marLeft w:val="0"/>
          <w:marRight w:val="0"/>
          <w:marTop w:val="0"/>
          <w:marBottom w:val="0"/>
          <w:divBdr>
            <w:top w:val="none" w:sz="0" w:space="0" w:color="auto"/>
            <w:left w:val="none" w:sz="0" w:space="0" w:color="auto"/>
            <w:bottom w:val="none" w:sz="0" w:space="0" w:color="auto"/>
            <w:right w:val="none" w:sz="0" w:space="0" w:color="auto"/>
          </w:divBdr>
        </w:div>
        <w:div w:id="1448312822">
          <w:marLeft w:val="0"/>
          <w:marRight w:val="0"/>
          <w:marTop w:val="0"/>
          <w:marBottom w:val="0"/>
          <w:divBdr>
            <w:top w:val="none" w:sz="0" w:space="0" w:color="auto"/>
            <w:left w:val="none" w:sz="0" w:space="0" w:color="auto"/>
            <w:bottom w:val="none" w:sz="0" w:space="0" w:color="auto"/>
            <w:right w:val="none" w:sz="0" w:space="0" w:color="auto"/>
          </w:divBdr>
        </w:div>
        <w:div w:id="1448545986">
          <w:marLeft w:val="0"/>
          <w:marRight w:val="0"/>
          <w:marTop w:val="0"/>
          <w:marBottom w:val="0"/>
          <w:divBdr>
            <w:top w:val="none" w:sz="0" w:space="0" w:color="auto"/>
            <w:left w:val="none" w:sz="0" w:space="0" w:color="auto"/>
            <w:bottom w:val="none" w:sz="0" w:space="0" w:color="auto"/>
            <w:right w:val="none" w:sz="0" w:space="0" w:color="auto"/>
          </w:divBdr>
        </w:div>
        <w:div w:id="1461528841">
          <w:marLeft w:val="0"/>
          <w:marRight w:val="0"/>
          <w:marTop w:val="0"/>
          <w:marBottom w:val="0"/>
          <w:divBdr>
            <w:top w:val="none" w:sz="0" w:space="0" w:color="auto"/>
            <w:left w:val="none" w:sz="0" w:space="0" w:color="auto"/>
            <w:bottom w:val="none" w:sz="0" w:space="0" w:color="auto"/>
            <w:right w:val="none" w:sz="0" w:space="0" w:color="auto"/>
          </w:divBdr>
        </w:div>
        <w:div w:id="1468746281">
          <w:marLeft w:val="0"/>
          <w:marRight w:val="0"/>
          <w:marTop w:val="0"/>
          <w:marBottom w:val="0"/>
          <w:divBdr>
            <w:top w:val="none" w:sz="0" w:space="0" w:color="auto"/>
            <w:left w:val="none" w:sz="0" w:space="0" w:color="auto"/>
            <w:bottom w:val="none" w:sz="0" w:space="0" w:color="auto"/>
            <w:right w:val="none" w:sz="0" w:space="0" w:color="auto"/>
          </w:divBdr>
        </w:div>
        <w:div w:id="1490945659">
          <w:marLeft w:val="0"/>
          <w:marRight w:val="0"/>
          <w:marTop w:val="0"/>
          <w:marBottom w:val="0"/>
          <w:divBdr>
            <w:top w:val="none" w:sz="0" w:space="0" w:color="auto"/>
            <w:left w:val="none" w:sz="0" w:space="0" w:color="auto"/>
            <w:bottom w:val="none" w:sz="0" w:space="0" w:color="auto"/>
            <w:right w:val="none" w:sz="0" w:space="0" w:color="auto"/>
          </w:divBdr>
        </w:div>
        <w:div w:id="1491170628">
          <w:marLeft w:val="0"/>
          <w:marRight w:val="0"/>
          <w:marTop w:val="0"/>
          <w:marBottom w:val="0"/>
          <w:divBdr>
            <w:top w:val="none" w:sz="0" w:space="0" w:color="auto"/>
            <w:left w:val="none" w:sz="0" w:space="0" w:color="auto"/>
            <w:bottom w:val="none" w:sz="0" w:space="0" w:color="auto"/>
            <w:right w:val="none" w:sz="0" w:space="0" w:color="auto"/>
          </w:divBdr>
        </w:div>
        <w:div w:id="1504054626">
          <w:marLeft w:val="0"/>
          <w:marRight w:val="0"/>
          <w:marTop w:val="0"/>
          <w:marBottom w:val="0"/>
          <w:divBdr>
            <w:top w:val="none" w:sz="0" w:space="0" w:color="auto"/>
            <w:left w:val="none" w:sz="0" w:space="0" w:color="auto"/>
            <w:bottom w:val="none" w:sz="0" w:space="0" w:color="auto"/>
            <w:right w:val="none" w:sz="0" w:space="0" w:color="auto"/>
          </w:divBdr>
        </w:div>
        <w:div w:id="1504465765">
          <w:marLeft w:val="0"/>
          <w:marRight w:val="0"/>
          <w:marTop w:val="0"/>
          <w:marBottom w:val="0"/>
          <w:divBdr>
            <w:top w:val="none" w:sz="0" w:space="0" w:color="auto"/>
            <w:left w:val="none" w:sz="0" w:space="0" w:color="auto"/>
            <w:bottom w:val="none" w:sz="0" w:space="0" w:color="auto"/>
            <w:right w:val="none" w:sz="0" w:space="0" w:color="auto"/>
          </w:divBdr>
        </w:div>
        <w:div w:id="1506095354">
          <w:marLeft w:val="0"/>
          <w:marRight w:val="0"/>
          <w:marTop w:val="0"/>
          <w:marBottom w:val="0"/>
          <w:divBdr>
            <w:top w:val="none" w:sz="0" w:space="0" w:color="auto"/>
            <w:left w:val="none" w:sz="0" w:space="0" w:color="auto"/>
            <w:bottom w:val="none" w:sz="0" w:space="0" w:color="auto"/>
            <w:right w:val="none" w:sz="0" w:space="0" w:color="auto"/>
          </w:divBdr>
        </w:div>
        <w:div w:id="1511527053">
          <w:marLeft w:val="0"/>
          <w:marRight w:val="0"/>
          <w:marTop w:val="0"/>
          <w:marBottom w:val="0"/>
          <w:divBdr>
            <w:top w:val="none" w:sz="0" w:space="0" w:color="auto"/>
            <w:left w:val="none" w:sz="0" w:space="0" w:color="auto"/>
            <w:bottom w:val="none" w:sz="0" w:space="0" w:color="auto"/>
            <w:right w:val="none" w:sz="0" w:space="0" w:color="auto"/>
          </w:divBdr>
        </w:div>
        <w:div w:id="1532841340">
          <w:marLeft w:val="0"/>
          <w:marRight w:val="0"/>
          <w:marTop w:val="0"/>
          <w:marBottom w:val="0"/>
          <w:divBdr>
            <w:top w:val="none" w:sz="0" w:space="0" w:color="auto"/>
            <w:left w:val="none" w:sz="0" w:space="0" w:color="auto"/>
            <w:bottom w:val="none" w:sz="0" w:space="0" w:color="auto"/>
            <w:right w:val="none" w:sz="0" w:space="0" w:color="auto"/>
          </w:divBdr>
        </w:div>
        <w:div w:id="1543906466">
          <w:marLeft w:val="0"/>
          <w:marRight w:val="0"/>
          <w:marTop w:val="0"/>
          <w:marBottom w:val="0"/>
          <w:divBdr>
            <w:top w:val="none" w:sz="0" w:space="0" w:color="auto"/>
            <w:left w:val="none" w:sz="0" w:space="0" w:color="auto"/>
            <w:bottom w:val="none" w:sz="0" w:space="0" w:color="auto"/>
            <w:right w:val="none" w:sz="0" w:space="0" w:color="auto"/>
          </w:divBdr>
        </w:div>
        <w:div w:id="1543980193">
          <w:marLeft w:val="0"/>
          <w:marRight w:val="0"/>
          <w:marTop w:val="0"/>
          <w:marBottom w:val="0"/>
          <w:divBdr>
            <w:top w:val="none" w:sz="0" w:space="0" w:color="auto"/>
            <w:left w:val="none" w:sz="0" w:space="0" w:color="auto"/>
            <w:bottom w:val="none" w:sz="0" w:space="0" w:color="auto"/>
            <w:right w:val="none" w:sz="0" w:space="0" w:color="auto"/>
          </w:divBdr>
        </w:div>
        <w:div w:id="1544907680">
          <w:marLeft w:val="0"/>
          <w:marRight w:val="0"/>
          <w:marTop w:val="0"/>
          <w:marBottom w:val="0"/>
          <w:divBdr>
            <w:top w:val="none" w:sz="0" w:space="0" w:color="auto"/>
            <w:left w:val="none" w:sz="0" w:space="0" w:color="auto"/>
            <w:bottom w:val="none" w:sz="0" w:space="0" w:color="auto"/>
            <w:right w:val="none" w:sz="0" w:space="0" w:color="auto"/>
          </w:divBdr>
        </w:div>
        <w:div w:id="1555460044">
          <w:marLeft w:val="0"/>
          <w:marRight w:val="0"/>
          <w:marTop w:val="0"/>
          <w:marBottom w:val="0"/>
          <w:divBdr>
            <w:top w:val="none" w:sz="0" w:space="0" w:color="auto"/>
            <w:left w:val="none" w:sz="0" w:space="0" w:color="auto"/>
            <w:bottom w:val="none" w:sz="0" w:space="0" w:color="auto"/>
            <w:right w:val="none" w:sz="0" w:space="0" w:color="auto"/>
          </w:divBdr>
        </w:div>
        <w:div w:id="1561790745">
          <w:marLeft w:val="0"/>
          <w:marRight w:val="0"/>
          <w:marTop w:val="0"/>
          <w:marBottom w:val="0"/>
          <w:divBdr>
            <w:top w:val="none" w:sz="0" w:space="0" w:color="auto"/>
            <w:left w:val="none" w:sz="0" w:space="0" w:color="auto"/>
            <w:bottom w:val="none" w:sz="0" w:space="0" w:color="auto"/>
            <w:right w:val="none" w:sz="0" w:space="0" w:color="auto"/>
          </w:divBdr>
        </w:div>
        <w:div w:id="1565869626">
          <w:marLeft w:val="0"/>
          <w:marRight w:val="0"/>
          <w:marTop w:val="0"/>
          <w:marBottom w:val="0"/>
          <w:divBdr>
            <w:top w:val="none" w:sz="0" w:space="0" w:color="auto"/>
            <w:left w:val="none" w:sz="0" w:space="0" w:color="auto"/>
            <w:bottom w:val="none" w:sz="0" w:space="0" w:color="auto"/>
            <w:right w:val="none" w:sz="0" w:space="0" w:color="auto"/>
          </w:divBdr>
        </w:div>
        <w:div w:id="1567908815">
          <w:marLeft w:val="0"/>
          <w:marRight w:val="0"/>
          <w:marTop w:val="0"/>
          <w:marBottom w:val="0"/>
          <w:divBdr>
            <w:top w:val="none" w:sz="0" w:space="0" w:color="auto"/>
            <w:left w:val="none" w:sz="0" w:space="0" w:color="auto"/>
            <w:bottom w:val="none" w:sz="0" w:space="0" w:color="auto"/>
            <w:right w:val="none" w:sz="0" w:space="0" w:color="auto"/>
          </w:divBdr>
        </w:div>
        <w:div w:id="1571691553">
          <w:marLeft w:val="0"/>
          <w:marRight w:val="0"/>
          <w:marTop w:val="0"/>
          <w:marBottom w:val="0"/>
          <w:divBdr>
            <w:top w:val="none" w:sz="0" w:space="0" w:color="auto"/>
            <w:left w:val="none" w:sz="0" w:space="0" w:color="auto"/>
            <w:bottom w:val="none" w:sz="0" w:space="0" w:color="auto"/>
            <w:right w:val="none" w:sz="0" w:space="0" w:color="auto"/>
          </w:divBdr>
        </w:div>
        <w:div w:id="1583878258">
          <w:marLeft w:val="0"/>
          <w:marRight w:val="0"/>
          <w:marTop w:val="0"/>
          <w:marBottom w:val="0"/>
          <w:divBdr>
            <w:top w:val="none" w:sz="0" w:space="0" w:color="auto"/>
            <w:left w:val="none" w:sz="0" w:space="0" w:color="auto"/>
            <w:bottom w:val="none" w:sz="0" w:space="0" w:color="auto"/>
            <w:right w:val="none" w:sz="0" w:space="0" w:color="auto"/>
          </w:divBdr>
        </w:div>
        <w:div w:id="1587837277">
          <w:marLeft w:val="0"/>
          <w:marRight w:val="0"/>
          <w:marTop w:val="0"/>
          <w:marBottom w:val="0"/>
          <w:divBdr>
            <w:top w:val="none" w:sz="0" w:space="0" w:color="auto"/>
            <w:left w:val="none" w:sz="0" w:space="0" w:color="auto"/>
            <w:bottom w:val="none" w:sz="0" w:space="0" w:color="auto"/>
            <w:right w:val="none" w:sz="0" w:space="0" w:color="auto"/>
          </w:divBdr>
        </w:div>
        <w:div w:id="1615671153">
          <w:marLeft w:val="0"/>
          <w:marRight w:val="0"/>
          <w:marTop w:val="0"/>
          <w:marBottom w:val="0"/>
          <w:divBdr>
            <w:top w:val="none" w:sz="0" w:space="0" w:color="auto"/>
            <w:left w:val="none" w:sz="0" w:space="0" w:color="auto"/>
            <w:bottom w:val="none" w:sz="0" w:space="0" w:color="auto"/>
            <w:right w:val="none" w:sz="0" w:space="0" w:color="auto"/>
          </w:divBdr>
        </w:div>
        <w:div w:id="1619602239">
          <w:marLeft w:val="0"/>
          <w:marRight w:val="0"/>
          <w:marTop w:val="0"/>
          <w:marBottom w:val="0"/>
          <w:divBdr>
            <w:top w:val="none" w:sz="0" w:space="0" w:color="auto"/>
            <w:left w:val="none" w:sz="0" w:space="0" w:color="auto"/>
            <w:bottom w:val="none" w:sz="0" w:space="0" w:color="auto"/>
            <w:right w:val="none" w:sz="0" w:space="0" w:color="auto"/>
          </w:divBdr>
        </w:div>
        <w:div w:id="1631399262">
          <w:marLeft w:val="0"/>
          <w:marRight w:val="0"/>
          <w:marTop w:val="0"/>
          <w:marBottom w:val="0"/>
          <w:divBdr>
            <w:top w:val="none" w:sz="0" w:space="0" w:color="auto"/>
            <w:left w:val="none" w:sz="0" w:space="0" w:color="auto"/>
            <w:bottom w:val="none" w:sz="0" w:space="0" w:color="auto"/>
            <w:right w:val="none" w:sz="0" w:space="0" w:color="auto"/>
          </w:divBdr>
        </w:div>
        <w:div w:id="1633058033">
          <w:marLeft w:val="0"/>
          <w:marRight w:val="0"/>
          <w:marTop w:val="0"/>
          <w:marBottom w:val="0"/>
          <w:divBdr>
            <w:top w:val="none" w:sz="0" w:space="0" w:color="auto"/>
            <w:left w:val="none" w:sz="0" w:space="0" w:color="auto"/>
            <w:bottom w:val="none" w:sz="0" w:space="0" w:color="auto"/>
            <w:right w:val="none" w:sz="0" w:space="0" w:color="auto"/>
          </w:divBdr>
        </w:div>
        <w:div w:id="1677269227">
          <w:marLeft w:val="0"/>
          <w:marRight w:val="0"/>
          <w:marTop w:val="0"/>
          <w:marBottom w:val="0"/>
          <w:divBdr>
            <w:top w:val="none" w:sz="0" w:space="0" w:color="auto"/>
            <w:left w:val="none" w:sz="0" w:space="0" w:color="auto"/>
            <w:bottom w:val="none" w:sz="0" w:space="0" w:color="auto"/>
            <w:right w:val="none" w:sz="0" w:space="0" w:color="auto"/>
          </w:divBdr>
        </w:div>
        <w:div w:id="1677270890">
          <w:marLeft w:val="0"/>
          <w:marRight w:val="0"/>
          <w:marTop w:val="0"/>
          <w:marBottom w:val="0"/>
          <w:divBdr>
            <w:top w:val="none" w:sz="0" w:space="0" w:color="auto"/>
            <w:left w:val="none" w:sz="0" w:space="0" w:color="auto"/>
            <w:bottom w:val="none" w:sz="0" w:space="0" w:color="auto"/>
            <w:right w:val="none" w:sz="0" w:space="0" w:color="auto"/>
          </w:divBdr>
        </w:div>
        <w:div w:id="1678538814">
          <w:marLeft w:val="0"/>
          <w:marRight w:val="0"/>
          <w:marTop w:val="0"/>
          <w:marBottom w:val="0"/>
          <w:divBdr>
            <w:top w:val="none" w:sz="0" w:space="0" w:color="auto"/>
            <w:left w:val="none" w:sz="0" w:space="0" w:color="auto"/>
            <w:bottom w:val="none" w:sz="0" w:space="0" w:color="auto"/>
            <w:right w:val="none" w:sz="0" w:space="0" w:color="auto"/>
          </w:divBdr>
        </w:div>
        <w:div w:id="1678994255">
          <w:marLeft w:val="0"/>
          <w:marRight w:val="0"/>
          <w:marTop w:val="0"/>
          <w:marBottom w:val="0"/>
          <w:divBdr>
            <w:top w:val="none" w:sz="0" w:space="0" w:color="auto"/>
            <w:left w:val="none" w:sz="0" w:space="0" w:color="auto"/>
            <w:bottom w:val="none" w:sz="0" w:space="0" w:color="auto"/>
            <w:right w:val="none" w:sz="0" w:space="0" w:color="auto"/>
          </w:divBdr>
        </w:div>
        <w:div w:id="1684897018">
          <w:marLeft w:val="0"/>
          <w:marRight w:val="0"/>
          <w:marTop w:val="0"/>
          <w:marBottom w:val="0"/>
          <w:divBdr>
            <w:top w:val="none" w:sz="0" w:space="0" w:color="auto"/>
            <w:left w:val="none" w:sz="0" w:space="0" w:color="auto"/>
            <w:bottom w:val="none" w:sz="0" w:space="0" w:color="auto"/>
            <w:right w:val="none" w:sz="0" w:space="0" w:color="auto"/>
          </w:divBdr>
        </w:div>
        <w:div w:id="1708140848">
          <w:marLeft w:val="0"/>
          <w:marRight w:val="0"/>
          <w:marTop w:val="0"/>
          <w:marBottom w:val="0"/>
          <w:divBdr>
            <w:top w:val="none" w:sz="0" w:space="0" w:color="auto"/>
            <w:left w:val="none" w:sz="0" w:space="0" w:color="auto"/>
            <w:bottom w:val="none" w:sz="0" w:space="0" w:color="auto"/>
            <w:right w:val="none" w:sz="0" w:space="0" w:color="auto"/>
          </w:divBdr>
        </w:div>
        <w:div w:id="1712077298">
          <w:marLeft w:val="0"/>
          <w:marRight w:val="0"/>
          <w:marTop w:val="0"/>
          <w:marBottom w:val="0"/>
          <w:divBdr>
            <w:top w:val="none" w:sz="0" w:space="0" w:color="auto"/>
            <w:left w:val="none" w:sz="0" w:space="0" w:color="auto"/>
            <w:bottom w:val="none" w:sz="0" w:space="0" w:color="auto"/>
            <w:right w:val="none" w:sz="0" w:space="0" w:color="auto"/>
          </w:divBdr>
        </w:div>
        <w:div w:id="1713072388">
          <w:marLeft w:val="0"/>
          <w:marRight w:val="0"/>
          <w:marTop w:val="0"/>
          <w:marBottom w:val="0"/>
          <w:divBdr>
            <w:top w:val="none" w:sz="0" w:space="0" w:color="auto"/>
            <w:left w:val="none" w:sz="0" w:space="0" w:color="auto"/>
            <w:bottom w:val="none" w:sz="0" w:space="0" w:color="auto"/>
            <w:right w:val="none" w:sz="0" w:space="0" w:color="auto"/>
          </w:divBdr>
        </w:div>
        <w:div w:id="1724598617">
          <w:marLeft w:val="0"/>
          <w:marRight w:val="0"/>
          <w:marTop w:val="0"/>
          <w:marBottom w:val="0"/>
          <w:divBdr>
            <w:top w:val="none" w:sz="0" w:space="0" w:color="auto"/>
            <w:left w:val="none" w:sz="0" w:space="0" w:color="auto"/>
            <w:bottom w:val="none" w:sz="0" w:space="0" w:color="auto"/>
            <w:right w:val="none" w:sz="0" w:space="0" w:color="auto"/>
          </w:divBdr>
        </w:div>
        <w:div w:id="1754088243">
          <w:marLeft w:val="0"/>
          <w:marRight w:val="0"/>
          <w:marTop w:val="0"/>
          <w:marBottom w:val="0"/>
          <w:divBdr>
            <w:top w:val="none" w:sz="0" w:space="0" w:color="auto"/>
            <w:left w:val="none" w:sz="0" w:space="0" w:color="auto"/>
            <w:bottom w:val="none" w:sz="0" w:space="0" w:color="auto"/>
            <w:right w:val="none" w:sz="0" w:space="0" w:color="auto"/>
          </w:divBdr>
        </w:div>
        <w:div w:id="1774091788">
          <w:marLeft w:val="0"/>
          <w:marRight w:val="0"/>
          <w:marTop w:val="0"/>
          <w:marBottom w:val="0"/>
          <w:divBdr>
            <w:top w:val="none" w:sz="0" w:space="0" w:color="auto"/>
            <w:left w:val="none" w:sz="0" w:space="0" w:color="auto"/>
            <w:bottom w:val="none" w:sz="0" w:space="0" w:color="auto"/>
            <w:right w:val="none" w:sz="0" w:space="0" w:color="auto"/>
          </w:divBdr>
        </w:div>
        <w:div w:id="1805196862">
          <w:marLeft w:val="0"/>
          <w:marRight w:val="0"/>
          <w:marTop w:val="0"/>
          <w:marBottom w:val="0"/>
          <w:divBdr>
            <w:top w:val="none" w:sz="0" w:space="0" w:color="auto"/>
            <w:left w:val="none" w:sz="0" w:space="0" w:color="auto"/>
            <w:bottom w:val="none" w:sz="0" w:space="0" w:color="auto"/>
            <w:right w:val="none" w:sz="0" w:space="0" w:color="auto"/>
          </w:divBdr>
        </w:div>
        <w:div w:id="1806510016">
          <w:marLeft w:val="0"/>
          <w:marRight w:val="0"/>
          <w:marTop w:val="0"/>
          <w:marBottom w:val="0"/>
          <w:divBdr>
            <w:top w:val="none" w:sz="0" w:space="0" w:color="auto"/>
            <w:left w:val="none" w:sz="0" w:space="0" w:color="auto"/>
            <w:bottom w:val="none" w:sz="0" w:space="0" w:color="auto"/>
            <w:right w:val="none" w:sz="0" w:space="0" w:color="auto"/>
          </w:divBdr>
        </w:div>
        <w:div w:id="1820344180">
          <w:marLeft w:val="0"/>
          <w:marRight w:val="0"/>
          <w:marTop w:val="0"/>
          <w:marBottom w:val="0"/>
          <w:divBdr>
            <w:top w:val="none" w:sz="0" w:space="0" w:color="auto"/>
            <w:left w:val="none" w:sz="0" w:space="0" w:color="auto"/>
            <w:bottom w:val="none" w:sz="0" w:space="0" w:color="auto"/>
            <w:right w:val="none" w:sz="0" w:space="0" w:color="auto"/>
          </w:divBdr>
        </w:div>
        <w:div w:id="1825318921">
          <w:marLeft w:val="0"/>
          <w:marRight w:val="0"/>
          <w:marTop w:val="0"/>
          <w:marBottom w:val="0"/>
          <w:divBdr>
            <w:top w:val="none" w:sz="0" w:space="0" w:color="auto"/>
            <w:left w:val="none" w:sz="0" w:space="0" w:color="auto"/>
            <w:bottom w:val="none" w:sz="0" w:space="0" w:color="auto"/>
            <w:right w:val="none" w:sz="0" w:space="0" w:color="auto"/>
          </w:divBdr>
        </w:div>
        <w:div w:id="1841920599">
          <w:marLeft w:val="0"/>
          <w:marRight w:val="0"/>
          <w:marTop w:val="0"/>
          <w:marBottom w:val="0"/>
          <w:divBdr>
            <w:top w:val="none" w:sz="0" w:space="0" w:color="auto"/>
            <w:left w:val="none" w:sz="0" w:space="0" w:color="auto"/>
            <w:bottom w:val="none" w:sz="0" w:space="0" w:color="auto"/>
            <w:right w:val="none" w:sz="0" w:space="0" w:color="auto"/>
          </w:divBdr>
        </w:div>
        <w:div w:id="1847818767">
          <w:marLeft w:val="0"/>
          <w:marRight w:val="0"/>
          <w:marTop w:val="0"/>
          <w:marBottom w:val="0"/>
          <w:divBdr>
            <w:top w:val="none" w:sz="0" w:space="0" w:color="auto"/>
            <w:left w:val="none" w:sz="0" w:space="0" w:color="auto"/>
            <w:bottom w:val="none" w:sz="0" w:space="0" w:color="auto"/>
            <w:right w:val="none" w:sz="0" w:space="0" w:color="auto"/>
          </w:divBdr>
        </w:div>
        <w:div w:id="1850560175">
          <w:marLeft w:val="0"/>
          <w:marRight w:val="0"/>
          <w:marTop w:val="0"/>
          <w:marBottom w:val="0"/>
          <w:divBdr>
            <w:top w:val="none" w:sz="0" w:space="0" w:color="auto"/>
            <w:left w:val="none" w:sz="0" w:space="0" w:color="auto"/>
            <w:bottom w:val="none" w:sz="0" w:space="0" w:color="auto"/>
            <w:right w:val="none" w:sz="0" w:space="0" w:color="auto"/>
          </w:divBdr>
        </w:div>
        <w:div w:id="1853566855">
          <w:marLeft w:val="0"/>
          <w:marRight w:val="0"/>
          <w:marTop w:val="0"/>
          <w:marBottom w:val="0"/>
          <w:divBdr>
            <w:top w:val="none" w:sz="0" w:space="0" w:color="auto"/>
            <w:left w:val="none" w:sz="0" w:space="0" w:color="auto"/>
            <w:bottom w:val="none" w:sz="0" w:space="0" w:color="auto"/>
            <w:right w:val="none" w:sz="0" w:space="0" w:color="auto"/>
          </w:divBdr>
        </w:div>
        <w:div w:id="1858343951">
          <w:marLeft w:val="0"/>
          <w:marRight w:val="0"/>
          <w:marTop w:val="0"/>
          <w:marBottom w:val="0"/>
          <w:divBdr>
            <w:top w:val="none" w:sz="0" w:space="0" w:color="auto"/>
            <w:left w:val="none" w:sz="0" w:space="0" w:color="auto"/>
            <w:bottom w:val="none" w:sz="0" w:space="0" w:color="auto"/>
            <w:right w:val="none" w:sz="0" w:space="0" w:color="auto"/>
          </w:divBdr>
        </w:div>
        <w:div w:id="1867408826">
          <w:marLeft w:val="0"/>
          <w:marRight w:val="0"/>
          <w:marTop w:val="0"/>
          <w:marBottom w:val="0"/>
          <w:divBdr>
            <w:top w:val="none" w:sz="0" w:space="0" w:color="auto"/>
            <w:left w:val="none" w:sz="0" w:space="0" w:color="auto"/>
            <w:bottom w:val="none" w:sz="0" w:space="0" w:color="auto"/>
            <w:right w:val="none" w:sz="0" w:space="0" w:color="auto"/>
          </w:divBdr>
        </w:div>
        <w:div w:id="1879008199">
          <w:marLeft w:val="0"/>
          <w:marRight w:val="0"/>
          <w:marTop w:val="0"/>
          <w:marBottom w:val="0"/>
          <w:divBdr>
            <w:top w:val="none" w:sz="0" w:space="0" w:color="auto"/>
            <w:left w:val="none" w:sz="0" w:space="0" w:color="auto"/>
            <w:bottom w:val="none" w:sz="0" w:space="0" w:color="auto"/>
            <w:right w:val="none" w:sz="0" w:space="0" w:color="auto"/>
          </w:divBdr>
        </w:div>
        <w:div w:id="1883055959">
          <w:marLeft w:val="0"/>
          <w:marRight w:val="0"/>
          <w:marTop w:val="0"/>
          <w:marBottom w:val="0"/>
          <w:divBdr>
            <w:top w:val="none" w:sz="0" w:space="0" w:color="auto"/>
            <w:left w:val="none" w:sz="0" w:space="0" w:color="auto"/>
            <w:bottom w:val="none" w:sz="0" w:space="0" w:color="auto"/>
            <w:right w:val="none" w:sz="0" w:space="0" w:color="auto"/>
          </w:divBdr>
        </w:div>
        <w:div w:id="1885019419">
          <w:marLeft w:val="0"/>
          <w:marRight w:val="0"/>
          <w:marTop w:val="0"/>
          <w:marBottom w:val="0"/>
          <w:divBdr>
            <w:top w:val="none" w:sz="0" w:space="0" w:color="auto"/>
            <w:left w:val="none" w:sz="0" w:space="0" w:color="auto"/>
            <w:bottom w:val="none" w:sz="0" w:space="0" w:color="auto"/>
            <w:right w:val="none" w:sz="0" w:space="0" w:color="auto"/>
          </w:divBdr>
        </w:div>
        <w:div w:id="1905027710">
          <w:marLeft w:val="0"/>
          <w:marRight w:val="0"/>
          <w:marTop w:val="0"/>
          <w:marBottom w:val="0"/>
          <w:divBdr>
            <w:top w:val="none" w:sz="0" w:space="0" w:color="auto"/>
            <w:left w:val="none" w:sz="0" w:space="0" w:color="auto"/>
            <w:bottom w:val="none" w:sz="0" w:space="0" w:color="auto"/>
            <w:right w:val="none" w:sz="0" w:space="0" w:color="auto"/>
          </w:divBdr>
        </w:div>
        <w:div w:id="1912157179">
          <w:marLeft w:val="0"/>
          <w:marRight w:val="0"/>
          <w:marTop w:val="0"/>
          <w:marBottom w:val="0"/>
          <w:divBdr>
            <w:top w:val="none" w:sz="0" w:space="0" w:color="auto"/>
            <w:left w:val="none" w:sz="0" w:space="0" w:color="auto"/>
            <w:bottom w:val="none" w:sz="0" w:space="0" w:color="auto"/>
            <w:right w:val="none" w:sz="0" w:space="0" w:color="auto"/>
          </w:divBdr>
        </w:div>
        <w:div w:id="1913924831">
          <w:marLeft w:val="0"/>
          <w:marRight w:val="0"/>
          <w:marTop w:val="0"/>
          <w:marBottom w:val="0"/>
          <w:divBdr>
            <w:top w:val="none" w:sz="0" w:space="0" w:color="auto"/>
            <w:left w:val="none" w:sz="0" w:space="0" w:color="auto"/>
            <w:bottom w:val="none" w:sz="0" w:space="0" w:color="auto"/>
            <w:right w:val="none" w:sz="0" w:space="0" w:color="auto"/>
          </w:divBdr>
        </w:div>
        <w:div w:id="1925214953">
          <w:marLeft w:val="0"/>
          <w:marRight w:val="0"/>
          <w:marTop w:val="0"/>
          <w:marBottom w:val="0"/>
          <w:divBdr>
            <w:top w:val="none" w:sz="0" w:space="0" w:color="auto"/>
            <w:left w:val="none" w:sz="0" w:space="0" w:color="auto"/>
            <w:bottom w:val="none" w:sz="0" w:space="0" w:color="auto"/>
            <w:right w:val="none" w:sz="0" w:space="0" w:color="auto"/>
          </w:divBdr>
        </w:div>
        <w:div w:id="1966691778">
          <w:marLeft w:val="0"/>
          <w:marRight w:val="0"/>
          <w:marTop w:val="0"/>
          <w:marBottom w:val="0"/>
          <w:divBdr>
            <w:top w:val="none" w:sz="0" w:space="0" w:color="auto"/>
            <w:left w:val="none" w:sz="0" w:space="0" w:color="auto"/>
            <w:bottom w:val="none" w:sz="0" w:space="0" w:color="auto"/>
            <w:right w:val="none" w:sz="0" w:space="0" w:color="auto"/>
          </w:divBdr>
        </w:div>
        <w:div w:id="1973170548">
          <w:marLeft w:val="0"/>
          <w:marRight w:val="0"/>
          <w:marTop w:val="0"/>
          <w:marBottom w:val="0"/>
          <w:divBdr>
            <w:top w:val="none" w:sz="0" w:space="0" w:color="auto"/>
            <w:left w:val="none" w:sz="0" w:space="0" w:color="auto"/>
            <w:bottom w:val="none" w:sz="0" w:space="0" w:color="auto"/>
            <w:right w:val="none" w:sz="0" w:space="0" w:color="auto"/>
          </w:divBdr>
        </w:div>
        <w:div w:id="1982076313">
          <w:marLeft w:val="0"/>
          <w:marRight w:val="0"/>
          <w:marTop w:val="0"/>
          <w:marBottom w:val="0"/>
          <w:divBdr>
            <w:top w:val="none" w:sz="0" w:space="0" w:color="auto"/>
            <w:left w:val="none" w:sz="0" w:space="0" w:color="auto"/>
            <w:bottom w:val="none" w:sz="0" w:space="0" w:color="auto"/>
            <w:right w:val="none" w:sz="0" w:space="0" w:color="auto"/>
          </w:divBdr>
        </w:div>
        <w:div w:id="1986464913">
          <w:marLeft w:val="0"/>
          <w:marRight w:val="0"/>
          <w:marTop w:val="0"/>
          <w:marBottom w:val="0"/>
          <w:divBdr>
            <w:top w:val="none" w:sz="0" w:space="0" w:color="auto"/>
            <w:left w:val="none" w:sz="0" w:space="0" w:color="auto"/>
            <w:bottom w:val="none" w:sz="0" w:space="0" w:color="auto"/>
            <w:right w:val="none" w:sz="0" w:space="0" w:color="auto"/>
          </w:divBdr>
        </w:div>
        <w:div w:id="2011250435">
          <w:marLeft w:val="0"/>
          <w:marRight w:val="0"/>
          <w:marTop w:val="0"/>
          <w:marBottom w:val="0"/>
          <w:divBdr>
            <w:top w:val="none" w:sz="0" w:space="0" w:color="auto"/>
            <w:left w:val="none" w:sz="0" w:space="0" w:color="auto"/>
            <w:bottom w:val="none" w:sz="0" w:space="0" w:color="auto"/>
            <w:right w:val="none" w:sz="0" w:space="0" w:color="auto"/>
          </w:divBdr>
        </w:div>
        <w:div w:id="2014601254">
          <w:marLeft w:val="0"/>
          <w:marRight w:val="0"/>
          <w:marTop w:val="0"/>
          <w:marBottom w:val="0"/>
          <w:divBdr>
            <w:top w:val="none" w:sz="0" w:space="0" w:color="auto"/>
            <w:left w:val="none" w:sz="0" w:space="0" w:color="auto"/>
            <w:bottom w:val="none" w:sz="0" w:space="0" w:color="auto"/>
            <w:right w:val="none" w:sz="0" w:space="0" w:color="auto"/>
          </w:divBdr>
        </w:div>
        <w:div w:id="2029868527">
          <w:marLeft w:val="0"/>
          <w:marRight w:val="0"/>
          <w:marTop w:val="0"/>
          <w:marBottom w:val="0"/>
          <w:divBdr>
            <w:top w:val="none" w:sz="0" w:space="0" w:color="auto"/>
            <w:left w:val="none" w:sz="0" w:space="0" w:color="auto"/>
            <w:bottom w:val="none" w:sz="0" w:space="0" w:color="auto"/>
            <w:right w:val="none" w:sz="0" w:space="0" w:color="auto"/>
          </w:divBdr>
        </w:div>
        <w:div w:id="2040472679">
          <w:marLeft w:val="0"/>
          <w:marRight w:val="0"/>
          <w:marTop w:val="0"/>
          <w:marBottom w:val="0"/>
          <w:divBdr>
            <w:top w:val="none" w:sz="0" w:space="0" w:color="auto"/>
            <w:left w:val="none" w:sz="0" w:space="0" w:color="auto"/>
            <w:bottom w:val="none" w:sz="0" w:space="0" w:color="auto"/>
            <w:right w:val="none" w:sz="0" w:space="0" w:color="auto"/>
          </w:divBdr>
        </w:div>
        <w:div w:id="2053453812">
          <w:marLeft w:val="0"/>
          <w:marRight w:val="0"/>
          <w:marTop w:val="0"/>
          <w:marBottom w:val="0"/>
          <w:divBdr>
            <w:top w:val="none" w:sz="0" w:space="0" w:color="auto"/>
            <w:left w:val="none" w:sz="0" w:space="0" w:color="auto"/>
            <w:bottom w:val="none" w:sz="0" w:space="0" w:color="auto"/>
            <w:right w:val="none" w:sz="0" w:space="0" w:color="auto"/>
          </w:divBdr>
        </w:div>
        <w:div w:id="2053578667">
          <w:marLeft w:val="0"/>
          <w:marRight w:val="0"/>
          <w:marTop w:val="0"/>
          <w:marBottom w:val="0"/>
          <w:divBdr>
            <w:top w:val="none" w:sz="0" w:space="0" w:color="auto"/>
            <w:left w:val="none" w:sz="0" w:space="0" w:color="auto"/>
            <w:bottom w:val="none" w:sz="0" w:space="0" w:color="auto"/>
            <w:right w:val="none" w:sz="0" w:space="0" w:color="auto"/>
          </w:divBdr>
        </w:div>
        <w:div w:id="2084601234">
          <w:marLeft w:val="0"/>
          <w:marRight w:val="0"/>
          <w:marTop w:val="0"/>
          <w:marBottom w:val="0"/>
          <w:divBdr>
            <w:top w:val="none" w:sz="0" w:space="0" w:color="auto"/>
            <w:left w:val="none" w:sz="0" w:space="0" w:color="auto"/>
            <w:bottom w:val="none" w:sz="0" w:space="0" w:color="auto"/>
            <w:right w:val="none" w:sz="0" w:space="0" w:color="auto"/>
          </w:divBdr>
        </w:div>
        <w:div w:id="2085100739">
          <w:marLeft w:val="0"/>
          <w:marRight w:val="0"/>
          <w:marTop w:val="0"/>
          <w:marBottom w:val="0"/>
          <w:divBdr>
            <w:top w:val="none" w:sz="0" w:space="0" w:color="auto"/>
            <w:left w:val="none" w:sz="0" w:space="0" w:color="auto"/>
            <w:bottom w:val="none" w:sz="0" w:space="0" w:color="auto"/>
            <w:right w:val="none" w:sz="0" w:space="0" w:color="auto"/>
          </w:divBdr>
        </w:div>
        <w:div w:id="2091804497">
          <w:marLeft w:val="0"/>
          <w:marRight w:val="0"/>
          <w:marTop w:val="0"/>
          <w:marBottom w:val="0"/>
          <w:divBdr>
            <w:top w:val="none" w:sz="0" w:space="0" w:color="auto"/>
            <w:left w:val="none" w:sz="0" w:space="0" w:color="auto"/>
            <w:bottom w:val="none" w:sz="0" w:space="0" w:color="auto"/>
            <w:right w:val="none" w:sz="0" w:space="0" w:color="auto"/>
          </w:divBdr>
        </w:div>
        <w:div w:id="2099786894">
          <w:marLeft w:val="0"/>
          <w:marRight w:val="0"/>
          <w:marTop w:val="0"/>
          <w:marBottom w:val="0"/>
          <w:divBdr>
            <w:top w:val="none" w:sz="0" w:space="0" w:color="auto"/>
            <w:left w:val="none" w:sz="0" w:space="0" w:color="auto"/>
            <w:bottom w:val="none" w:sz="0" w:space="0" w:color="auto"/>
            <w:right w:val="none" w:sz="0" w:space="0" w:color="auto"/>
          </w:divBdr>
        </w:div>
        <w:div w:id="2103183859">
          <w:marLeft w:val="0"/>
          <w:marRight w:val="0"/>
          <w:marTop w:val="0"/>
          <w:marBottom w:val="0"/>
          <w:divBdr>
            <w:top w:val="none" w:sz="0" w:space="0" w:color="auto"/>
            <w:left w:val="none" w:sz="0" w:space="0" w:color="auto"/>
            <w:bottom w:val="none" w:sz="0" w:space="0" w:color="auto"/>
            <w:right w:val="none" w:sz="0" w:space="0" w:color="auto"/>
          </w:divBdr>
        </w:div>
        <w:div w:id="2103988898">
          <w:marLeft w:val="0"/>
          <w:marRight w:val="0"/>
          <w:marTop w:val="0"/>
          <w:marBottom w:val="0"/>
          <w:divBdr>
            <w:top w:val="none" w:sz="0" w:space="0" w:color="auto"/>
            <w:left w:val="none" w:sz="0" w:space="0" w:color="auto"/>
            <w:bottom w:val="none" w:sz="0" w:space="0" w:color="auto"/>
            <w:right w:val="none" w:sz="0" w:space="0" w:color="auto"/>
          </w:divBdr>
        </w:div>
        <w:div w:id="2115633846">
          <w:marLeft w:val="0"/>
          <w:marRight w:val="0"/>
          <w:marTop w:val="0"/>
          <w:marBottom w:val="0"/>
          <w:divBdr>
            <w:top w:val="none" w:sz="0" w:space="0" w:color="auto"/>
            <w:left w:val="none" w:sz="0" w:space="0" w:color="auto"/>
            <w:bottom w:val="none" w:sz="0" w:space="0" w:color="auto"/>
            <w:right w:val="none" w:sz="0" w:space="0" w:color="auto"/>
          </w:divBdr>
        </w:div>
        <w:div w:id="2129346241">
          <w:marLeft w:val="0"/>
          <w:marRight w:val="0"/>
          <w:marTop w:val="0"/>
          <w:marBottom w:val="0"/>
          <w:divBdr>
            <w:top w:val="none" w:sz="0" w:space="0" w:color="auto"/>
            <w:left w:val="none" w:sz="0" w:space="0" w:color="auto"/>
            <w:bottom w:val="none" w:sz="0" w:space="0" w:color="auto"/>
            <w:right w:val="none" w:sz="0" w:space="0" w:color="auto"/>
          </w:divBdr>
        </w:div>
        <w:div w:id="2131511829">
          <w:marLeft w:val="0"/>
          <w:marRight w:val="0"/>
          <w:marTop w:val="0"/>
          <w:marBottom w:val="0"/>
          <w:divBdr>
            <w:top w:val="none" w:sz="0" w:space="0" w:color="auto"/>
            <w:left w:val="none" w:sz="0" w:space="0" w:color="auto"/>
            <w:bottom w:val="none" w:sz="0" w:space="0" w:color="auto"/>
            <w:right w:val="none" w:sz="0" w:space="0" w:color="auto"/>
          </w:divBdr>
        </w:div>
        <w:div w:id="2135521365">
          <w:marLeft w:val="0"/>
          <w:marRight w:val="0"/>
          <w:marTop w:val="0"/>
          <w:marBottom w:val="0"/>
          <w:divBdr>
            <w:top w:val="none" w:sz="0" w:space="0" w:color="auto"/>
            <w:left w:val="none" w:sz="0" w:space="0" w:color="auto"/>
            <w:bottom w:val="none" w:sz="0" w:space="0" w:color="auto"/>
            <w:right w:val="none" w:sz="0" w:space="0" w:color="auto"/>
          </w:divBdr>
        </w:div>
        <w:div w:id="2139954507">
          <w:marLeft w:val="0"/>
          <w:marRight w:val="0"/>
          <w:marTop w:val="0"/>
          <w:marBottom w:val="0"/>
          <w:divBdr>
            <w:top w:val="none" w:sz="0" w:space="0" w:color="auto"/>
            <w:left w:val="none" w:sz="0" w:space="0" w:color="auto"/>
            <w:bottom w:val="none" w:sz="0" w:space="0" w:color="auto"/>
            <w:right w:val="none" w:sz="0" w:space="0" w:color="auto"/>
          </w:divBdr>
        </w:div>
        <w:div w:id="2141341665">
          <w:marLeft w:val="0"/>
          <w:marRight w:val="0"/>
          <w:marTop w:val="0"/>
          <w:marBottom w:val="0"/>
          <w:divBdr>
            <w:top w:val="none" w:sz="0" w:space="0" w:color="auto"/>
            <w:left w:val="none" w:sz="0" w:space="0" w:color="auto"/>
            <w:bottom w:val="none" w:sz="0" w:space="0" w:color="auto"/>
            <w:right w:val="none" w:sz="0" w:space="0" w:color="auto"/>
          </w:divBdr>
        </w:div>
        <w:div w:id="2146387335">
          <w:marLeft w:val="0"/>
          <w:marRight w:val="0"/>
          <w:marTop w:val="0"/>
          <w:marBottom w:val="0"/>
          <w:divBdr>
            <w:top w:val="none" w:sz="0" w:space="0" w:color="auto"/>
            <w:left w:val="none" w:sz="0" w:space="0" w:color="auto"/>
            <w:bottom w:val="none" w:sz="0" w:space="0" w:color="auto"/>
            <w:right w:val="none" w:sz="0" w:space="0" w:color="auto"/>
          </w:divBdr>
        </w:div>
      </w:divsChild>
    </w:div>
    <w:div w:id="712071744">
      <w:bodyDiv w:val="1"/>
      <w:marLeft w:val="0"/>
      <w:marRight w:val="0"/>
      <w:marTop w:val="0"/>
      <w:marBottom w:val="0"/>
      <w:divBdr>
        <w:top w:val="none" w:sz="0" w:space="0" w:color="auto"/>
        <w:left w:val="none" w:sz="0" w:space="0" w:color="auto"/>
        <w:bottom w:val="none" w:sz="0" w:space="0" w:color="auto"/>
        <w:right w:val="none" w:sz="0" w:space="0" w:color="auto"/>
      </w:divBdr>
    </w:div>
    <w:div w:id="1381854810">
      <w:bodyDiv w:val="1"/>
      <w:marLeft w:val="0"/>
      <w:marRight w:val="0"/>
      <w:marTop w:val="0"/>
      <w:marBottom w:val="0"/>
      <w:divBdr>
        <w:top w:val="none" w:sz="0" w:space="0" w:color="auto"/>
        <w:left w:val="none" w:sz="0" w:space="0" w:color="auto"/>
        <w:bottom w:val="none" w:sz="0" w:space="0" w:color="auto"/>
        <w:right w:val="none" w:sz="0" w:space="0" w:color="auto"/>
      </w:divBdr>
    </w:div>
    <w:div w:id="1592809129">
      <w:bodyDiv w:val="1"/>
      <w:marLeft w:val="0"/>
      <w:marRight w:val="0"/>
      <w:marTop w:val="0"/>
      <w:marBottom w:val="0"/>
      <w:divBdr>
        <w:top w:val="none" w:sz="0" w:space="0" w:color="auto"/>
        <w:left w:val="none" w:sz="0" w:space="0" w:color="auto"/>
        <w:bottom w:val="none" w:sz="0" w:space="0" w:color="auto"/>
        <w:right w:val="none" w:sz="0" w:space="0" w:color="auto"/>
      </w:divBdr>
    </w:div>
    <w:div w:id="1866287473">
      <w:bodyDiv w:val="1"/>
      <w:marLeft w:val="0"/>
      <w:marRight w:val="0"/>
      <w:marTop w:val="0"/>
      <w:marBottom w:val="0"/>
      <w:divBdr>
        <w:top w:val="none" w:sz="0" w:space="0" w:color="auto"/>
        <w:left w:val="none" w:sz="0" w:space="0" w:color="auto"/>
        <w:bottom w:val="none" w:sz="0" w:space="0" w:color="auto"/>
        <w:right w:val="none" w:sz="0" w:space="0" w:color="auto"/>
      </w:divBdr>
    </w:div>
    <w:div w:id="20694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youtu.be/NR3sSixtnD0?si=J_XDLE1W_wZcOwQ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jorf/id/JORFTEXT000048178349" TargetMode="External"/><Relationship Id="rId13" Type="http://schemas.openxmlformats.org/officeDocument/2006/relationships/hyperlink" Target="https://www.opiiec.fr/sites/default/files/inline-files/OPIIEC%20-%20Accessibillite%20numeri%20e%20%20pport%20final.pdf" TargetMode="External"/><Relationship Id="rId18" Type="http://schemas.openxmlformats.org/officeDocument/2006/relationships/hyperlink" Target="https://design.numerique.gouv.fr/assets/doc/clauses-a11y-mi.odt" TargetMode="External"/><Relationship Id="rId26" Type="http://schemas.openxmlformats.org/officeDocument/2006/relationships/hyperlink" Target="https://opensource.orange.com/fr/actualites/accessibility-fr/tota11ylost/" TargetMode="External"/><Relationship Id="rId3" Type="http://schemas.openxmlformats.org/officeDocument/2006/relationships/hyperlink" Target="https://www.w3.org/TR/WCAG21/" TargetMode="External"/><Relationship Id="rId21" Type="http://schemas.openxmlformats.org/officeDocument/2006/relationships/hyperlink" Target="https://accessibilite.numerique.gouv.fr/methode/criteres-et-tests/" TargetMode="External"/><Relationship Id="rId7" Type="http://schemas.openxmlformats.org/officeDocument/2006/relationships/hyperlink" Target="https://www.economie.gouv.fr/dgccrf/les-fiches-pratiques/la-nouvelle-directive-europeenne-accessibilite-pour-des-produits-et-des-services-accessibles-aux-personnes-en-situation" TargetMode="External"/><Relationship Id="rId12" Type="http://schemas.openxmlformats.org/officeDocument/2006/relationships/hyperlink" Target="https://www.anlci.gouv.fr/illectronisme/lillectronisme-en-chiffres/" TargetMode="External"/><Relationship Id="rId17" Type="http://schemas.openxmlformats.org/officeDocument/2006/relationships/hyperlink" Target="https://design.numerique.gouv.fr/outils/accessibilite-marche-public/" TargetMode="External"/><Relationship Id="rId25" Type="http://schemas.openxmlformats.org/officeDocument/2006/relationships/hyperlink" Target="https://tota11ylost.orange.com/" TargetMode="External"/><Relationship Id="rId2" Type="http://schemas.openxmlformats.org/officeDocument/2006/relationships/hyperlink" Target="https://www.w3.org/TR/WCAG21/" TargetMode="External"/><Relationship Id="rId16" Type="http://schemas.openxmlformats.org/officeDocument/2006/relationships/hyperlink" Target="https://ara.numerique.gouv.fr/" TargetMode="External"/><Relationship Id="rId20" Type="http://schemas.openxmlformats.org/officeDocument/2006/relationships/hyperlink" Target="https://accessibilite.numerique.gouv.fr/obligations/declaration-accessibilite/" TargetMode="External"/><Relationship Id="rId1" Type="http://schemas.openxmlformats.org/officeDocument/2006/relationships/hyperlink" Target="https://www.monparcourshandicap.gouv.fr/actualite/accessibilite-numerique-et-handicap-entree-en-vigueur-de-leaa" TargetMode="External"/><Relationship Id="rId6" Type="http://schemas.openxmlformats.org/officeDocument/2006/relationships/hyperlink" Target="https://accessibilite.numerique.gouv.fr/doc/fr_301549v020102p.pdf" TargetMode="External"/><Relationship Id="rId11" Type="http://schemas.openxmlformats.org/officeDocument/2006/relationships/hyperlink" Target="https://observatoire-access-num.aveuglesdefrance.org/donnees/par-filtre/" TargetMode="External"/><Relationship Id="rId24" Type="http://schemas.openxmlformats.org/officeDocument/2006/relationships/hyperlink" Target="https://dequeuniversity.com/checklists/web/" TargetMode="External"/><Relationship Id="rId5" Type="http://schemas.openxmlformats.org/officeDocument/2006/relationships/hyperlink" Target="https://www.legifrance.gouv.fr/jorf/id/JORFTEXT000033558455" TargetMode="External"/><Relationship Id="rId15" Type="http://schemas.openxmlformats.org/officeDocument/2006/relationships/hyperlink" Target="https://design.numerique.gouv.fr/outils/diagnostic-flash/" TargetMode="External"/><Relationship Id="rId23" Type="http://schemas.openxmlformats.org/officeDocument/2006/relationships/hyperlink" Target="https://a11y-guidelines.orange.com/fr/" TargetMode="External"/><Relationship Id="rId10" Type="http://schemas.openxmlformats.org/officeDocument/2006/relationships/hyperlink" Target="https://www.lflegal.com/" TargetMode="External"/><Relationship Id="rId19" Type="http://schemas.openxmlformats.org/officeDocument/2006/relationships/hyperlink" Target="https://www.systeme-de-design.gouv.fr/version-courante/fr" TargetMode="External"/><Relationship Id="rId4" Type="http://schemas.openxmlformats.org/officeDocument/2006/relationships/hyperlink" Target="https://design.numerique.gouv.fr/accessibilite-numerique/rgaa/" TargetMode="External"/><Relationship Id="rId9" Type="http://schemas.openxmlformats.org/officeDocument/2006/relationships/hyperlink" Target="https://www.legifrance.gouv.fr/jorf/id/JORFTEXT000048178413" TargetMode="External"/><Relationship Id="rId14" Type="http://schemas.openxmlformats.org/officeDocument/2006/relationships/hyperlink" Target="https://www.enedis.fr/sites/default/files/documents/pdf/schema-pluriannuel-enedis-2024-2026.pdf" TargetMode="External"/><Relationship Id="rId22" Type="http://schemas.openxmlformats.org/officeDocument/2006/relationships/hyperlink" Target="https://www.w3.org/Translations/WCAG20-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ra%20FISCHER\Downloads\Mod&#232;le%20rapport%202023%20V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E4278529F9F0438B0892585322EE2A" ma:contentTypeVersion="13" ma:contentTypeDescription="Create a new document." ma:contentTypeScope="" ma:versionID="fee922b97537d144c8432dfe743ec9ac">
  <xsd:schema xmlns:xsd="http://www.w3.org/2001/XMLSchema" xmlns:xs="http://www.w3.org/2001/XMLSchema" xmlns:p="http://schemas.microsoft.com/office/2006/metadata/properties" xmlns:ns3="ac97cb03-3329-4a60-9ed2-1b31193e7f56" xmlns:ns4="e1fb3044-baf2-4d3b-b73b-0a9d0f3df07f" targetNamespace="http://schemas.microsoft.com/office/2006/metadata/properties" ma:root="true" ma:fieldsID="03dc610b39a25079cd91566522d04a64" ns3:_="" ns4:_="">
    <xsd:import namespace="ac97cb03-3329-4a60-9ed2-1b31193e7f56"/>
    <xsd:import namespace="e1fb3044-baf2-4d3b-b73b-0a9d0f3df0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7cb03-3329-4a60-9ed2-1b31193e7f5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fb3044-baf2-4d3b-b73b-0a9d0f3df0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CFD1A-BDFC-4235-A1D2-72C437D47483}">
  <ds:schemaRefs>
    <ds:schemaRef ds:uri="http://schemas.microsoft.com/sharepoint/v3/contenttype/forms"/>
  </ds:schemaRefs>
</ds:datastoreItem>
</file>

<file path=customXml/itemProps2.xml><?xml version="1.0" encoding="utf-8"?>
<ds:datastoreItem xmlns:ds="http://schemas.openxmlformats.org/officeDocument/2006/customXml" ds:itemID="{82778638-6D16-4B9F-9271-B3EC1DDE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7cb03-3329-4a60-9ed2-1b31193e7f56"/>
    <ds:schemaRef ds:uri="e1fb3044-baf2-4d3b-b73b-0a9d0f3df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BF246-E040-4371-945B-37EB03AAB1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0EC257-C43D-452F-B2F4-38171469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rapport 2023 VF</Template>
  <TotalTime>11</TotalTime>
  <Pages>75</Pages>
  <Words>21775</Words>
  <Characters>128041</Characters>
  <Application>Microsoft Office Word</Application>
  <DocSecurity>8</DocSecurity>
  <Lines>2415</Lines>
  <Paragraphs>1040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Accessibilité numérique : Organiser, piloter et outiller le passage à l'échelle dans les grandes organisations</dc:title>
  <dc:subject/>
  <dc:creator>Cigref</dc:creator>
  <cp:keywords>Accessibilité numérique; Cigref; RGAA; European Accessibility Act; EAA; inclusion numérique; Numérique Responsable; gouvernance IT; RSE; école de design; schéma pluriannuel; KPIs accessibilité; conception inclusive; passage à l'échelle; iMSA; Enedis; Caisse des Dépôts; La Poste; Equans.</cp:keywords>
  <dc:description/>
  <cp:lastModifiedBy>Emilie Grange</cp:lastModifiedBy>
  <cp:revision>3</cp:revision>
  <cp:lastPrinted>2026-05-19T09:32:00Z</cp:lastPrinted>
  <dcterms:created xsi:type="dcterms:W3CDTF">2026-05-21T15:15:00Z</dcterms:created>
  <dcterms:modified xsi:type="dcterms:W3CDTF">2026-05-21T15:17:00Z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2021-04-01T08:25:54Z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66c56890-6087-43dc-91a9-9cd91a7a146c</vt:lpwstr>
  </property>
  <property fmtid="{D5CDD505-2E9C-101B-9397-08002B2CF9AE}" pid="8" name="MSIP_Label_e463cba9-5f6c-478d-9329-7b2295e4e8ed_ContentBits">
    <vt:lpwstr>0</vt:lpwstr>
  </property>
  <property fmtid="{D5CDD505-2E9C-101B-9397-08002B2CF9AE}" pid="9" name="ContentTypeId">
    <vt:lpwstr>0x0101000EE4278529F9F0438B0892585322EE2A</vt:lpwstr>
  </property>
</Properties>
</file>