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CDF7A" w14:textId="77777777" w:rsidR="00B0781C" w:rsidRPr="00F4758C" w:rsidRDefault="00B0781C" w:rsidP="0022658A">
      <w:pPr>
        <w:pageBreakBefore/>
        <w:tabs>
          <w:tab w:val="center" w:pos="4535"/>
          <w:tab w:val="right" w:pos="9070"/>
        </w:tabs>
        <w:spacing w:after="0" w:line="360" w:lineRule="auto"/>
        <w:jc w:val="right"/>
        <w:rPr>
          <w:color w:val="595959" w:themeColor="text1" w:themeTint="A6"/>
          <w:sz w:val="52"/>
          <w:szCs w:val="52"/>
          <w:lang w:val="en-GB"/>
        </w:rPr>
      </w:pPr>
      <w:r w:rsidRPr="00F4758C">
        <w:rPr>
          <w:color w:val="595959" w:themeColor="text1" w:themeTint="A6"/>
          <w:sz w:val="52"/>
          <w:szCs w:val="52"/>
          <w:lang w:val="en-GB"/>
        </w:rPr>
        <w:t>Cigref</w:t>
      </w:r>
    </w:p>
    <w:p w14:paraId="48860012" w14:textId="77777777" w:rsidR="00B0781C" w:rsidRPr="00F4758C" w:rsidRDefault="00B0781C" w:rsidP="00321791">
      <w:pPr>
        <w:rPr>
          <w:lang w:val="en-GB"/>
        </w:rPr>
      </w:pPr>
    </w:p>
    <w:p w14:paraId="57BD8795" w14:textId="77777777" w:rsidR="00321791" w:rsidRPr="00F4758C" w:rsidRDefault="00321791" w:rsidP="00321791">
      <w:pPr>
        <w:rPr>
          <w:lang w:val="en-GB"/>
        </w:rPr>
      </w:pPr>
    </w:p>
    <w:p w14:paraId="1D073F30" w14:textId="2815A47B" w:rsidR="00B0781C" w:rsidRPr="00F4758C" w:rsidRDefault="003C5E39" w:rsidP="00F55A8D">
      <w:pPr>
        <w:pStyle w:val="Titre"/>
        <w:spacing w:line="240" w:lineRule="auto"/>
        <w:rPr>
          <w:color w:val="4B5943"/>
          <w:lang w:val="en-GB"/>
        </w:rPr>
      </w:pPr>
      <w:r w:rsidRPr="00F4758C">
        <w:rPr>
          <w:color w:val="4B5943"/>
          <w:lang w:val="en-GB"/>
        </w:rPr>
        <w:t>Digital accessibility</w:t>
      </w:r>
    </w:p>
    <w:p w14:paraId="3A0FE908" w14:textId="3036EAEE" w:rsidR="00F55A8D" w:rsidRPr="00F4758C" w:rsidRDefault="003C5E39" w:rsidP="00F86DF4">
      <w:pPr>
        <w:pStyle w:val="Sous-titre"/>
        <w:rPr>
          <w:lang w:val="en-GB"/>
        </w:rPr>
      </w:pPr>
      <w:r w:rsidRPr="00F4758C">
        <w:rPr>
          <w:lang w:val="en-GB"/>
        </w:rPr>
        <w:t>Organising, managing and equipping large organisations for scaling up</w:t>
      </w:r>
    </w:p>
    <w:p w14:paraId="0F6BB485" w14:textId="77777777" w:rsidR="00B32313" w:rsidRPr="00F4758C" w:rsidRDefault="00B32313" w:rsidP="00F86DF4">
      <w:pPr>
        <w:pStyle w:val="Version"/>
        <w:rPr>
          <w:lang w:val="en-GB"/>
        </w:rPr>
      </w:pPr>
    </w:p>
    <w:p w14:paraId="31F91946" w14:textId="23611168" w:rsidR="00B0781C" w:rsidRPr="00F4758C" w:rsidRDefault="001D5419" w:rsidP="00F86DF4">
      <w:pPr>
        <w:pStyle w:val="Version"/>
        <w:rPr>
          <w:lang w:val="en-GB"/>
        </w:rPr>
      </w:pPr>
      <w:r w:rsidRPr="00F4758C">
        <w:rPr>
          <w:lang w:val="en-GB"/>
        </w:rPr>
        <w:t>May 2026</w:t>
      </w:r>
    </w:p>
    <w:p w14:paraId="1F86A648" w14:textId="77777777" w:rsidR="00E1568B" w:rsidRPr="00F4758C" w:rsidRDefault="00E1568B" w:rsidP="00F86DF4">
      <w:pPr>
        <w:pStyle w:val="Version"/>
        <w:rPr>
          <w:color w:val="EE0000"/>
          <w:lang w:val="en-GB"/>
        </w:rPr>
      </w:pPr>
    </w:p>
    <w:p w14:paraId="5C166469" w14:textId="77777777" w:rsidR="00D44F14" w:rsidRPr="00F4758C" w:rsidRDefault="00D44F14" w:rsidP="00F86DF4">
      <w:pPr>
        <w:pStyle w:val="Version"/>
        <w:rPr>
          <w:color w:val="EE0000"/>
          <w:lang w:val="en-GB"/>
        </w:rPr>
      </w:pPr>
    </w:p>
    <w:p w14:paraId="71DDF941" w14:textId="10805BED" w:rsidR="00230C35" w:rsidRPr="00F4758C" w:rsidRDefault="00D44F14" w:rsidP="00D44F14">
      <w:pPr>
        <w:spacing w:after="0" w:line="360" w:lineRule="auto"/>
        <w:rPr>
          <w:rFonts w:cs="Calibri Light"/>
          <w:szCs w:val="18"/>
          <w:lang w:val="en-GB"/>
        </w:rPr>
      </w:pPr>
      <w:r w:rsidRPr="00F4758C">
        <w:rPr>
          <w:rFonts w:cs="Calibri Light"/>
          <w:i/>
          <w:iCs/>
          <w:szCs w:val="18"/>
          <w:lang w:val="en-GB"/>
        </w:rPr>
        <w:t>We have taken the utmost care to make this report accessible to as many people as possible, in line with current best practice in digital accessibility.  Despite our efforts, some limitations may remain. If you encounter difficulties accessing all or part of this document, please contact us so that we can provide you with the information in a format suited to your needs</w:t>
      </w:r>
      <w:r w:rsidRPr="00F4758C">
        <w:rPr>
          <w:rFonts w:cs="Calibri Light"/>
          <w:szCs w:val="18"/>
          <w:lang w:val="en-GB"/>
        </w:rPr>
        <w:t>.</w:t>
      </w:r>
    </w:p>
    <w:p w14:paraId="349983D6" w14:textId="77777777" w:rsidR="00F31C02" w:rsidRPr="00F4758C" w:rsidRDefault="00F31C02" w:rsidP="00321791">
      <w:pPr>
        <w:spacing w:after="0" w:line="360" w:lineRule="auto"/>
        <w:jc w:val="right"/>
        <w:rPr>
          <w:rFonts w:cs="Calibri Light"/>
          <w:szCs w:val="18"/>
          <w:lang w:val="en-GB"/>
        </w:rPr>
      </w:pPr>
    </w:p>
    <w:p w14:paraId="0063654A" w14:textId="77777777" w:rsidR="00F31C02" w:rsidRPr="00F4758C" w:rsidRDefault="00F31C02" w:rsidP="00321791">
      <w:pPr>
        <w:spacing w:after="0" w:line="360" w:lineRule="auto"/>
        <w:jc w:val="right"/>
        <w:rPr>
          <w:rFonts w:cs="Calibri Light"/>
          <w:szCs w:val="18"/>
          <w:lang w:val="en-GB"/>
        </w:rPr>
      </w:pPr>
    </w:p>
    <w:p w14:paraId="2963BF9B" w14:textId="77777777" w:rsidR="00F31C02" w:rsidRPr="00F4758C" w:rsidRDefault="00F31C02" w:rsidP="00DF1909">
      <w:pPr>
        <w:spacing w:after="0" w:line="360" w:lineRule="auto"/>
        <w:rPr>
          <w:rFonts w:cs="Calibri Light"/>
          <w:szCs w:val="18"/>
          <w:lang w:val="en-GB"/>
        </w:rPr>
      </w:pPr>
    </w:p>
    <w:p w14:paraId="72BA5A81" w14:textId="77777777" w:rsidR="00F31C02" w:rsidRPr="00F4758C" w:rsidRDefault="00F31C02" w:rsidP="00321791">
      <w:pPr>
        <w:spacing w:after="0" w:line="360" w:lineRule="auto"/>
        <w:jc w:val="right"/>
        <w:rPr>
          <w:rFonts w:cs="Calibri Light"/>
          <w:szCs w:val="18"/>
          <w:lang w:val="en-GB"/>
        </w:rPr>
      </w:pPr>
    </w:p>
    <w:p w14:paraId="722EF7ED" w14:textId="376A952B" w:rsidR="00121BD4" w:rsidRPr="00F4758C" w:rsidRDefault="00121BD4" w:rsidP="00F31C02">
      <w:pPr>
        <w:rPr>
          <w:color w:val="FF0000"/>
          <w:lang w:val="en-GB"/>
        </w:rPr>
        <w:sectPr w:rsidR="00121BD4" w:rsidRPr="00F4758C" w:rsidSect="004C4D0B">
          <w:headerReference w:type="default" r:id="rId11"/>
          <w:footerReference w:type="default" r:id="rId12"/>
          <w:headerReference w:type="first" r:id="rId13"/>
          <w:pgSz w:w="11906" w:h="16838" w:code="9"/>
          <w:pgMar w:top="5670" w:right="1418" w:bottom="1418" w:left="1418" w:header="709" w:footer="709" w:gutter="0"/>
          <w:cols w:space="708"/>
          <w:docGrid w:linePitch="360"/>
        </w:sectPr>
      </w:pPr>
    </w:p>
    <w:p w14:paraId="0EEA430D" w14:textId="77777777" w:rsidR="006A0726" w:rsidRPr="00F4758C" w:rsidRDefault="006A0726" w:rsidP="00CF2255">
      <w:pPr>
        <w:pStyle w:val="En-ttedetabledesmatires"/>
        <w:spacing w:before="0"/>
        <w:rPr>
          <w:lang w:val="en-GB"/>
        </w:rPr>
      </w:pPr>
      <w:bookmarkStart w:id="0" w:name="_Toc117159539"/>
      <w:r w:rsidRPr="00F4758C">
        <w:rPr>
          <w:lang w:val="en-GB"/>
        </w:rPr>
        <w:lastRenderedPageBreak/>
        <w:t>EDITOR</w:t>
      </w:r>
      <w:r w:rsidR="00516CF5" w:rsidRPr="00F4758C">
        <w:rPr>
          <w:lang w:val="en-GB"/>
        </w:rPr>
        <w:t>IAL</w:t>
      </w:r>
      <w:bookmarkEnd w:id="0"/>
      <w:r w:rsidRPr="00F4758C">
        <w:rPr>
          <w:lang w:val="en-GB"/>
        </w:rPr>
        <w:t xml:space="preserve"> </w:t>
      </w:r>
    </w:p>
    <w:p w14:paraId="633E36FE" w14:textId="2FAB64D5" w:rsidR="003C5E39" w:rsidRPr="00F4758C" w:rsidRDefault="003803FF" w:rsidP="003C5E39">
      <w:pPr>
        <w:rPr>
          <w:rFonts w:eastAsia="Calibri"/>
          <w:lang w:val="en-GB" w:eastAsia="fr-FR"/>
        </w:rPr>
      </w:pPr>
      <w:r w:rsidRPr="00F4758C">
        <w:rPr>
          <w:rFonts w:eastAsia="Calibri"/>
          <w:lang w:val="en-GB" w:eastAsia="fr-FR"/>
        </w:rPr>
        <w:t>Whilst the rapid pace of technological revolutions fuels our commitment as CIOs, it is clear that the history of computing</w:t>
      </w:r>
      <w:r w:rsidR="000738EC">
        <w:rPr>
          <w:rFonts w:eastAsia="Calibri"/>
          <w:lang w:val="en-GB" w:eastAsia="fr-FR"/>
        </w:rPr>
        <w:t>,</w:t>
      </w:r>
      <w:r w:rsidRPr="00F4758C">
        <w:rPr>
          <w:rFonts w:eastAsia="Calibri"/>
          <w:lang w:val="en-GB" w:eastAsia="fr-FR"/>
        </w:rPr>
        <w:t xml:space="preserve"> from the emergence of the first processors to the widespread adoption of personal computers</w:t>
      </w:r>
      <w:r w:rsidR="000738EC">
        <w:rPr>
          <w:rFonts w:eastAsia="Calibri"/>
          <w:lang w:val="en-GB" w:eastAsia="fr-FR"/>
        </w:rPr>
        <w:t>,</w:t>
      </w:r>
      <w:r w:rsidRPr="00F4758C">
        <w:rPr>
          <w:rFonts w:eastAsia="Calibri"/>
          <w:lang w:val="en-GB" w:eastAsia="fr-FR"/>
        </w:rPr>
        <w:t xml:space="preserve"> has at times progressed at the expense of inclusion, leaving certain users behind. </w:t>
      </w:r>
    </w:p>
    <w:p w14:paraId="64D0AB67" w14:textId="4755E396" w:rsidR="003C5E39" w:rsidRPr="00F4758C" w:rsidRDefault="003C5E39" w:rsidP="003C5E39">
      <w:pPr>
        <w:rPr>
          <w:rFonts w:eastAsia="Calibri"/>
          <w:lang w:val="en-GB" w:eastAsia="fr-FR"/>
        </w:rPr>
      </w:pPr>
      <w:r w:rsidRPr="00F4758C">
        <w:rPr>
          <w:rFonts w:eastAsia="Calibri"/>
          <w:lang w:val="en-GB" w:eastAsia="fr-FR"/>
        </w:rPr>
        <w:t xml:space="preserve">Consequently, the race for innovation has inadvertently resulted in high-performance applications that are often </w:t>
      </w:r>
      <w:r w:rsidR="002C19CD" w:rsidRPr="00F4758C">
        <w:rPr>
          <w:rFonts w:eastAsia="Calibri"/>
          <w:lang w:val="en-GB" w:eastAsia="fr-FR"/>
        </w:rPr>
        <w:t xml:space="preserve">difficult </w:t>
      </w:r>
      <w:r w:rsidRPr="00F4758C">
        <w:rPr>
          <w:rFonts w:eastAsia="Calibri"/>
          <w:lang w:val="en-GB" w:eastAsia="fr-FR"/>
        </w:rPr>
        <w:t xml:space="preserve">to access. It is time to set ourselves a new ambition: </w:t>
      </w:r>
      <w:r w:rsidR="00434812" w:rsidRPr="00F4758C">
        <w:rPr>
          <w:rFonts w:eastAsia="Calibri"/>
          <w:lang w:val="en-GB" w:eastAsia="fr-FR"/>
        </w:rPr>
        <w:t xml:space="preserve">to make </w:t>
      </w:r>
      <w:r w:rsidRPr="00F4758C">
        <w:rPr>
          <w:rFonts w:eastAsia="Calibri"/>
          <w:lang w:val="en-GB" w:eastAsia="fr-FR"/>
        </w:rPr>
        <w:t xml:space="preserve">accessibility the norm, and to engage all our communities at every level. Digital accessibility is certainly a matter of regulatory compliance, but </w:t>
      </w:r>
      <w:r w:rsidR="00434812" w:rsidRPr="00F4758C">
        <w:rPr>
          <w:rFonts w:eastAsia="Calibri"/>
          <w:lang w:val="en-GB" w:eastAsia="fr-FR"/>
        </w:rPr>
        <w:t>above all</w:t>
      </w:r>
      <w:r w:rsidRPr="00F4758C">
        <w:rPr>
          <w:rFonts w:eastAsia="Calibri"/>
          <w:lang w:val="en-GB" w:eastAsia="fr-FR"/>
        </w:rPr>
        <w:t xml:space="preserve"> it must be the true benchmark for a universal quality of user experience, whether for our staff or our customers.</w:t>
      </w:r>
    </w:p>
    <w:p w14:paraId="344C754C" w14:textId="5D4F5E76" w:rsidR="003C5E39" w:rsidRPr="00F4758C" w:rsidRDefault="003C5E39" w:rsidP="003C5E39">
      <w:pPr>
        <w:rPr>
          <w:rFonts w:eastAsia="Calibri"/>
          <w:lang w:val="en-GB" w:eastAsia="fr-FR"/>
        </w:rPr>
      </w:pPr>
      <w:r w:rsidRPr="00F4758C">
        <w:rPr>
          <w:rFonts w:eastAsia="Calibri"/>
          <w:lang w:val="en-GB" w:eastAsia="fr-FR"/>
        </w:rPr>
        <w:t xml:space="preserve">This conviction, </w:t>
      </w:r>
      <w:r w:rsidR="00CD4085">
        <w:rPr>
          <w:rFonts w:eastAsia="Calibri"/>
          <w:lang w:val="en-GB" w:eastAsia="fr-FR"/>
        </w:rPr>
        <w:t>help</w:t>
      </w:r>
      <w:r w:rsidRPr="00F4758C">
        <w:rPr>
          <w:rFonts w:eastAsia="Calibri"/>
          <w:lang w:val="en-GB" w:eastAsia="fr-FR"/>
        </w:rPr>
        <w:t xml:space="preserve"> by Cigref, has led to the creation of a working group dedicated to digital accessibility and its widespread implementation across our organisations.</w:t>
      </w:r>
    </w:p>
    <w:p w14:paraId="743CA725" w14:textId="41F5C88E" w:rsidR="003C5E39" w:rsidRPr="00F4758C" w:rsidRDefault="003C5E39" w:rsidP="003C5E39">
      <w:pPr>
        <w:rPr>
          <w:rFonts w:eastAsia="Calibri"/>
          <w:lang w:val="en-GB" w:eastAsia="fr-FR"/>
        </w:rPr>
      </w:pPr>
      <w:r w:rsidRPr="00F4758C">
        <w:rPr>
          <w:rFonts w:eastAsia="Calibri"/>
          <w:lang w:val="en-GB" w:eastAsia="fr-FR"/>
        </w:rPr>
        <w:t xml:space="preserve">The success of this </w:t>
      </w:r>
      <w:r w:rsidR="000738EC">
        <w:rPr>
          <w:rFonts w:eastAsia="Calibri"/>
          <w:lang w:val="en-GB" w:eastAsia="fr-FR"/>
        </w:rPr>
        <w:t>working group</w:t>
      </w:r>
      <w:r w:rsidRPr="00F4758C">
        <w:rPr>
          <w:rFonts w:eastAsia="Calibri"/>
          <w:lang w:val="en-GB" w:eastAsia="fr-FR"/>
        </w:rPr>
        <w:t xml:space="preserve"> lies in </w:t>
      </w:r>
      <w:r w:rsidR="00DB75E5" w:rsidRPr="00F4758C">
        <w:rPr>
          <w:rFonts w:eastAsia="Calibri"/>
          <w:lang w:val="en-GB" w:eastAsia="fr-FR"/>
        </w:rPr>
        <w:t xml:space="preserve">the </w:t>
      </w:r>
      <w:r w:rsidRPr="00F4758C">
        <w:rPr>
          <w:rFonts w:eastAsia="Calibri"/>
          <w:lang w:val="en-GB" w:eastAsia="fr-FR"/>
        </w:rPr>
        <w:t xml:space="preserve">deeply cross-functional nature </w:t>
      </w:r>
      <w:r w:rsidR="00DB75E5" w:rsidRPr="00F4758C">
        <w:rPr>
          <w:rFonts w:eastAsia="Calibri"/>
          <w:lang w:val="en-GB" w:eastAsia="fr-FR"/>
        </w:rPr>
        <w:t xml:space="preserve">of its subject matter, which concerns </w:t>
      </w:r>
      <w:r w:rsidRPr="00F4758C">
        <w:rPr>
          <w:rFonts w:eastAsia="Calibri"/>
          <w:lang w:val="en-GB" w:eastAsia="fr-FR"/>
        </w:rPr>
        <w:t xml:space="preserve">CIOs, CSR departments, HR and business units </w:t>
      </w:r>
      <w:r w:rsidR="00DB75E5" w:rsidRPr="00F4758C">
        <w:rPr>
          <w:rFonts w:eastAsia="Calibri"/>
          <w:lang w:val="en-GB" w:eastAsia="fr-FR"/>
        </w:rPr>
        <w:t>alike</w:t>
      </w:r>
      <w:r w:rsidRPr="00F4758C">
        <w:rPr>
          <w:rFonts w:eastAsia="Calibri"/>
          <w:lang w:val="en-GB" w:eastAsia="fr-FR"/>
        </w:rPr>
        <w:t>. The collective</w:t>
      </w:r>
      <w:r w:rsidR="00DB75E5" w:rsidRPr="00F4758C">
        <w:rPr>
          <w:rFonts w:eastAsia="Calibri"/>
          <w:lang w:val="en-GB" w:eastAsia="fr-FR"/>
        </w:rPr>
        <w:t xml:space="preserve"> intelligence</w:t>
      </w:r>
      <w:r w:rsidRPr="00F4758C">
        <w:rPr>
          <w:rFonts w:eastAsia="Calibri"/>
          <w:lang w:val="en-GB" w:eastAsia="fr-FR"/>
        </w:rPr>
        <w:t xml:space="preserve"> approach </w:t>
      </w:r>
      <w:r w:rsidR="00DB75E5" w:rsidRPr="00F4758C">
        <w:rPr>
          <w:rFonts w:eastAsia="Calibri"/>
          <w:lang w:val="en-GB" w:eastAsia="fr-FR"/>
        </w:rPr>
        <w:t xml:space="preserve">has demonstrated </w:t>
      </w:r>
      <w:r w:rsidRPr="00F4758C">
        <w:rPr>
          <w:rFonts w:eastAsia="Calibri"/>
          <w:lang w:val="en-GB" w:eastAsia="fr-FR"/>
        </w:rPr>
        <w:t>that accessibility is a strategic lever that now extends beyond the purely technical sphere.</w:t>
      </w:r>
    </w:p>
    <w:p w14:paraId="55E51BAB" w14:textId="7EE1CE8E" w:rsidR="003C5E39" w:rsidRPr="00F4758C" w:rsidRDefault="003C5E39" w:rsidP="003C5E39">
      <w:pPr>
        <w:rPr>
          <w:rFonts w:eastAsia="Calibri"/>
          <w:lang w:val="en-GB" w:eastAsia="fr-FR"/>
        </w:rPr>
      </w:pPr>
      <w:r w:rsidRPr="00F4758C">
        <w:rPr>
          <w:rFonts w:eastAsia="Calibri"/>
          <w:lang w:val="en-GB" w:eastAsia="fr-FR"/>
        </w:rPr>
        <w:t>To successfully make our applications and services accessible, I believe four key areas require attention: governance, methodology, training and awareness-raising, and finally, tools.</w:t>
      </w:r>
    </w:p>
    <w:p w14:paraId="5163583F" w14:textId="5D57D1B0" w:rsidR="003C5E39" w:rsidRPr="00F4758C" w:rsidRDefault="003C5E39" w:rsidP="003C5E39">
      <w:pPr>
        <w:rPr>
          <w:rFonts w:eastAsia="Calibri"/>
          <w:lang w:val="en-GB" w:eastAsia="fr-FR"/>
        </w:rPr>
      </w:pPr>
      <w:r w:rsidRPr="00F4758C">
        <w:rPr>
          <w:rFonts w:eastAsia="Calibri"/>
          <w:lang w:val="en-GB" w:eastAsia="fr-FR"/>
        </w:rPr>
        <w:t xml:space="preserve">Building on these </w:t>
      </w:r>
      <w:r w:rsidR="008D7E35" w:rsidRPr="00F4758C">
        <w:rPr>
          <w:rFonts w:eastAsia="Calibri"/>
          <w:lang w:val="en-GB" w:eastAsia="fr-FR"/>
        </w:rPr>
        <w:t xml:space="preserve">four </w:t>
      </w:r>
      <w:r w:rsidRPr="00F4758C">
        <w:rPr>
          <w:rFonts w:eastAsia="Calibri"/>
          <w:lang w:val="en-GB" w:eastAsia="fr-FR"/>
        </w:rPr>
        <w:t>areas, this report brings together a range of lessons learnt with the aim of providing all Cigref members with a pragmatic action plan. We have also sought to give you a real-world insight by including a video featuring a first-hand account from one of the working group’s leading participants.</w:t>
      </w:r>
    </w:p>
    <w:p w14:paraId="6B3D3CA7" w14:textId="47D4486F" w:rsidR="003C5E39" w:rsidRPr="00F4758C" w:rsidRDefault="003C5E39" w:rsidP="003C5E39">
      <w:pPr>
        <w:rPr>
          <w:rFonts w:eastAsia="Calibri"/>
          <w:lang w:val="en-GB" w:eastAsia="fr-FR"/>
        </w:rPr>
      </w:pPr>
      <w:r w:rsidRPr="00F4758C">
        <w:rPr>
          <w:rFonts w:eastAsia="Calibri"/>
          <w:lang w:val="en-GB" w:eastAsia="fr-FR"/>
        </w:rPr>
        <w:t>We can also hope</w:t>
      </w:r>
      <w:r w:rsidR="000738EC">
        <w:rPr>
          <w:rFonts w:eastAsia="Calibri"/>
          <w:lang w:val="en-GB" w:eastAsia="fr-FR"/>
        </w:rPr>
        <w:t>,</w:t>
      </w:r>
      <w:r w:rsidRPr="00F4758C">
        <w:rPr>
          <w:rFonts w:eastAsia="Calibri"/>
          <w:lang w:val="en-GB" w:eastAsia="fr-FR"/>
        </w:rPr>
        <w:t xml:space="preserve"> and this is my wish</w:t>
      </w:r>
      <w:r w:rsidR="000738EC">
        <w:rPr>
          <w:rFonts w:eastAsia="Calibri"/>
          <w:lang w:val="en-GB" w:eastAsia="fr-FR"/>
        </w:rPr>
        <w:t>,</w:t>
      </w:r>
      <w:r w:rsidRPr="00F4758C">
        <w:rPr>
          <w:rFonts w:eastAsia="Calibri"/>
          <w:lang w:val="en-GB" w:eastAsia="fr-FR"/>
        </w:rPr>
        <w:t xml:space="preserve"> that our IT training courses will eventually incorporate accessibility skills, just like any other subject taught, thereby creating a major catalyst for future progress.</w:t>
      </w:r>
    </w:p>
    <w:p w14:paraId="274CD5B8" w14:textId="77777777" w:rsidR="003C5E39" w:rsidRPr="00F4758C" w:rsidRDefault="003C5E39" w:rsidP="003C5E39">
      <w:pPr>
        <w:rPr>
          <w:rFonts w:eastAsia="Calibri"/>
          <w:lang w:val="en-GB" w:eastAsia="fr-FR"/>
        </w:rPr>
      </w:pPr>
      <w:r w:rsidRPr="00F4758C">
        <w:rPr>
          <w:rFonts w:eastAsia="Calibri"/>
          <w:lang w:val="en-GB" w:eastAsia="fr-FR"/>
        </w:rPr>
        <w:t>I am deeply proud to have led this passionate working group, which brought together such a wealth of expertise. I am proud of the smiles I saw throughout our meetings. This report is proof that accessibility is no longer an isolated initiative, but a collective endeavour that is essential to our organisations.</w:t>
      </w:r>
    </w:p>
    <w:p w14:paraId="49AFC1D8" w14:textId="77777777" w:rsidR="003C5E39" w:rsidRPr="00F4758C" w:rsidRDefault="003C5E39" w:rsidP="003C5E39">
      <w:pPr>
        <w:rPr>
          <w:rFonts w:eastAsia="Calibri"/>
          <w:lang w:val="en-GB" w:eastAsia="fr-FR"/>
        </w:rPr>
      </w:pPr>
      <w:r w:rsidRPr="00F4758C">
        <w:rPr>
          <w:rFonts w:eastAsia="Calibri"/>
          <w:lang w:val="en-GB" w:eastAsia="fr-FR"/>
        </w:rPr>
        <w:t>I urge you to embrace these drivers without delay. Accessibility is a journey, and the time has come to quicken our shared pace.</w:t>
      </w:r>
    </w:p>
    <w:p w14:paraId="70A50421" w14:textId="76AC58AD" w:rsidR="00782984" w:rsidRPr="00F4758C" w:rsidRDefault="003C5E39" w:rsidP="003C5E39">
      <w:pPr>
        <w:rPr>
          <w:rFonts w:ascii="Calibri" w:eastAsia="Calibri" w:hAnsi="Calibri" w:cs="Calibri"/>
          <w:color w:val="171717" w:themeColor="background2" w:themeShade="1A"/>
          <w:lang w:val="en-GB" w:eastAsia="fr-FR"/>
        </w:rPr>
      </w:pPr>
      <w:r w:rsidRPr="00F4758C">
        <w:rPr>
          <w:rFonts w:eastAsia="Calibri"/>
          <w:lang w:val="en-GB" w:eastAsia="fr-FR"/>
        </w:rPr>
        <w:t>Enjoy reading this and take action,</w:t>
      </w:r>
    </w:p>
    <w:p w14:paraId="7627E2E4" w14:textId="77777777" w:rsidR="003C5E39" w:rsidRPr="00F4758C" w:rsidRDefault="003C5E39" w:rsidP="003C5E39">
      <w:pPr>
        <w:jc w:val="right"/>
        <w:rPr>
          <w:rFonts w:ascii="Calibri" w:eastAsia="Calibri" w:hAnsi="Calibri" w:cs="Calibri"/>
          <w:b/>
          <w:bCs/>
          <w:color w:val="171717" w:themeColor="background2" w:themeShade="1A"/>
          <w:lang w:val="en-GB" w:eastAsia="fr-FR"/>
        </w:rPr>
      </w:pPr>
      <w:r w:rsidRPr="00F4758C">
        <w:rPr>
          <w:rFonts w:ascii="Calibri" w:eastAsia="Calibri" w:hAnsi="Calibri" w:cs="Calibri"/>
          <w:b/>
          <w:bCs/>
          <w:color w:val="171717" w:themeColor="background2" w:themeShade="1A"/>
          <w:lang w:val="en-GB" w:eastAsia="fr-FR"/>
        </w:rPr>
        <w:t xml:space="preserve">Yannick PUGET, </w:t>
      </w:r>
    </w:p>
    <w:p w14:paraId="5D5D7ACF" w14:textId="5B5FC10E" w:rsidR="00276234" w:rsidRPr="00F4758C" w:rsidRDefault="003C5E39" w:rsidP="003C5E39">
      <w:pPr>
        <w:jc w:val="right"/>
        <w:rPr>
          <w:rFonts w:ascii="Calibri" w:eastAsia="Calibri" w:hAnsi="Calibri" w:cs="Calibri"/>
          <w:color w:val="171717" w:themeColor="background2" w:themeShade="1A"/>
          <w:lang w:val="en-GB" w:eastAsia="fr-FR"/>
        </w:rPr>
      </w:pPr>
      <w:r w:rsidRPr="00F4758C">
        <w:rPr>
          <w:rFonts w:ascii="Calibri" w:eastAsia="Calibri" w:hAnsi="Calibri" w:cs="Calibri"/>
          <w:color w:val="171717" w:themeColor="background2" w:themeShade="1A"/>
          <w:lang w:val="en-GB" w:eastAsia="fr-FR"/>
        </w:rPr>
        <w:t>Director of Operations and Customer Experience at iMSA</w:t>
      </w:r>
    </w:p>
    <w:p w14:paraId="663D4D5C" w14:textId="78197A0A" w:rsidR="006A0726" w:rsidRPr="00F4758C" w:rsidRDefault="00146BDE" w:rsidP="00CF2255">
      <w:pPr>
        <w:pStyle w:val="En-ttedetabledesmatires"/>
        <w:rPr>
          <w:lang w:val="en-GB"/>
        </w:rPr>
      </w:pPr>
      <w:bookmarkStart w:id="1" w:name="_Toc117159540"/>
      <w:r w:rsidRPr="00146BDE">
        <w:rPr>
          <w:lang w:val="en-GB"/>
        </w:rPr>
        <w:lastRenderedPageBreak/>
        <w:t xml:space="preserve">EXECUTIVE </w:t>
      </w:r>
      <w:r w:rsidR="006A0726" w:rsidRPr="00F4758C">
        <w:rPr>
          <w:lang w:val="en-GB"/>
        </w:rPr>
        <w:t>SUMMARY</w:t>
      </w:r>
      <w:bookmarkEnd w:id="1"/>
    </w:p>
    <w:p w14:paraId="17DC4744" w14:textId="42F324A8" w:rsidR="001A4E70" w:rsidRPr="00F4758C" w:rsidRDefault="001A4E70" w:rsidP="00D53D7D">
      <w:pPr>
        <w:rPr>
          <w:rFonts w:eastAsia="Times New Roman"/>
          <w:lang w:val="en-GB" w:eastAsia="fr-FR"/>
        </w:rPr>
      </w:pPr>
      <w:r w:rsidRPr="00F4758C">
        <w:rPr>
          <w:rFonts w:eastAsia="Times New Roman"/>
          <w:lang w:val="en-GB" w:eastAsia="fr-FR"/>
        </w:rPr>
        <w:t>Digital accessibility represents a</w:t>
      </w:r>
      <w:r w:rsidR="00146BDE" w:rsidRPr="00146BDE">
        <w:rPr>
          <w:rFonts w:eastAsia="Times New Roman"/>
          <w:lang w:val="en-GB" w:eastAsia="fr-FR"/>
        </w:rPr>
        <w:t xml:space="preserve"> </w:t>
      </w:r>
      <w:r w:rsidR="00146BDE" w:rsidRPr="000738EC">
        <w:rPr>
          <w:rFonts w:eastAsia="Times New Roman"/>
          <w:b/>
          <w:bCs/>
          <w:lang w:val="en-GB" w:eastAsia="fr-FR"/>
        </w:rPr>
        <w:t>major corporate transformation</w:t>
      </w:r>
      <w:r w:rsidR="00146BDE" w:rsidRPr="00146BDE">
        <w:rPr>
          <w:rFonts w:eastAsia="Times New Roman"/>
          <w:lang w:val="en-GB" w:eastAsia="fr-FR"/>
        </w:rPr>
        <w:t>, comparable in its strategic and organisational implications to GDPR (General Data Protection Regulation) compliance. It engages the entire organisation</w:t>
      </w:r>
      <w:r w:rsidR="00BC6937">
        <w:rPr>
          <w:rFonts w:eastAsia="Times New Roman"/>
          <w:lang w:val="en-GB" w:eastAsia="fr-FR"/>
        </w:rPr>
        <w:t xml:space="preserve"> </w:t>
      </w:r>
      <w:r w:rsidR="00146BDE" w:rsidRPr="00146BDE">
        <w:rPr>
          <w:rFonts w:eastAsia="Times New Roman"/>
          <w:lang w:val="en-GB" w:eastAsia="fr-FR"/>
        </w:rPr>
        <w:t>—</w:t>
      </w:r>
      <w:r w:rsidR="00BC6937">
        <w:rPr>
          <w:rFonts w:eastAsia="Times New Roman"/>
          <w:lang w:val="en-GB" w:eastAsia="fr-FR"/>
        </w:rPr>
        <w:t xml:space="preserve"> </w:t>
      </w:r>
      <w:r w:rsidR="00146BDE" w:rsidRPr="00146BDE">
        <w:rPr>
          <w:rFonts w:eastAsia="Times New Roman"/>
          <w:lang w:val="en-GB" w:eastAsia="fr-FR"/>
        </w:rPr>
        <w:t>digital, CSR, HR, procurement, and business departments</w:t>
      </w:r>
      <w:r w:rsidR="00BC6937">
        <w:rPr>
          <w:rFonts w:eastAsia="Times New Roman"/>
          <w:lang w:val="en-GB" w:eastAsia="fr-FR"/>
        </w:rPr>
        <w:t xml:space="preserve"> </w:t>
      </w:r>
      <w:r w:rsidR="00146BDE" w:rsidRPr="00146BDE">
        <w:rPr>
          <w:rFonts w:eastAsia="Times New Roman"/>
          <w:lang w:val="en-GB" w:eastAsia="fr-FR"/>
        </w:rPr>
        <w:t>—</w:t>
      </w:r>
      <w:r w:rsidR="00BC6937">
        <w:rPr>
          <w:rFonts w:eastAsia="Times New Roman"/>
          <w:lang w:val="en-GB" w:eastAsia="fr-FR"/>
        </w:rPr>
        <w:t xml:space="preserve"> </w:t>
      </w:r>
      <w:r w:rsidR="00146BDE" w:rsidRPr="00146BDE">
        <w:rPr>
          <w:rFonts w:eastAsia="Times New Roman"/>
          <w:lang w:val="en-GB" w:eastAsia="fr-FR"/>
        </w:rPr>
        <w:t xml:space="preserve">around an issue that goes beyond mere regulatory compliance: that of guaranteeing </w:t>
      </w:r>
      <w:r w:rsidR="00146BDE" w:rsidRPr="00146BDE">
        <w:rPr>
          <w:rFonts w:eastAsia="Times New Roman"/>
          <w:b/>
          <w:bCs/>
          <w:lang w:val="en-GB" w:eastAsia="fr-FR"/>
        </w:rPr>
        <w:t>fair and autonomous access</w:t>
      </w:r>
      <w:r w:rsidR="00146BDE" w:rsidRPr="00146BDE">
        <w:rPr>
          <w:rFonts w:eastAsia="Times New Roman"/>
          <w:lang w:val="en-GB" w:eastAsia="fr-FR"/>
        </w:rPr>
        <w:t xml:space="preserve"> to digital products and services for every employee and citizen.</w:t>
      </w:r>
    </w:p>
    <w:p w14:paraId="32B8F52D" w14:textId="5ECFA75E" w:rsidR="001A4E70" w:rsidRPr="00F4758C" w:rsidRDefault="001A4E70" w:rsidP="00D53D7D">
      <w:pPr>
        <w:rPr>
          <w:rFonts w:eastAsia="Times New Roman"/>
          <w:lang w:val="en-GB" w:eastAsia="fr-FR"/>
        </w:rPr>
      </w:pPr>
      <w:r w:rsidRPr="00F4758C">
        <w:rPr>
          <w:rFonts w:eastAsia="Times New Roman"/>
          <w:lang w:val="en-GB" w:eastAsia="fr-FR"/>
        </w:rPr>
        <w:t xml:space="preserve">The regulatory framework has been significantly strengthened in recent years, notably with the transposition of </w:t>
      </w:r>
      <w:r w:rsidRPr="001F2368">
        <w:rPr>
          <w:rFonts w:eastAsia="Times New Roman"/>
          <w:lang w:val="en-GB" w:eastAsia="fr-FR"/>
        </w:rPr>
        <w:t xml:space="preserve">the </w:t>
      </w:r>
      <w:r w:rsidRPr="00E460E1">
        <w:rPr>
          <w:rFonts w:eastAsia="Times New Roman"/>
          <w:lang w:val="en-GB" w:eastAsia="fr-FR"/>
        </w:rPr>
        <w:t>European Accessibility Act</w:t>
      </w:r>
      <w:r w:rsidRPr="00F4758C">
        <w:rPr>
          <w:rFonts w:eastAsia="Times New Roman"/>
          <w:i/>
          <w:iCs/>
          <w:lang w:val="en-GB" w:eastAsia="fr-FR"/>
        </w:rPr>
        <w:t xml:space="preserve"> </w:t>
      </w:r>
      <w:r w:rsidRPr="00F4758C">
        <w:rPr>
          <w:rFonts w:eastAsia="Times New Roman"/>
          <w:lang w:val="en-GB" w:eastAsia="fr-FR"/>
        </w:rPr>
        <w:t>(EAA), which extends obligations to certain private companies with a turnover exceeding €2 million. Large organisations, although often committed to inclusion policies, face considerable challenges in implementing accessibility across complex digital portfolios comprising hundreds or even thousands of heterogeneous applications and platforms.</w:t>
      </w:r>
    </w:p>
    <w:p w14:paraId="10FD48D1" w14:textId="30C56036" w:rsidR="001A4E70" w:rsidRPr="00F4758C" w:rsidRDefault="001A4E70" w:rsidP="00D53D7D">
      <w:pPr>
        <w:rPr>
          <w:rFonts w:eastAsia="Times New Roman"/>
          <w:lang w:val="en-GB" w:eastAsia="fr-FR"/>
        </w:rPr>
      </w:pPr>
      <w:r w:rsidRPr="00F4758C">
        <w:rPr>
          <w:rFonts w:eastAsia="Times New Roman"/>
          <w:lang w:val="en-GB" w:eastAsia="fr-FR"/>
        </w:rPr>
        <w:t xml:space="preserve">To address these challenges, this report is divided into four complementary parts. The first provides an </w:t>
      </w:r>
      <w:r w:rsidRPr="00F4758C">
        <w:rPr>
          <w:rFonts w:eastAsia="Times New Roman"/>
          <w:b/>
          <w:bCs/>
          <w:lang w:val="en-GB" w:eastAsia="fr-FR"/>
        </w:rPr>
        <w:t xml:space="preserve">overview of the regulatory landscape and the strategic issues </w:t>
      </w:r>
      <w:r w:rsidRPr="00F4758C">
        <w:rPr>
          <w:rFonts w:eastAsia="Times New Roman"/>
          <w:lang w:val="en-GB" w:eastAsia="fr-FR"/>
        </w:rPr>
        <w:t xml:space="preserve">surrounding digital accessibility, with the aim of equipping each organisation with the tools to gauge the scale of the issue. The second part deals with the </w:t>
      </w:r>
      <w:r w:rsidRPr="00F4758C">
        <w:rPr>
          <w:rFonts w:eastAsia="Times New Roman"/>
          <w:b/>
          <w:bCs/>
          <w:lang w:val="en-GB" w:eastAsia="fr-FR"/>
        </w:rPr>
        <w:t>structure of governance</w:t>
      </w:r>
      <w:r w:rsidRPr="00F4758C">
        <w:rPr>
          <w:rFonts w:eastAsia="Times New Roman"/>
          <w:lang w:val="en-GB" w:eastAsia="fr-FR"/>
        </w:rPr>
        <w:t xml:space="preserve">: how to define a clear vision, assign responsibilities and embed accessibility within the organisation in a sustainable manner. The third part addresses </w:t>
      </w:r>
      <w:r w:rsidRPr="00F4758C">
        <w:rPr>
          <w:rFonts w:eastAsia="Times New Roman"/>
          <w:b/>
          <w:bCs/>
          <w:lang w:val="en-GB" w:eastAsia="fr-FR"/>
        </w:rPr>
        <w:t>operational management and tools</w:t>
      </w:r>
      <w:r w:rsidRPr="00F4758C">
        <w:rPr>
          <w:rFonts w:eastAsia="Times New Roman"/>
          <w:lang w:val="en-GB" w:eastAsia="fr-FR"/>
        </w:rPr>
        <w:t xml:space="preserve">, detailing how to integrate accessibility into the project lifecycle, which indicators to monitor and which tools to utilise. Finally, the fourth and last part sets out </w:t>
      </w:r>
      <w:r w:rsidRPr="00F4758C">
        <w:rPr>
          <w:rFonts w:eastAsia="Times New Roman"/>
          <w:b/>
          <w:bCs/>
          <w:lang w:val="en-GB" w:eastAsia="fr-FR"/>
        </w:rPr>
        <w:t>guiding principles to support scaling up</w:t>
      </w:r>
      <w:r w:rsidRPr="00F4758C">
        <w:rPr>
          <w:rFonts w:eastAsia="Times New Roman"/>
          <w:lang w:val="en-GB" w:eastAsia="fr-FR"/>
        </w:rPr>
        <w:t>, by identifying priority areas for action and providing concrete recommendations based on feedback from working group participants.</w:t>
      </w:r>
    </w:p>
    <w:p w14:paraId="6EDF81BE" w14:textId="3491CE75" w:rsidR="001A4E70" w:rsidRPr="00F4758C" w:rsidRDefault="001A4E70" w:rsidP="001A4E70">
      <w:pPr>
        <w:rPr>
          <w:rFonts w:eastAsia="Times New Roman"/>
          <w:lang w:val="en-GB" w:eastAsia="fr-FR"/>
        </w:rPr>
      </w:pPr>
      <w:r w:rsidRPr="00F4758C">
        <w:rPr>
          <w:rFonts w:eastAsia="Times New Roman"/>
          <w:lang w:val="en-GB" w:eastAsia="fr-FR"/>
        </w:rPr>
        <w:t xml:space="preserve">Beyond the analysis, this report provides </w:t>
      </w:r>
      <w:r w:rsidRPr="00F4758C">
        <w:rPr>
          <w:rFonts w:eastAsia="Times New Roman"/>
          <w:b/>
          <w:bCs/>
          <w:lang w:val="en-GB" w:eastAsia="fr-FR"/>
        </w:rPr>
        <w:t>directly operational tools</w:t>
      </w:r>
      <w:r w:rsidRPr="00F4758C">
        <w:rPr>
          <w:rFonts w:eastAsia="Times New Roman"/>
          <w:lang w:val="en-GB" w:eastAsia="fr-FR"/>
        </w:rPr>
        <w:t xml:space="preserve">: a KPI dashboard to track the progress of the initiative, prioritised recommendations based on feedback from the field, and an identification of </w:t>
      </w:r>
      <w:r w:rsidRPr="00F4758C">
        <w:rPr>
          <w:rFonts w:eastAsia="Times New Roman"/>
          <w:b/>
          <w:bCs/>
          <w:lang w:val="en-GB" w:eastAsia="fr-FR"/>
        </w:rPr>
        <w:t xml:space="preserve">priority areas </w:t>
      </w:r>
      <w:r w:rsidRPr="00F4758C">
        <w:rPr>
          <w:rFonts w:eastAsia="Times New Roman"/>
          <w:lang w:val="en-GB" w:eastAsia="fr-FR"/>
        </w:rPr>
        <w:t>for action — structured governance, targeted training, and integration by design</w:t>
      </w:r>
      <w:r w:rsidRPr="00F4758C">
        <w:rPr>
          <w:rFonts w:eastAsia="Times New Roman"/>
          <w:i/>
          <w:iCs/>
          <w:lang w:val="en-GB" w:eastAsia="fr-FR"/>
        </w:rPr>
        <w:t xml:space="preserve"> </w:t>
      </w:r>
      <w:r w:rsidRPr="00F4758C">
        <w:rPr>
          <w:rFonts w:eastAsia="Times New Roman"/>
          <w:lang w:val="en-GB" w:eastAsia="fr-FR"/>
        </w:rPr>
        <w:t>within project cycles. These deliverables are intended to provide practical support to teams as they scale up their efforts.</w:t>
      </w:r>
    </w:p>
    <w:p w14:paraId="0F81515C" w14:textId="6FA69344" w:rsidR="001A4E70" w:rsidRPr="00F4758C" w:rsidRDefault="001A4E70" w:rsidP="001A4E70">
      <w:pPr>
        <w:rPr>
          <w:rFonts w:eastAsia="Times New Roman"/>
          <w:lang w:val="en-GB" w:eastAsia="fr-FR"/>
        </w:rPr>
      </w:pPr>
      <w:r w:rsidRPr="00F4758C">
        <w:rPr>
          <w:rFonts w:eastAsia="Times New Roman"/>
          <w:lang w:val="en-GB" w:eastAsia="fr-FR"/>
        </w:rPr>
        <w:t xml:space="preserve">Far from being merely a compliance requirement, digital accessibility is a strategic driver in its own right: access to a wider market, reduced legal risk, an improved user experience for all, and a driver of </w:t>
      </w:r>
      <w:r w:rsidR="0014054B" w:rsidRPr="00F4758C">
        <w:rPr>
          <w:rFonts w:eastAsia="Times New Roman"/>
          <w:lang w:val="en-GB" w:eastAsia="fr-FR"/>
        </w:rPr>
        <w:t>innovation…</w:t>
      </w:r>
    </w:p>
    <w:p w14:paraId="1576F0C4" w14:textId="228A2D6E" w:rsidR="001A4E70" w:rsidRPr="00F4758C" w:rsidRDefault="0014054B" w:rsidP="00D53D7D">
      <w:pPr>
        <w:rPr>
          <w:rFonts w:eastAsia="Times New Roman"/>
          <w:lang w:val="en-GB" w:eastAsia="fr-FR"/>
        </w:rPr>
      </w:pPr>
      <w:r w:rsidRPr="00F4758C">
        <w:rPr>
          <w:rFonts w:eastAsia="Times New Roman"/>
          <w:lang w:val="en-GB" w:eastAsia="fr-FR"/>
        </w:rPr>
        <w:t>Digital accessibility is built over time. This report reflects a shared conviction: the organisations that successfully scale up are those that have managed to make it not a one-off obligation, but a collective reflex, embedded in every stage of the design and roll-out of their digital services.</w:t>
      </w:r>
    </w:p>
    <w:p w14:paraId="78B9B78F" w14:textId="77777777" w:rsidR="00D53D7D" w:rsidRPr="00F4758C" w:rsidRDefault="00D53D7D" w:rsidP="00D53D7D">
      <w:pPr>
        <w:rPr>
          <w:lang w:val="en-GB" w:eastAsia="fr-FR"/>
        </w:rPr>
      </w:pPr>
      <w:bookmarkStart w:id="2" w:name="_Toc117159541"/>
    </w:p>
    <w:p w14:paraId="39D07DE6" w14:textId="5079CA7E" w:rsidR="006A0726" w:rsidRPr="00F4758C" w:rsidRDefault="006A0726" w:rsidP="00CF2255">
      <w:pPr>
        <w:pStyle w:val="En-ttedetabledesmatires"/>
        <w:rPr>
          <w:lang w:val="en-GB"/>
        </w:rPr>
      </w:pPr>
      <w:r w:rsidRPr="00F4758C">
        <w:rPr>
          <w:lang w:val="en-GB"/>
        </w:rPr>
        <w:lastRenderedPageBreak/>
        <w:t>ACKNOWLEDGEMENTS</w:t>
      </w:r>
      <w:bookmarkEnd w:id="2"/>
    </w:p>
    <w:p w14:paraId="0E7AAC9C" w14:textId="03336B2D" w:rsidR="00B133D5" w:rsidRPr="00F4758C" w:rsidRDefault="00782984" w:rsidP="00B133D5">
      <w:pPr>
        <w:rPr>
          <w:lang w:val="en-GB"/>
        </w:rPr>
      </w:pPr>
      <w:r w:rsidRPr="00F4758C">
        <w:rPr>
          <w:lang w:val="en-GB"/>
        </w:rPr>
        <w:t xml:space="preserve">Our thanks go to </w:t>
      </w:r>
      <w:r w:rsidR="00D53D7D" w:rsidRPr="00F4758C">
        <w:rPr>
          <w:b/>
          <w:bCs/>
          <w:lang w:val="en-GB"/>
        </w:rPr>
        <w:t>Yannick Puget</w:t>
      </w:r>
      <w:r w:rsidR="00F82842" w:rsidRPr="00F4758C">
        <w:rPr>
          <w:lang w:val="en-GB"/>
        </w:rPr>
        <w:t xml:space="preserve">, </w:t>
      </w:r>
      <w:r w:rsidR="00D53D7D" w:rsidRPr="00F4758C">
        <w:rPr>
          <w:lang w:val="en-GB"/>
        </w:rPr>
        <w:t xml:space="preserve">Director of Operations and Customer Experience at iMSA, </w:t>
      </w:r>
      <w:r w:rsidRPr="00F4758C">
        <w:rPr>
          <w:lang w:val="en-GB"/>
        </w:rPr>
        <w:t xml:space="preserve">who led this project, as well as to everyone who took part in and contributed to this Cigref working group </w:t>
      </w:r>
      <w:r w:rsidR="002C19CD" w:rsidRPr="00F4758C">
        <w:rPr>
          <w:lang w:val="en-GB"/>
        </w:rPr>
        <w:t xml:space="preserve">in 2024 and 2025 </w:t>
      </w:r>
      <w:r w:rsidRPr="00F4758C">
        <w:rPr>
          <w:lang w:val="en-GB"/>
        </w:rPr>
        <w:t>(</w:t>
      </w:r>
      <w:r w:rsidR="002C19CD" w:rsidRPr="00F4758C">
        <w:rPr>
          <w:lang w:val="en-GB"/>
        </w:rPr>
        <w:t xml:space="preserve">in </w:t>
      </w:r>
      <w:r w:rsidRPr="00F4758C">
        <w:rPr>
          <w:lang w:val="en-GB"/>
        </w:rPr>
        <w:t>alphabetical order)</w:t>
      </w:r>
      <w:r w:rsidR="00B133D5" w:rsidRPr="00F4758C">
        <w:rPr>
          <w:lang w:val="en-GB"/>
        </w:rPr>
        <w:t>:</w:t>
      </w:r>
    </w:p>
    <w:p w14:paraId="259C6539" w14:textId="77777777" w:rsidR="000C48CF" w:rsidRPr="00F4758C" w:rsidRDefault="000C48CF" w:rsidP="00C6698B">
      <w:pPr>
        <w:rPr>
          <w:lang w:val="en-GB"/>
        </w:rPr>
        <w:sectPr w:rsidR="000C48CF" w:rsidRPr="00F4758C" w:rsidSect="000C48CF">
          <w:headerReference w:type="default" r:id="rId14"/>
          <w:footerReference w:type="default" r:id="rId15"/>
          <w:pgSz w:w="11906" w:h="16838" w:code="9"/>
          <w:pgMar w:top="1418" w:right="1418" w:bottom="1418" w:left="1418" w:header="709" w:footer="709" w:gutter="0"/>
          <w:cols w:space="708"/>
          <w:docGrid w:linePitch="360"/>
        </w:sectPr>
      </w:pPr>
    </w:p>
    <w:p w14:paraId="58C2D75A" w14:textId="77777777" w:rsidR="009166C2" w:rsidRDefault="009166C2" w:rsidP="009166C2">
      <w:bookmarkStart w:id="3" w:name="_Hlk232169591"/>
      <w:r>
        <w:t>Marie AIT DAOUD - VINCI</w:t>
      </w:r>
    </w:p>
    <w:p w14:paraId="45CC6BEA" w14:textId="77777777" w:rsidR="009166C2" w:rsidRDefault="009166C2" w:rsidP="009166C2">
      <w:r>
        <w:t>Grégory BARBÉ</w:t>
      </w:r>
      <w:r>
        <w:tab/>
        <w:t>- COVÉA</w:t>
      </w:r>
    </w:p>
    <w:p w14:paraId="4E54D024" w14:textId="77777777" w:rsidR="009166C2" w:rsidRDefault="009166C2" w:rsidP="009166C2">
      <w:r>
        <w:t>Jérôme</w:t>
      </w:r>
      <w:r>
        <w:tab/>
        <w:t>BARRE</w:t>
      </w:r>
      <w:r>
        <w:tab/>
        <w:t>- BNP PARIBAS</w:t>
      </w:r>
    </w:p>
    <w:p w14:paraId="26C1D0A4" w14:textId="77777777" w:rsidR="009166C2" w:rsidRDefault="009166C2" w:rsidP="009166C2">
      <w:r>
        <w:t>Sébastien BERNARD - FONDATION DE FRANCE</w:t>
      </w:r>
    </w:p>
    <w:p w14:paraId="746DFC11" w14:textId="77777777" w:rsidR="009166C2" w:rsidRPr="00F4758C" w:rsidRDefault="009166C2" w:rsidP="009166C2">
      <w:pPr>
        <w:rPr>
          <w:lang w:val="en-GB"/>
        </w:rPr>
      </w:pPr>
      <w:r w:rsidRPr="00F4758C">
        <w:rPr>
          <w:lang w:val="en-GB"/>
        </w:rPr>
        <w:t>Marie-Laure BOUTHIERE - MINISTRY OF ECOLOGICAL TRANSITION, BIODIVERSITY AND INTERNATIONAL NEGOTIATIONS ON CLIMATE AND NATURE</w:t>
      </w:r>
    </w:p>
    <w:p w14:paraId="3A6C05DF" w14:textId="77777777" w:rsidR="009166C2" w:rsidRDefault="009166C2" w:rsidP="009166C2">
      <w:r>
        <w:t>Amar CADI – SOCIAL AFFAIRS MINISTRIES</w:t>
      </w:r>
    </w:p>
    <w:p w14:paraId="5D2A12DA" w14:textId="77777777" w:rsidR="009166C2" w:rsidRPr="009166C2" w:rsidRDefault="009166C2" w:rsidP="009166C2">
      <w:r w:rsidRPr="009166C2">
        <w:t>Mathilde CAILLOL - EDF</w:t>
      </w:r>
    </w:p>
    <w:p w14:paraId="3222230B" w14:textId="77777777" w:rsidR="009166C2" w:rsidRDefault="009166C2" w:rsidP="009166C2">
      <w:r>
        <w:t>Sandra CHARRIER - FRANCE TRAVAIL</w:t>
      </w:r>
    </w:p>
    <w:p w14:paraId="62A71B69" w14:textId="77777777" w:rsidR="009166C2" w:rsidRDefault="009166C2" w:rsidP="009166C2">
      <w:r>
        <w:t>Barbara</w:t>
      </w:r>
      <w:r>
        <w:tab/>
        <w:t xml:space="preserve"> DEVAUX – EQUANS</w:t>
      </w:r>
    </w:p>
    <w:p w14:paraId="3FD370BF" w14:textId="77777777" w:rsidR="009166C2" w:rsidRPr="00C6698B" w:rsidRDefault="009166C2" w:rsidP="009166C2">
      <w:pPr>
        <w:rPr>
          <w:lang w:val="es-ES"/>
        </w:rPr>
      </w:pPr>
      <w:r w:rsidRPr="00C6698B">
        <w:rPr>
          <w:lang w:val="es-ES"/>
        </w:rPr>
        <w:t>Dorra DO VALE – COVÉA</w:t>
      </w:r>
    </w:p>
    <w:p w14:paraId="2D9934EA" w14:textId="77777777" w:rsidR="009166C2" w:rsidRPr="004B4BDE" w:rsidRDefault="009166C2" w:rsidP="009166C2">
      <w:pPr>
        <w:rPr>
          <w:lang w:val="es-ES"/>
        </w:rPr>
      </w:pPr>
      <w:r w:rsidRPr="004B4BDE">
        <w:rPr>
          <w:lang w:val="es-ES"/>
        </w:rPr>
        <w:t>Éric DRUESNES - CNAF</w:t>
      </w:r>
    </w:p>
    <w:p w14:paraId="698FD391" w14:textId="77777777" w:rsidR="009166C2" w:rsidRDefault="009166C2" w:rsidP="009166C2">
      <w:r>
        <w:t>Barbara</w:t>
      </w:r>
      <w:r>
        <w:tab/>
        <w:t xml:space="preserve"> DUFRESNE MICHELETTI – AG2R LA MONDIALE</w:t>
      </w:r>
    </w:p>
    <w:p w14:paraId="4DB4445B" w14:textId="77777777" w:rsidR="009166C2" w:rsidRPr="002A7C03" w:rsidRDefault="009166C2" w:rsidP="009166C2">
      <w:r w:rsidRPr="002A7C03">
        <w:t>Hugues</w:t>
      </w:r>
      <w:r w:rsidRPr="002A7C03">
        <w:tab/>
        <w:t>FOSSEY – SODEXO</w:t>
      </w:r>
    </w:p>
    <w:p w14:paraId="17AF395E" w14:textId="77777777" w:rsidR="009166C2" w:rsidRDefault="009166C2" w:rsidP="009166C2">
      <w:r>
        <w:t>Délia GARBARINI – CAISSE DES DÉPÔTS</w:t>
      </w:r>
    </w:p>
    <w:p w14:paraId="38388A9D" w14:textId="77777777" w:rsidR="009166C2" w:rsidRDefault="009166C2" w:rsidP="009166C2">
      <w:r>
        <w:t>Yann GOUPIL – CAISSE DES DÉPÔTS</w:t>
      </w:r>
    </w:p>
    <w:p w14:paraId="6C2A7D1A" w14:textId="77777777" w:rsidR="009166C2" w:rsidRDefault="009166C2" w:rsidP="009166C2">
      <w:r>
        <w:t>Jimi KELLY - PIERRE FABRE</w:t>
      </w:r>
    </w:p>
    <w:p w14:paraId="350E4702" w14:textId="77777777" w:rsidR="009166C2" w:rsidRDefault="009166C2" w:rsidP="009166C2">
      <w:r>
        <w:t>Benoît KLEIN – MSA</w:t>
      </w:r>
    </w:p>
    <w:p w14:paraId="7FC6D53D" w14:textId="77777777" w:rsidR="009166C2" w:rsidRPr="002A7C03" w:rsidRDefault="009166C2" w:rsidP="009166C2">
      <w:r w:rsidRPr="002A7C03">
        <w:t>Jamshid KOHANDEL – DINUM</w:t>
      </w:r>
    </w:p>
    <w:p w14:paraId="09EF8A3D" w14:textId="77777777" w:rsidR="009166C2" w:rsidRDefault="009166C2" w:rsidP="009166C2">
      <w:r>
        <w:t>Fabienne LALOUX – BPI FRANCE</w:t>
      </w:r>
    </w:p>
    <w:p w14:paraId="4596EA0D" w14:textId="77777777" w:rsidR="009166C2" w:rsidRDefault="009166C2" w:rsidP="009166C2">
      <w:r>
        <w:t>Gwladys MAMPOUYA – CRÉDIT AGRICOLE S.A.</w:t>
      </w:r>
    </w:p>
    <w:p w14:paraId="499DCEC9" w14:textId="77777777" w:rsidR="009166C2" w:rsidRDefault="009166C2" w:rsidP="009166C2">
      <w:r>
        <w:t>Fabrice</w:t>
      </w:r>
      <w:r>
        <w:tab/>
        <w:t>MAUFAY – SERVIER</w:t>
      </w:r>
    </w:p>
    <w:p w14:paraId="4612DB99" w14:textId="77777777" w:rsidR="009166C2" w:rsidRDefault="009166C2" w:rsidP="009166C2">
      <w:r>
        <w:t>Fabien MÉTIVET – CRÉDIT AGRICOLE S.A.</w:t>
      </w:r>
    </w:p>
    <w:p w14:paraId="5C7F499B" w14:textId="77777777" w:rsidR="009166C2" w:rsidRDefault="009166C2" w:rsidP="009166C2">
      <w:r>
        <w:t>Virginie MOREL-GARDIEN – STELLANTIS</w:t>
      </w:r>
    </w:p>
    <w:p w14:paraId="1A37B506" w14:textId="77777777" w:rsidR="009166C2" w:rsidRDefault="009166C2" w:rsidP="009166C2">
      <w:r>
        <w:t>Anne-Cécile MORIN – COVÉA</w:t>
      </w:r>
    </w:p>
    <w:p w14:paraId="6628685E" w14:textId="77777777" w:rsidR="009166C2" w:rsidRDefault="009166C2" w:rsidP="009166C2">
      <w:r>
        <w:t>Stéphanie NAZARIAN – DINUM</w:t>
      </w:r>
    </w:p>
    <w:p w14:paraId="3738B90A" w14:textId="77777777" w:rsidR="009166C2" w:rsidRDefault="009166C2" w:rsidP="009166C2">
      <w:r>
        <w:t>Thierry</w:t>
      </w:r>
      <w:r>
        <w:tab/>
        <w:t>NÉEL – MATMUT</w:t>
      </w:r>
    </w:p>
    <w:p w14:paraId="161F74C6" w14:textId="77777777" w:rsidR="009166C2" w:rsidRPr="004B4BDE" w:rsidRDefault="009166C2" w:rsidP="009166C2">
      <w:r w:rsidRPr="004B4BDE">
        <w:t>Julie PARRA – MSA</w:t>
      </w:r>
    </w:p>
    <w:p w14:paraId="4FCF95FD" w14:textId="77777777" w:rsidR="009166C2" w:rsidRDefault="009166C2" w:rsidP="009166C2">
      <w:r>
        <w:t>Matthieu PAULIN – INVIVO</w:t>
      </w:r>
    </w:p>
    <w:p w14:paraId="69B9DE61" w14:textId="77777777" w:rsidR="009166C2" w:rsidRPr="002A7C03" w:rsidRDefault="009166C2" w:rsidP="009166C2">
      <w:r w:rsidRPr="002A7C03">
        <w:t>Caroline PIC – RENAULT</w:t>
      </w:r>
    </w:p>
    <w:p w14:paraId="1A95166B" w14:textId="77777777" w:rsidR="009166C2" w:rsidRDefault="009166C2" w:rsidP="009166C2">
      <w:r>
        <w:t>Claire QUINTANAR – ENEDIS</w:t>
      </w:r>
    </w:p>
    <w:p w14:paraId="6489BEEA" w14:textId="77777777" w:rsidR="009166C2" w:rsidRPr="00F4758C" w:rsidRDefault="009166C2" w:rsidP="009166C2">
      <w:pPr>
        <w:rPr>
          <w:lang w:val="en-GB"/>
        </w:rPr>
      </w:pPr>
      <w:r w:rsidRPr="00F4758C">
        <w:rPr>
          <w:lang w:val="en-GB"/>
        </w:rPr>
        <w:t>Nicolas</w:t>
      </w:r>
      <w:r w:rsidRPr="00F4758C">
        <w:rPr>
          <w:lang w:val="en-GB"/>
        </w:rPr>
        <w:tab/>
        <w:t>SCHMITT – BNP PARIBAS</w:t>
      </w:r>
    </w:p>
    <w:p w14:paraId="136E121E" w14:textId="77777777" w:rsidR="009166C2" w:rsidRPr="00F4758C" w:rsidRDefault="009166C2" w:rsidP="009166C2">
      <w:pPr>
        <w:rPr>
          <w:lang w:val="en-GB"/>
        </w:rPr>
      </w:pPr>
      <w:r w:rsidRPr="00F4758C">
        <w:rPr>
          <w:lang w:val="en-GB"/>
        </w:rPr>
        <w:t>Jean-Philippe SIMONNET – MINISTRY OF ECOLOGICAL TRANSITION, BIODIVERSITY AND INTERNATIONAL NEGOTIATIONS ON CLIMATE AND NATURE</w:t>
      </w:r>
    </w:p>
    <w:p w14:paraId="00B9CD16" w14:textId="77777777" w:rsidR="009166C2" w:rsidRDefault="009166C2" w:rsidP="009166C2">
      <w:r>
        <w:t>Annie STEINMETZ – AG2R LA MONDIALE</w:t>
      </w:r>
    </w:p>
    <w:p w14:paraId="72FD83B4" w14:textId="77777777" w:rsidR="009166C2" w:rsidRDefault="009166C2" w:rsidP="009166C2">
      <w:r>
        <w:t>Élodie TESSON – CRÉDIT AGRICOLE SA</w:t>
      </w:r>
    </w:p>
    <w:bookmarkEnd w:id="3"/>
    <w:p w14:paraId="7BE4092E" w14:textId="45DF7C15" w:rsidR="000C48CF" w:rsidRDefault="000C48CF" w:rsidP="00DA4697">
      <w:pPr>
        <w:keepNext/>
        <w:keepLines/>
        <w:pageBreakBefore/>
        <w:sectPr w:rsidR="000C48CF" w:rsidSect="000C48CF">
          <w:type w:val="continuous"/>
          <w:pgSz w:w="11906" w:h="16838" w:code="9"/>
          <w:pgMar w:top="1418" w:right="1418" w:bottom="1418" w:left="1418" w:header="709" w:footer="709" w:gutter="0"/>
          <w:pgNumType w:start="1"/>
          <w:cols w:num="2" w:space="708"/>
          <w:docGrid w:linePitch="360"/>
        </w:sectPr>
      </w:pPr>
    </w:p>
    <w:p w14:paraId="604F0E67" w14:textId="77777777" w:rsidR="00782984" w:rsidRPr="00F4758C" w:rsidRDefault="00782984" w:rsidP="00DA4697">
      <w:pPr>
        <w:keepNext/>
        <w:keepLines/>
        <w:pageBreakBefore/>
        <w:rPr>
          <w:lang w:val="en-GB"/>
        </w:rPr>
      </w:pPr>
      <w:r w:rsidRPr="00F4758C">
        <w:rPr>
          <w:lang w:val="en-GB"/>
        </w:rPr>
        <w:lastRenderedPageBreak/>
        <w:t>We would also like to extend our warmest thanks to all the contributors who have enriched the discussions of our working group:</w:t>
      </w:r>
    </w:p>
    <w:p w14:paraId="6E9380B8" w14:textId="77777777" w:rsidR="00D53D7D" w:rsidRPr="00F4758C" w:rsidRDefault="00D53D7D" w:rsidP="00D53D7D">
      <w:pPr>
        <w:pStyle w:val="Paragraphedeliste"/>
        <w:numPr>
          <w:ilvl w:val="0"/>
          <w:numId w:val="2"/>
        </w:numPr>
        <w:rPr>
          <w:lang w:val="en-GB"/>
        </w:rPr>
      </w:pPr>
      <w:r w:rsidRPr="00F4758C">
        <w:rPr>
          <w:b/>
          <w:bCs/>
          <w:lang w:val="en-GB"/>
        </w:rPr>
        <w:t>Luce Carević</w:t>
      </w:r>
      <w:r w:rsidRPr="00F4758C">
        <w:rPr>
          <w:lang w:val="en-GB"/>
        </w:rPr>
        <w:t xml:space="preserve">, Director of Operations at Access42  </w:t>
      </w:r>
    </w:p>
    <w:p w14:paraId="33CBD02F" w14:textId="2EB02CDE" w:rsidR="00D53D7D" w:rsidRPr="00F4758C" w:rsidRDefault="00D53D7D" w:rsidP="00D53D7D">
      <w:pPr>
        <w:pStyle w:val="Paragraphedeliste"/>
        <w:numPr>
          <w:ilvl w:val="0"/>
          <w:numId w:val="2"/>
        </w:numPr>
        <w:rPr>
          <w:lang w:val="en-GB"/>
        </w:rPr>
      </w:pPr>
      <w:r w:rsidRPr="00F4758C">
        <w:rPr>
          <w:b/>
          <w:bCs/>
          <w:lang w:val="en-GB"/>
        </w:rPr>
        <w:t>Yann Goupil</w:t>
      </w:r>
      <w:r w:rsidRPr="00F4758C">
        <w:rPr>
          <w:lang w:val="en-GB"/>
        </w:rPr>
        <w:t xml:space="preserve">, Digital Accessibility Lead at the Public Institution, Head of RGAA Compliance at the Caisse des Dépôts IT Department, and </w:t>
      </w:r>
      <w:r w:rsidRPr="00F4758C">
        <w:rPr>
          <w:b/>
          <w:bCs/>
          <w:lang w:val="en-GB"/>
        </w:rPr>
        <w:t>Délia Garbarini</w:t>
      </w:r>
      <w:r w:rsidRPr="00F4758C">
        <w:rPr>
          <w:lang w:val="en-GB"/>
        </w:rPr>
        <w:t>, Digital Accessibility Lead and Expert, Software Engineering Department, Foundations Division, Caisse des Dépôts</w:t>
      </w:r>
    </w:p>
    <w:p w14:paraId="7648BEB6" w14:textId="2CA2BAE9" w:rsidR="00D53D7D" w:rsidRPr="00F4758C" w:rsidRDefault="00D53D7D" w:rsidP="00D53D7D">
      <w:pPr>
        <w:pStyle w:val="Paragraphedeliste"/>
        <w:numPr>
          <w:ilvl w:val="0"/>
          <w:numId w:val="2"/>
        </w:numPr>
        <w:rPr>
          <w:lang w:val="en-GB"/>
        </w:rPr>
      </w:pPr>
      <w:r w:rsidRPr="00F4758C">
        <w:rPr>
          <w:b/>
          <w:bCs/>
          <w:lang w:val="en-GB"/>
        </w:rPr>
        <w:t>Élodie Vuarchex</w:t>
      </w:r>
      <w:r w:rsidRPr="00F4758C">
        <w:rPr>
          <w:lang w:val="en-GB"/>
        </w:rPr>
        <w:t xml:space="preserve">, Digital Accessibility Lead and Product Owner at CACD2, and </w:t>
      </w:r>
      <w:r w:rsidRPr="00F4758C">
        <w:rPr>
          <w:b/>
          <w:bCs/>
          <w:lang w:val="en-GB"/>
        </w:rPr>
        <w:t xml:space="preserve">Charlotte Danino </w:t>
      </w:r>
      <w:r w:rsidRPr="00F4758C">
        <w:rPr>
          <w:lang w:val="en-GB"/>
        </w:rPr>
        <w:t>– Digital Sponsor at CACD2 – Head of Design – Crédit Agricole Conseil et Développement Digital (CACD2)</w:t>
      </w:r>
    </w:p>
    <w:p w14:paraId="68B610ED" w14:textId="2056AD5F" w:rsidR="00D53D7D" w:rsidRPr="00F4758C" w:rsidRDefault="00D53D7D" w:rsidP="00D53D7D">
      <w:pPr>
        <w:pStyle w:val="Paragraphedeliste"/>
        <w:numPr>
          <w:ilvl w:val="0"/>
          <w:numId w:val="2"/>
        </w:numPr>
        <w:rPr>
          <w:lang w:val="en-GB"/>
        </w:rPr>
      </w:pPr>
      <w:r w:rsidRPr="00F4758C">
        <w:rPr>
          <w:b/>
          <w:bCs/>
          <w:lang w:val="en-GB"/>
        </w:rPr>
        <w:t>Jérémy Bardeau</w:t>
      </w:r>
      <w:r w:rsidRPr="00F4758C">
        <w:rPr>
          <w:lang w:val="en-GB"/>
        </w:rPr>
        <w:t xml:space="preserve">, Founder and Director of Operations, and </w:t>
      </w:r>
      <w:r w:rsidRPr="00F4758C">
        <w:rPr>
          <w:b/>
          <w:bCs/>
          <w:lang w:val="en-GB"/>
        </w:rPr>
        <w:t>Patrick Ouvrard</w:t>
      </w:r>
      <w:r w:rsidRPr="00F4758C">
        <w:rPr>
          <w:lang w:val="en-GB"/>
        </w:rPr>
        <w:t>, Sales Director, Ethic First</w:t>
      </w:r>
    </w:p>
    <w:p w14:paraId="3A7BEBBF" w14:textId="4D777B31" w:rsidR="00D53D7D" w:rsidRPr="004F31C5" w:rsidRDefault="00D53D7D" w:rsidP="00D82188">
      <w:pPr>
        <w:pStyle w:val="Paragraphedeliste"/>
        <w:numPr>
          <w:ilvl w:val="0"/>
          <w:numId w:val="2"/>
        </w:numPr>
      </w:pPr>
      <w:r w:rsidRPr="004F31C5">
        <w:rPr>
          <w:b/>
          <w:bCs/>
        </w:rPr>
        <w:t>Marie-Laure Bouthière</w:t>
      </w:r>
      <w:r w:rsidRPr="004F31C5">
        <w:t>, Programme Manager for Disability and Digital Inclusion;</w:t>
      </w:r>
      <w:r w:rsidRPr="004F31C5">
        <w:rPr>
          <w:b/>
          <w:bCs/>
        </w:rPr>
        <w:t xml:space="preserve"> Jean-Philippe Simonnet</w:t>
      </w:r>
      <w:r w:rsidRPr="004F31C5">
        <w:t xml:space="preserve">, Digital Hospitality Project Manager; </w:t>
      </w:r>
      <w:r w:rsidRPr="004F31C5">
        <w:rPr>
          <w:b/>
          <w:bCs/>
        </w:rPr>
        <w:t>Geoffrey Arthaud</w:t>
      </w:r>
      <w:r w:rsidRPr="004F31C5">
        <w:t xml:space="preserve">, Head of the Methods Group; </w:t>
      </w:r>
      <w:r w:rsidRPr="004F31C5">
        <w:rPr>
          <w:b/>
          <w:bCs/>
        </w:rPr>
        <w:t>Laetitia Legrand</w:t>
      </w:r>
      <w:r w:rsidRPr="004F31C5">
        <w:t xml:space="preserve">, UX/UI Designer </w:t>
      </w:r>
      <w:r w:rsidR="006B1F4D" w:rsidRPr="004F31C5">
        <w:t xml:space="preserve">within the </w:t>
      </w:r>
      <w:r w:rsidR="004F31C5" w:rsidRPr="004F31C5">
        <w:t>Direction du Numérique des ministères de la Transition écologique et de l’Aménagement des territoires</w:t>
      </w:r>
    </w:p>
    <w:p w14:paraId="3D8C51E0" w14:textId="31B788B4" w:rsidR="006B1F4D" w:rsidRDefault="006B1F4D" w:rsidP="00D53D7D">
      <w:pPr>
        <w:pStyle w:val="Paragraphedeliste"/>
        <w:numPr>
          <w:ilvl w:val="0"/>
          <w:numId w:val="2"/>
        </w:numPr>
      </w:pPr>
      <w:r w:rsidRPr="006B1F4D">
        <w:rPr>
          <w:b/>
          <w:bCs/>
        </w:rPr>
        <w:t>Fabien Métivet</w:t>
      </w:r>
      <w:r w:rsidRPr="006B1F4D">
        <w:t xml:space="preserve">, </w:t>
      </w:r>
      <w:r w:rsidR="003D27CD">
        <w:t xml:space="preserve">Head of the </w:t>
      </w:r>
      <w:r w:rsidRPr="006B1F4D">
        <w:t xml:space="preserve">Responsible Digital </w:t>
      </w:r>
      <w:r w:rsidR="003D27CD">
        <w:t>Programme</w:t>
      </w:r>
      <w:r w:rsidRPr="006B1F4D">
        <w:t xml:space="preserve">, Crédit Agricole </w:t>
      </w:r>
      <w:r>
        <w:t>S</w:t>
      </w:r>
      <w:r w:rsidR="003D27CD">
        <w:t>.</w:t>
      </w:r>
      <w:r>
        <w:t>A</w:t>
      </w:r>
      <w:r w:rsidR="003D27CD">
        <w:t>.</w:t>
      </w:r>
    </w:p>
    <w:p w14:paraId="0E13CB76" w14:textId="0FA3CF5B" w:rsidR="006B1F4D" w:rsidRPr="00F4758C" w:rsidRDefault="006B1F4D" w:rsidP="00D53D7D">
      <w:pPr>
        <w:pStyle w:val="Paragraphedeliste"/>
        <w:numPr>
          <w:ilvl w:val="0"/>
          <w:numId w:val="2"/>
        </w:numPr>
        <w:rPr>
          <w:lang w:val="en-GB"/>
        </w:rPr>
      </w:pPr>
      <w:r w:rsidRPr="00F4758C">
        <w:rPr>
          <w:b/>
          <w:bCs/>
          <w:lang w:val="en-GB"/>
        </w:rPr>
        <w:t>Jamshid Kohandel</w:t>
      </w:r>
      <w:r w:rsidRPr="00F4758C">
        <w:rPr>
          <w:lang w:val="en-GB"/>
        </w:rPr>
        <w:t>, Accessibility Project Officer at DINUM</w:t>
      </w:r>
    </w:p>
    <w:p w14:paraId="42233E20" w14:textId="0DE04233" w:rsidR="00F82842" w:rsidRPr="00F4758C" w:rsidRDefault="00D53D7D" w:rsidP="00F82842">
      <w:pPr>
        <w:pStyle w:val="Paragraphedeliste"/>
        <w:numPr>
          <w:ilvl w:val="0"/>
          <w:numId w:val="2"/>
        </w:numPr>
        <w:rPr>
          <w:lang w:val="en-GB"/>
        </w:rPr>
      </w:pPr>
      <w:r w:rsidRPr="00F4758C">
        <w:rPr>
          <w:b/>
          <w:bCs/>
          <w:lang w:val="en-GB"/>
        </w:rPr>
        <w:t>Benoit Klein</w:t>
      </w:r>
      <w:r w:rsidRPr="00F4758C">
        <w:rPr>
          <w:lang w:val="en-GB"/>
        </w:rPr>
        <w:t xml:space="preserve">, Digital Accessibility Lead, iMSA </w:t>
      </w:r>
    </w:p>
    <w:p w14:paraId="36EC8C43" w14:textId="3CA76089" w:rsidR="00782984" w:rsidRPr="00F4758C" w:rsidRDefault="00782984" w:rsidP="006B1F4D">
      <w:pPr>
        <w:pStyle w:val="Paragraphedeliste"/>
        <w:rPr>
          <w:lang w:val="en-GB"/>
        </w:rPr>
      </w:pPr>
    </w:p>
    <w:p w14:paraId="2BCDA6EE" w14:textId="4F30B8F3" w:rsidR="00782984" w:rsidRPr="00F4758C" w:rsidRDefault="00782984" w:rsidP="00782984">
      <w:pPr>
        <w:rPr>
          <w:lang w:val="en-GB"/>
        </w:rPr>
      </w:pPr>
      <w:r w:rsidRPr="00F4758C">
        <w:rPr>
          <w:lang w:val="en-GB"/>
        </w:rPr>
        <w:t xml:space="preserve">This document was compiled and drafted by </w:t>
      </w:r>
      <w:r w:rsidR="006B1F4D" w:rsidRPr="00F4758C">
        <w:rPr>
          <w:b/>
          <w:bCs/>
          <w:lang w:val="en-GB"/>
        </w:rPr>
        <w:t>Flora FISCHER</w:t>
      </w:r>
      <w:r w:rsidR="006B1F4D" w:rsidRPr="00F4758C">
        <w:rPr>
          <w:lang w:val="en-GB"/>
        </w:rPr>
        <w:t>, Project Director and Digital</w:t>
      </w:r>
      <w:r w:rsidR="00F4758C">
        <w:rPr>
          <w:lang w:val="en-GB"/>
        </w:rPr>
        <w:t xml:space="preserve"> Sustainabilty</w:t>
      </w:r>
      <w:r w:rsidR="006B1F4D" w:rsidRPr="00F4758C">
        <w:rPr>
          <w:lang w:val="en-GB"/>
        </w:rPr>
        <w:t xml:space="preserve"> Officer, and </w:t>
      </w:r>
      <w:r w:rsidR="006B1F4D" w:rsidRPr="00F4758C">
        <w:rPr>
          <w:b/>
          <w:bCs/>
          <w:lang w:val="en-GB"/>
        </w:rPr>
        <w:t xml:space="preserve">Pierre </w:t>
      </w:r>
      <w:r w:rsidR="00753226" w:rsidRPr="00F4758C">
        <w:rPr>
          <w:b/>
          <w:bCs/>
          <w:lang w:val="en-GB"/>
        </w:rPr>
        <w:t>SKRZYPCZAK</w:t>
      </w:r>
      <w:r w:rsidR="00753226" w:rsidRPr="00F4758C">
        <w:rPr>
          <w:lang w:val="en-GB"/>
        </w:rPr>
        <w:t xml:space="preserve">, Senior Project Officer, </w:t>
      </w:r>
      <w:r w:rsidR="006B1F4D" w:rsidRPr="00F4758C">
        <w:rPr>
          <w:lang w:val="en-GB"/>
        </w:rPr>
        <w:t>at Cigref</w:t>
      </w:r>
      <w:r w:rsidR="00753226" w:rsidRPr="00F4758C">
        <w:rPr>
          <w:lang w:val="en-GB"/>
        </w:rPr>
        <w:t>.</w:t>
      </w:r>
    </w:p>
    <w:p w14:paraId="0B89C1F8" w14:textId="77777777" w:rsidR="00276234" w:rsidRPr="00F4758C" w:rsidRDefault="00276234" w:rsidP="00276234">
      <w:pPr>
        <w:rPr>
          <w:lang w:val="en-GB"/>
        </w:rPr>
      </w:pPr>
    </w:p>
    <w:p w14:paraId="3EE301D7" w14:textId="77777777" w:rsidR="003610E9" w:rsidRPr="006A501E" w:rsidRDefault="006A0726" w:rsidP="00CF2255">
      <w:pPr>
        <w:pStyle w:val="En-ttedetabledesmatires"/>
        <w:pageBreakBefore/>
      </w:pPr>
      <w:bookmarkStart w:id="4" w:name="_Toc117159542"/>
      <w:r>
        <w:lastRenderedPageBreak/>
        <w:t>TABLE OF CONTENTS</w:t>
      </w:r>
      <w:bookmarkEnd w:id="4"/>
    </w:p>
    <w:p w14:paraId="1FEA1E0F" w14:textId="47995FF8" w:rsidR="008D7E35" w:rsidRDefault="004C7112">
      <w:pPr>
        <w:pStyle w:val="TM1"/>
        <w:rPr>
          <w:rFonts w:eastAsiaTheme="minorEastAsia"/>
          <w:b w:val="0"/>
          <w:caps w:val="0"/>
          <w:color w:val="auto"/>
          <w:kern w:val="2"/>
          <w:sz w:val="24"/>
          <w:szCs w:val="24"/>
          <w:lang w:val="fr-FR" w:eastAsia="fr-FR"/>
          <w14:ligatures w14:val="standardContextual"/>
        </w:rPr>
      </w:pPr>
      <w:r>
        <w:rPr>
          <w:rFonts w:eastAsia="Times New Roman" w:cs="Times New Roman"/>
          <w:b w:val="0"/>
          <w:caps w:val="0"/>
          <w:color w:val="6C0A1A"/>
          <w:sz w:val="32"/>
          <w:szCs w:val="32"/>
        </w:rPr>
        <w:fldChar w:fldCharType="begin"/>
      </w:r>
      <w:r>
        <w:rPr>
          <w:rFonts w:eastAsia="Times New Roman" w:cs="Times New Roman"/>
          <w:b w:val="0"/>
          <w:caps w:val="0"/>
          <w:color w:val="6C0A1A"/>
          <w:sz w:val="32"/>
          <w:szCs w:val="32"/>
        </w:rPr>
        <w:instrText xml:space="preserve"> TOC \o "1-3" \h \z \t "à retenir;2" </w:instrText>
      </w:r>
      <w:r>
        <w:rPr>
          <w:rFonts w:eastAsia="Times New Roman" w:cs="Times New Roman"/>
          <w:b w:val="0"/>
          <w:caps w:val="0"/>
          <w:color w:val="6C0A1A"/>
          <w:sz w:val="32"/>
          <w:szCs w:val="32"/>
        </w:rPr>
        <w:fldChar w:fldCharType="separate"/>
      </w:r>
      <w:hyperlink w:anchor="_Toc230076992" w:history="1">
        <w:r w:rsidR="008D7E35" w:rsidRPr="00594ED3">
          <w:rPr>
            <w:rStyle w:val="Lienhypertexte"/>
          </w:rPr>
          <w:t>INTRODUCTION</w:t>
        </w:r>
        <w:r w:rsidR="008D7E35">
          <w:rPr>
            <w:webHidden/>
          </w:rPr>
          <w:tab/>
        </w:r>
        <w:r w:rsidR="008D7E35">
          <w:rPr>
            <w:webHidden/>
          </w:rPr>
          <w:fldChar w:fldCharType="begin"/>
        </w:r>
        <w:r w:rsidR="008D7E35">
          <w:rPr>
            <w:webHidden/>
          </w:rPr>
          <w:instrText xml:space="preserve"> PAGEREF _Toc230076992 \h </w:instrText>
        </w:r>
        <w:r w:rsidR="008D7E35">
          <w:rPr>
            <w:webHidden/>
          </w:rPr>
        </w:r>
        <w:r w:rsidR="008D7E35">
          <w:rPr>
            <w:webHidden/>
          </w:rPr>
          <w:fldChar w:fldCharType="separate"/>
        </w:r>
        <w:r w:rsidR="00BC6937">
          <w:rPr>
            <w:webHidden/>
          </w:rPr>
          <w:t>9</w:t>
        </w:r>
        <w:r w:rsidR="008D7E35">
          <w:rPr>
            <w:webHidden/>
          </w:rPr>
          <w:fldChar w:fldCharType="end"/>
        </w:r>
      </w:hyperlink>
    </w:p>
    <w:p w14:paraId="738FE56F" w14:textId="349542D2" w:rsidR="008D7E35" w:rsidRDefault="008D7E35">
      <w:pPr>
        <w:pStyle w:val="TM1"/>
        <w:rPr>
          <w:rFonts w:eastAsiaTheme="minorEastAsia"/>
          <w:b w:val="0"/>
          <w:caps w:val="0"/>
          <w:color w:val="auto"/>
          <w:kern w:val="2"/>
          <w:sz w:val="24"/>
          <w:szCs w:val="24"/>
          <w:lang w:val="fr-FR" w:eastAsia="fr-FR"/>
          <w14:ligatures w14:val="standardContextual"/>
        </w:rPr>
      </w:pPr>
      <w:hyperlink w:anchor="_Toc230076993" w:history="1">
        <w:r w:rsidRPr="00594ED3">
          <w:rPr>
            <w:rStyle w:val="Lienhypertexte"/>
          </w:rPr>
          <w:t>1</w:t>
        </w:r>
        <w:r>
          <w:rPr>
            <w:rFonts w:eastAsiaTheme="minorEastAsia"/>
            <w:b w:val="0"/>
            <w:caps w:val="0"/>
            <w:color w:val="auto"/>
            <w:kern w:val="2"/>
            <w:sz w:val="24"/>
            <w:szCs w:val="24"/>
            <w:lang w:val="fr-FR" w:eastAsia="fr-FR"/>
            <w14:ligatures w14:val="standardContextual"/>
          </w:rPr>
          <w:tab/>
        </w:r>
        <w:r w:rsidRPr="00594ED3">
          <w:rPr>
            <w:rStyle w:val="Lienhypertexte"/>
          </w:rPr>
          <w:t>Context and challenges of digital accessibility</w:t>
        </w:r>
        <w:r>
          <w:rPr>
            <w:webHidden/>
          </w:rPr>
          <w:tab/>
        </w:r>
        <w:r>
          <w:rPr>
            <w:webHidden/>
          </w:rPr>
          <w:fldChar w:fldCharType="begin"/>
        </w:r>
        <w:r>
          <w:rPr>
            <w:webHidden/>
          </w:rPr>
          <w:instrText xml:space="preserve"> PAGEREF _Toc230076993 \h </w:instrText>
        </w:r>
        <w:r>
          <w:rPr>
            <w:webHidden/>
          </w:rPr>
        </w:r>
        <w:r>
          <w:rPr>
            <w:webHidden/>
          </w:rPr>
          <w:fldChar w:fldCharType="separate"/>
        </w:r>
        <w:r w:rsidR="00BC6937">
          <w:rPr>
            <w:webHidden/>
          </w:rPr>
          <w:t>11</w:t>
        </w:r>
        <w:r>
          <w:rPr>
            <w:webHidden/>
          </w:rPr>
          <w:fldChar w:fldCharType="end"/>
        </w:r>
      </w:hyperlink>
    </w:p>
    <w:p w14:paraId="7261D82B" w14:textId="3D538452" w:rsidR="008D7E35" w:rsidRDefault="008D7E35">
      <w:pPr>
        <w:pStyle w:val="TM2"/>
        <w:rPr>
          <w:rFonts w:cstheme="minorBidi"/>
          <w:color w:val="auto"/>
          <w:kern w:val="2"/>
          <w:sz w:val="24"/>
          <w:szCs w:val="24"/>
          <w14:ligatures w14:val="standardContextual"/>
        </w:rPr>
      </w:pPr>
      <w:hyperlink w:anchor="_Toc230076994" w:history="1">
        <w:r w:rsidRPr="00594ED3">
          <w:rPr>
            <w:rStyle w:val="Lienhypertexte"/>
          </w:rPr>
          <w:t>1.1</w:t>
        </w:r>
        <w:r>
          <w:rPr>
            <w:rFonts w:cstheme="minorBidi"/>
            <w:color w:val="auto"/>
            <w:kern w:val="2"/>
            <w:sz w:val="24"/>
            <w:szCs w:val="24"/>
            <w14:ligatures w14:val="standardContextual"/>
          </w:rPr>
          <w:tab/>
        </w:r>
        <w:r w:rsidRPr="00594ED3">
          <w:rPr>
            <w:rStyle w:val="Lienhypertexte"/>
          </w:rPr>
          <w:t>Definition and understanding of the legal framework</w:t>
        </w:r>
        <w:r>
          <w:rPr>
            <w:webHidden/>
          </w:rPr>
          <w:tab/>
        </w:r>
        <w:r>
          <w:rPr>
            <w:webHidden/>
          </w:rPr>
          <w:fldChar w:fldCharType="begin"/>
        </w:r>
        <w:r>
          <w:rPr>
            <w:webHidden/>
          </w:rPr>
          <w:instrText xml:space="preserve"> PAGEREF _Toc230076994 \h </w:instrText>
        </w:r>
        <w:r>
          <w:rPr>
            <w:webHidden/>
          </w:rPr>
        </w:r>
        <w:r>
          <w:rPr>
            <w:webHidden/>
          </w:rPr>
          <w:fldChar w:fldCharType="separate"/>
        </w:r>
        <w:r w:rsidR="00BC6937">
          <w:rPr>
            <w:webHidden/>
          </w:rPr>
          <w:t>11</w:t>
        </w:r>
        <w:r>
          <w:rPr>
            <w:webHidden/>
          </w:rPr>
          <w:fldChar w:fldCharType="end"/>
        </w:r>
      </w:hyperlink>
    </w:p>
    <w:p w14:paraId="2EAEEBC6" w14:textId="1955CAC8" w:rsidR="008D7E35" w:rsidRDefault="008D7E35">
      <w:pPr>
        <w:pStyle w:val="TM3"/>
        <w:rPr>
          <w:rFonts w:cstheme="minorBidi"/>
          <w:color w:val="auto"/>
          <w:kern w:val="2"/>
          <w:sz w:val="24"/>
          <w:szCs w:val="24"/>
          <w14:ligatures w14:val="standardContextual"/>
        </w:rPr>
      </w:pPr>
      <w:hyperlink w:anchor="_Toc230076995" w:history="1">
        <w:r w:rsidRPr="00594ED3">
          <w:rPr>
            <w:rStyle w:val="Lienhypertexte"/>
          </w:rPr>
          <w:t>1.1.1</w:t>
        </w:r>
        <w:r>
          <w:rPr>
            <w:rFonts w:cstheme="minorBidi"/>
            <w:color w:val="auto"/>
            <w:kern w:val="2"/>
            <w:sz w:val="24"/>
            <w:szCs w:val="24"/>
            <w14:ligatures w14:val="standardContextual"/>
          </w:rPr>
          <w:tab/>
        </w:r>
        <w:r w:rsidRPr="00594ED3">
          <w:rPr>
            <w:rStyle w:val="Lienhypertexte"/>
          </w:rPr>
          <w:t>Definition</w:t>
        </w:r>
        <w:r>
          <w:rPr>
            <w:webHidden/>
          </w:rPr>
          <w:tab/>
        </w:r>
        <w:r>
          <w:rPr>
            <w:webHidden/>
          </w:rPr>
          <w:fldChar w:fldCharType="begin"/>
        </w:r>
        <w:r>
          <w:rPr>
            <w:webHidden/>
          </w:rPr>
          <w:instrText xml:space="preserve"> PAGEREF _Toc230076995 \h </w:instrText>
        </w:r>
        <w:r>
          <w:rPr>
            <w:webHidden/>
          </w:rPr>
        </w:r>
        <w:r>
          <w:rPr>
            <w:webHidden/>
          </w:rPr>
          <w:fldChar w:fldCharType="separate"/>
        </w:r>
        <w:r w:rsidR="00BC6937">
          <w:rPr>
            <w:webHidden/>
          </w:rPr>
          <w:t>11</w:t>
        </w:r>
        <w:r>
          <w:rPr>
            <w:webHidden/>
          </w:rPr>
          <w:fldChar w:fldCharType="end"/>
        </w:r>
      </w:hyperlink>
    </w:p>
    <w:p w14:paraId="0797D20A" w14:textId="5BD0EDD2" w:rsidR="008D7E35" w:rsidRDefault="008D7E35">
      <w:pPr>
        <w:pStyle w:val="TM3"/>
        <w:rPr>
          <w:rFonts w:cstheme="minorBidi"/>
          <w:color w:val="auto"/>
          <w:kern w:val="2"/>
          <w:sz w:val="24"/>
          <w:szCs w:val="24"/>
          <w14:ligatures w14:val="standardContextual"/>
        </w:rPr>
      </w:pPr>
      <w:hyperlink w:anchor="_Toc230076996" w:history="1">
        <w:r w:rsidRPr="00594ED3">
          <w:rPr>
            <w:rStyle w:val="Lienhypertexte"/>
          </w:rPr>
          <w:t>1.1.2</w:t>
        </w:r>
        <w:r>
          <w:rPr>
            <w:rFonts w:cstheme="minorBidi"/>
            <w:color w:val="auto"/>
            <w:kern w:val="2"/>
            <w:sz w:val="24"/>
            <w:szCs w:val="24"/>
            <w14:ligatures w14:val="standardContextual"/>
          </w:rPr>
          <w:tab/>
        </w:r>
        <w:r w:rsidRPr="00594ED3">
          <w:rPr>
            <w:rStyle w:val="Lienhypertexte"/>
          </w:rPr>
          <w:t>Understanding the legal framework</w:t>
        </w:r>
        <w:r>
          <w:rPr>
            <w:webHidden/>
          </w:rPr>
          <w:tab/>
        </w:r>
        <w:r>
          <w:rPr>
            <w:webHidden/>
          </w:rPr>
          <w:fldChar w:fldCharType="begin"/>
        </w:r>
        <w:r>
          <w:rPr>
            <w:webHidden/>
          </w:rPr>
          <w:instrText xml:space="preserve"> PAGEREF _Toc230076996 \h </w:instrText>
        </w:r>
        <w:r>
          <w:rPr>
            <w:webHidden/>
          </w:rPr>
        </w:r>
        <w:r>
          <w:rPr>
            <w:webHidden/>
          </w:rPr>
          <w:fldChar w:fldCharType="separate"/>
        </w:r>
        <w:r w:rsidR="00BC6937">
          <w:rPr>
            <w:webHidden/>
          </w:rPr>
          <w:t>12</w:t>
        </w:r>
        <w:r>
          <w:rPr>
            <w:webHidden/>
          </w:rPr>
          <w:fldChar w:fldCharType="end"/>
        </w:r>
      </w:hyperlink>
    </w:p>
    <w:p w14:paraId="66618B91" w14:textId="047334B0" w:rsidR="008D7E35" w:rsidRDefault="008D7E35">
      <w:pPr>
        <w:pStyle w:val="TM3"/>
        <w:rPr>
          <w:rFonts w:cstheme="minorBidi"/>
          <w:color w:val="auto"/>
          <w:kern w:val="2"/>
          <w:sz w:val="24"/>
          <w:szCs w:val="24"/>
          <w14:ligatures w14:val="standardContextual"/>
        </w:rPr>
      </w:pPr>
      <w:hyperlink w:anchor="_Toc230076997" w:history="1">
        <w:r w:rsidRPr="00594ED3">
          <w:rPr>
            <w:rStyle w:val="Lienhypertexte"/>
          </w:rPr>
          <w:t>1.1.3</w:t>
        </w:r>
        <w:r>
          <w:rPr>
            <w:rFonts w:cstheme="minorBidi"/>
            <w:color w:val="auto"/>
            <w:kern w:val="2"/>
            <w:sz w:val="24"/>
            <w:szCs w:val="24"/>
            <w14:ligatures w14:val="standardContextual"/>
          </w:rPr>
          <w:tab/>
        </w:r>
        <w:r w:rsidRPr="00594ED3">
          <w:rPr>
            <w:rStyle w:val="Lienhypertexte"/>
          </w:rPr>
          <w:t>Who is affected?</w:t>
        </w:r>
        <w:r>
          <w:rPr>
            <w:webHidden/>
          </w:rPr>
          <w:tab/>
        </w:r>
        <w:r>
          <w:rPr>
            <w:webHidden/>
          </w:rPr>
          <w:fldChar w:fldCharType="begin"/>
        </w:r>
        <w:r>
          <w:rPr>
            <w:webHidden/>
          </w:rPr>
          <w:instrText xml:space="preserve"> PAGEREF _Toc230076997 \h </w:instrText>
        </w:r>
        <w:r>
          <w:rPr>
            <w:webHidden/>
          </w:rPr>
        </w:r>
        <w:r>
          <w:rPr>
            <w:webHidden/>
          </w:rPr>
          <w:fldChar w:fldCharType="separate"/>
        </w:r>
        <w:r w:rsidR="00BC6937">
          <w:rPr>
            <w:webHidden/>
          </w:rPr>
          <w:t>13</w:t>
        </w:r>
        <w:r>
          <w:rPr>
            <w:webHidden/>
          </w:rPr>
          <w:fldChar w:fldCharType="end"/>
        </w:r>
      </w:hyperlink>
    </w:p>
    <w:p w14:paraId="473433E2" w14:textId="715482A9" w:rsidR="008D7E35" w:rsidRDefault="008D7E35">
      <w:pPr>
        <w:pStyle w:val="TM3"/>
        <w:rPr>
          <w:rFonts w:cstheme="minorBidi"/>
          <w:color w:val="auto"/>
          <w:kern w:val="2"/>
          <w:sz w:val="24"/>
          <w:szCs w:val="24"/>
          <w14:ligatures w14:val="standardContextual"/>
        </w:rPr>
      </w:pPr>
      <w:hyperlink w:anchor="_Toc230076998" w:history="1">
        <w:r w:rsidRPr="00594ED3">
          <w:rPr>
            <w:rStyle w:val="Lienhypertexte"/>
          </w:rPr>
          <w:t>1.1.4</w:t>
        </w:r>
        <w:r>
          <w:rPr>
            <w:rFonts w:cstheme="minorBidi"/>
            <w:color w:val="auto"/>
            <w:kern w:val="2"/>
            <w:sz w:val="24"/>
            <w:szCs w:val="24"/>
            <w14:ligatures w14:val="standardContextual"/>
          </w:rPr>
          <w:tab/>
        </w:r>
        <w:r w:rsidRPr="00594ED3">
          <w:rPr>
            <w:rStyle w:val="Lienhypertexte"/>
          </w:rPr>
          <w:t>What is the timeline for compliance with the EAA?</w:t>
        </w:r>
        <w:r>
          <w:rPr>
            <w:webHidden/>
          </w:rPr>
          <w:tab/>
        </w:r>
        <w:r>
          <w:rPr>
            <w:webHidden/>
          </w:rPr>
          <w:fldChar w:fldCharType="begin"/>
        </w:r>
        <w:r>
          <w:rPr>
            <w:webHidden/>
          </w:rPr>
          <w:instrText xml:space="preserve"> PAGEREF _Toc230076998 \h </w:instrText>
        </w:r>
        <w:r>
          <w:rPr>
            <w:webHidden/>
          </w:rPr>
        </w:r>
        <w:r>
          <w:rPr>
            <w:webHidden/>
          </w:rPr>
          <w:fldChar w:fldCharType="separate"/>
        </w:r>
        <w:r w:rsidR="00BC6937">
          <w:rPr>
            <w:webHidden/>
          </w:rPr>
          <w:t>14</w:t>
        </w:r>
        <w:r>
          <w:rPr>
            <w:webHidden/>
          </w:rPr>
          <w:fldChar w:fldCharType="end"/>
        </w:r>
      </w:hyperlink>
    </w:p>
    <w:p w14:paraId="38B748C2" w14:textId="6FACA05F" w:rsidR="008D7E35" w:rsidRDefault="008D7E35">
      <w:pPr>
        <w:pStyle w:val="TM3"/>
        <w:rPr>
          <w:rFonts w:cstheme="minorBidi"/>
          <w:color w:val="auto"/>
          <w:kern w:val="2"/>
          <w:sz w:val="24"/>
          <w:szCs w:val="24"/>
          <w14:ligatures w14:val="standardContextual"/>
        </w:rPr>
      </w:pPr>
      <w:hyperlink w:anchor="_Toc230076999" w:history="1">
        <w:r w:rsidRPr="00594ED3">
          <w:rPr>
            <w:rStyle w:val="Lienhypertexte"/>
          </w:rPr>
          <w:t>1.1.5</w:t>
        </w:r>
        <w:r>
          <w:rPr>
            <w:rFonts w:cstheme="minorBidi"/>
            <w:color w:val="auto"/>
            <w:kern w:val="2"/>
            <w:sz w:val="24"/>
            <w:szCs w:val="24"/>
            <w14:ligatures w14:val="standardContextual"/>
          </w:rPr>
          <w:tab/>
        </w:r>
        <w:r w:rsidR="009329EC">
          <w:rPr>
            <w:rStyle w:val="Lienhypertexte"/>
          </w:rPr>
          <w:t>Sanctions</w:t>
        </w:r>
        <w:r>
          <w:rPr>
            <w:webHidden/>
          </w:rPr>
          <w:tab/>
        </w:r>
        <w:r>
          <w:rPr>
            <w:webHidden/>
          </w:rPr>
          <w:fldChar w:fldCharType="begin"/>
        </w:r>
        <w:r>
          <w:rPr>
            <w:webHidden/>
          </w:rPr>
          <w:instrText xml:space="preserve"> PAGEREF _Toc230076999 \h </w:instrText>
        </w:r>
        <w:r>
          <w:rPr>
            <w:webHidden/>
          </w:rPr>
        </w:r>
        <w:r>
          <w:rPr>
            <w:webHidden/>
          </w:rPr>
          <w:fldChar w:fldCharType="separate"/>
        </w:r>
        <w:r w:rsidR="00BC6937">
          <w:rPr>
            <w:webHidden/>
          </w:rPr>
          <w:t>16</w:t>
        </w:r>
        <w:r>
          <w:rPr>
            <w:webHidden/>
          </w:rPr>
          <w:fldChar w:fldCharType="end"/>
        </w:r>
      </w:hyperlink>
    </w:p>
    <w:p w14:paraId="6A6F0447" w14:textId="14AFE9C9" w:rsidR="008D7E35" w:rsidRDefault="008D7E35">
      <w:pPr>
        <w:pStyle w:val="TM2"/>
        <w:rPr>
          <w:rFonts w:cstheme="minorBidi"/>
          <w:color w:val="auto"/>
          <w:kern w:val="2"/>
          <w:sz w:val="24"/>
          <w:szCs w:val="24"/>
          <w14:ligatures w14:val="standardContextual"/>
        </w:rPr>
      </w:pPr>
      <w:hyperlink w:anchor="_Toc230077000" w:history="1">
        <w:r w:rsidRPr="00594ED3">
          <w:rPr>
            <w:rStyle w:val="Lienhypertexte"/>
          </w:rPr>
          <w:t>1.2</w:t>
        </w:r>
        <w:r>
          <w:rPr>
            <w:rFonts w:cstheme="minorBidi"/>
            <w:color w:val="auto"/>
            <w:kern w:val="2"/>
            <w:sz w:val="24"/>
            <w:szCs w:val="24"/>
            <w14:ligatures w14:val="standardContextual"/>
          </w:rPr>
          <w:tab/>
        </w:r>
        <w:r w:rsidRPr="00594ED3">
          <w:rPr>
            <w:rStyle w:val="Lienhypertexte"/>
          </w:rPr>
          <w:t>A strategic and economic challenge</w:t>
        </w:r>
        <w:r>
          <w:rPr>
            <w:webHidden/>
          </w:rPr>
          <w:tab/>
        </w:r>
        <w:r>
          <w:rPr>
            <w:webHidden/>
          </w:rPr>
          <w:fldChar w:fldCharType="begin"/>
        </w:r>
        <w:r>
          <w:rPr>
            <w:webHidden/>
          </w:rPr>
          <w:instrText xml:space="preserve"> PAGEREF _Toc230077000 \h </w:instrText>
        </w:r>
        <w:r>
          <w:rPr>
            <w:webHidden/>
          </w:rPr>
        </w:r>
        <w:r>
          <w:rPr>
            <w:webHidden/>
          </w:rPr>
          <w:fldChar w:fldCharType="separate"/>
        </w:r>
        <w:r w:rsidR="00BC6937">
          <w:rPr>
            <w:webHidden/>
          </w:rPr>
          <w:t>18</w:t>
        </w:r>
        <w:r>
          <w:rPr>
            <w:webHidden/>
          </w:rPr>
          <w:fldChar w:fldCharType="end"/>
        </w:r>
      </w:hyperlink>
    </w:p>
    <w:p w14:paraId="400414C6" w14:textId="1E6678F4" w:rsidR="008D7E35" w:rsidRDefault="008D7E35">
      <w:pPr>
        <w:pStyle w:val="TM2"/>
        <w:rPr>
          <w:rFonts w:cstheme="minorBidi"/>
          <w:color w:val="auto"/>
          <w:kern w:val="2"/>
          <w:sz w:val="24"/>
          <w:szCs w:val="24"/>
          <w14:ligatures w14:val="standardContextual"/>
        </w:rPr>
      </w:pPr>
      <w:hyperlink w:anchor="_Toc230077001" w:history="1">
        <w:r w:rsidRPr="00594ED3">
          <w:rPr>
            <w:rStyle w:val="Lienhypertexte"/>
          </w:rPr>
          <w:t>1.3</w:t>
        </w:r>
        <w:r>
          <w:rPr>
            <w:rFonts w:cstheme="minorBidi"/>
            <w:color w:val="auto"/>
            <w:kern w:val="2"/>
            <w:sz w:val="24"/>
            <w:szCs w:val="24"/>
            <w14:ligatures w14:val="standardContextual"/>
          </w:rPr>
          <w:tab/>
        </w:r>
        <w:r w:rsidRPr="00594ED3">
          <w:rPr>
            <w:rStyle w:val="Lienhypertexte"/>
          </w:rPr>
          <w:t>Current situation in large organisations</w:t>
        </w:r>
        <w:r>
          <w:rPr>
            <w:webHidden/>
          </w:rPr>
          <w:tab/>
        </w:r>
        <w:r>
          <w:rPr>
            <w:webHidden/>
          </w:rPr>
          <w:fldChar w:fldCharType="begin"/>
        </w:r>
        <w:r>
          <w:rPr>
            <w:webHidden/>
          </w:rPr>
          <w:instrText xml:space="preserve"> PAGEREF _Toc230077001 \h </w:instrText>
        </w:r>
        <w:r>
          <w:rPr>
            <w:webHidden/>
          </w:rPr>
        </w:r>
        <w:r>
          <w:rPr>
            <w:webHidden/>
          </w:rPr>
          <w:fldChar w:fldCharType="separate"/>
        </w:r>
        <w:r w:rsidR="00BC6937">
          <w:rPr>
            <w:webHidden/>
          </w:rPr>
          <w:t>18</w:t>
        </w:r>
        <w:r>
          <w:rPr>
            <w:webHidden/>
          </w:rPr>
          <w:fldChar w:fldCharType="end"/>
        </w:r>
      </w:hyperlink>
    </w:p>
    <w:p w14:paraId="779DC8DE" w14:textId="2E6BF29A" w:rsidR="008D7E35" w:rsidRDefault="008D7E35">
      <w:pPr>
        <w:pStyle w:val="TM3"/>
        <w:rPr>
          <w:rFonts w:cstheme="minorBidi"/>
          <w:color w:val="auto"/>
          <w:kern w:val="2"/>
          <w:sz w:val="24"/>
          <w:szCs w:val="24"/>
          <w14:ligatures w14:val="standardContextual"/>
        </w:rPr>
      </w:pPr>
      <w:hyperlink w:anchor="_Toc230077002" w:history="1">
        <w:r w:rsidRPr="00594ED3">
          <w:rPr>
            <w:rStyle w:val="Lienhypertexte"/>
          </w:rPr>
          <w:t>1.3.1</w:t>
        </w:r>
        <w:r>
          <w:rPr>
            <w:rFonts w:cstheme="minorBidi"/>
            <w:color w:val="auto"/>
            <w:kern w:val="2"/>
            <w:sz w:val="24"/>
            <w:szCs w:val="24"/>
            <w14:ligatures w14:val="standardContextual"/>
          </w:rPr>
          <w:tab/>
        </w:r>
        <w:r w:rsidRPr="00594ED3">
          <w:rPr>
            <w:rStyle w:val="Lienhypertexte"/>
          </w:rPr>
          <w:t>Governance and business transformation</w:t>
        </w:r>
        <w:r>
          <w:rPr>
            <w:webHidden/>
          </w:rPr>
          <w:tab/>
        </w:r>
        <w:r>
          <w:rPr>
            <w:webHidden/>
          </w:rPr>
          <w:fldChar w:fldCharType="begin"/>
        </w:r>
        <w:r>
          <w:rPr>
            <w:webHidden/>
          </w:rPr>
          <w:instrText xml:space="preserve"> PAGEREF _Toc230077002 \h </w:instrText>
        </w:r>
        <w:r>
          <w:rPr>
            <w:webHidden/>
          </w:rPr>
        </w:r>
        <w:r>
          <w:rPr>
            <w:webHidden/>
          </w:rPr>
          <w:fldChar w:fldCharType="separate"/>
        </w:r>
        <w:r w:rsidR="00BC6937">
          <w:rPr>
            <w:webHidden/>
          </w:rPr>
          <w:t>19</w:t>
        </w:r>
        <w:r>
          <w:rPr>
            <w:webHidden/>
          </w:rPr>
          <w:fldChar w:fldCharType="end"/>
        </w:r>
      </w:hyperlink>
    </w:p>
    <w:p w14:paraId="7B2FDDC9" w14:textId="0D2D4498" w:rsidR="008D7E35" w:rsidRDefault="008D7E35">
      <w:pPr>
        <w:pStyle w:val="TM3"/>
        <w:rPr>
          <w:rFonts w:cstheme="minorBidi"/>
          <w:color w:val="auto"/>
          <w:kern w:val="2"/>
          <w:sz w:val="24"/>
          <w:szCs w:val="24"/>
          <w14:ligatures w14:val="standardContextual"/>
        </w:rPr>
      </w:pPr>
      <w:hyperlink w:anchor="_Toc230077003" w:history="1">
        <w:r w:rsidRPr="00594ED3">
          <w:rPr>
            <w:rStyle w:val="Lienhypertexte"/>
          </w:rPr>
          <w:t>1.3.2</w:t>
        </w:r>
        <w:r>
          <w:rPr>
            <w:rFonts w:cstheme="minorBidi"/>
            <w:color w:val="auto"/>
            <w:kern w:val="2"/>
            <w:sz w:val="24"/>
            <w:szCs w:val="24"/>
            <w14:ligatures w14:val="standardContextual"/>
          </w:rPr>
          <w:tab/>
        </w:r>
        <w:r w:rsidRPr="00594ED3">
          <w:rPr>
            <w:rStyle w:val="Lienhypertexte"/>
          </w:rPr>
          <w:t>Training and onboarding of teams</w:t>
        </w:r>
        <w:r>
          <w:rPr>
            <w:webHidden/>
          </w:rPr>
          <w:tab/>
        </w:r>
        <w:r>
          <w:rPr>
            <w:webHidden/>
          </w:rPr>
          <w:fldChar w:fldCharType="begin"/>
        </w:r>
        <w:r>
          <w:rPr>
            <w:webHidden/>
          </w:rPr>
          <w:instrText xml:space="preserve"> PAGEREF _Toc230077003 \h </w:instrText>
        </w:r>
        <w:r>
          <w:rPr>
            <w:webHidden/>
          </w:rPr>
        </w:r>
        <w:r>
          <w:rPr>
            <w:webHidden/>
          </w:rPr>
          <w:fldChar w:fldCharType="separate"/>
        </w:r>
        <w:r w:rsidR="00BC6937">
          <w:rPr>
            <w:webHidden/>
          </w:rPr>
          <w:t>19</w:t>
        </w:r>
        <w:r>
          <w:rPr>
            <w:webHidden/>
          </w:rPr>
          <w:fldChar w:fldCharType="end"/>
        </w:r>
      </w:hyperlink>
    </w:p>
    <w:p w14:paraId="765C7302" w14:textId="76176B66" w:rsidR="008D7E35" w:rsidRDefault="008D7E35">
      <w:pPr>
        <w:pStyle w:val="TM3"/>
        <w:rPr>
          <w:rFonts w:cstheme="minorBidi"/>
          <w:color w:val="auto"/>
          <w:kern w:val="2"/>
          <w:sz w:val="24"/>
          <w:szCs w:val="24"/>
          <w14:ligatures w14:val="standardContextual"/>
        </w:rPr>
      </w:pPr>
      <w:hyperlink w:anchor="_Toc230077004" w:history="1">
        <w:r w:rsidRPr="00594ED3">
          <w:rPr>
            <w:rStyle w:val="Lienhypertexte"/>
          </w:rPr>
          <w:t>1.3.3</w:t>
        </w:r>
        <w:r>
          <w:rPr>
            <w:rFonts w:cstheme="minorBidi"/>
            <w:color w:val="auto"/>
            <w:kern w:val="2"/>
            <w:sz w:val="24"/>
            <w:szCs w:val="24"/>
            <w14:ligatures w14:val="standardContextual"/>
          </w:rPr>
          <w:tab/>
        </w:r>
        <w:r w:rsidRPr="00594ED3">
          <w:rPr>
            <w:rStyle w:val="Lienhypertexte"/>
          </w:rPr>
          <w:t>Management and tools</w:t>
        </w:r>
        <w:r>
          <w:rPr>
            <w:webHidden/>
          </w:rPr>
          <w:tab/>
        </w:r>
        <w:r>
          <w:rPr>
            <w:webHidden/>
          </w:rPr>
          <w:fldChar w:fldCharType="begin"/>
        </w:r>
        <w:r>
          <w:rPr>
            <w:webHidden/>
          </w:rPr>
          <w:instrText xml:space="preserve"> PAGEREF _Toc230077004 \h </w:instrText>
        </w:r>
        <w:r>
          <w:rPr>
            <w:webHidden/>
          </w:rPr>
        </w:r>
        <w:r>
          <w:rPr>
            <w:webHidden/>
          </w:rPr>
          <w:fldChar w:fldCharType="separate"/>
        </w:r>
        <w:r w:rsidR="00BC6937">
          <w:rPr>
            <w:webHidden/>
          </w:rPr>
          <w:t>20</w:t>
        </w:r>
        <w:r>
          <w:rPr>
            <w:webHidden/>
          </w:rPr>
          <w:fldChar w:fldCharType="end"/>
        </w:r>
      </w:hyperlink>
    </w:p>
    <w:p w14:paraId="53B511D4" w14:textId="5CB63483" w:rsidR="008D7E35" w:rsidRDefault="008D7E35">
      <w:pPr>
        <w:pStyle w:val="TM2"/>
        <w:rPr>
          <w:rFonts w:cstheme="minorBidi"/>
          <w:color w:val="auto"/>
          <w:kern w:val="2"/>
          <w:sz w:val="24"/>
          <w:szCs w:val="24"/>
          <w14:ligatures w14:val="standardContextual"/>
        </w:rPr>
      </w:pPr>
      <w:hyperlink w:anchor="_Toc230077005" w:history="1">
        <w:r w:rsidRPr="00594ED3">
          <w:rPr>
            <w:rStyle w:val="Lienhypertexte"/>
          </w:rPr>
          <w:t>Key points</w:t>
        </w:r>
        <w:r>
          <w:rPr>
            <w:webHidden/>
          </w:rPr>
          <w:tab/>
        </w:r>
        <w:r>
          <w:rPr>
            <w:webHidden/>
          </w:rPr>
          <w:fldChar w:fldCharType="begin"/>
        </w:r>
        <w:r>
          <w:rPr>
            <w:webHidden/>
          </w:rPr>
          <w:instrText xml:space="preserve"> PAGEREF _Toc230077005 \h </w:instrText>
        </w:r>
        <w:r>
          <w:rPr>
            <w:webHidden/>
          </w:rPr>
        </w:r>
        <w:r>
          <w:rPr>
            <w:webHidden/>
          </w:rPr>
          <w:fldChar w:fldCharType="separate"/>
        </w:r>
        <w:r w:rsidR="00BC6937">
          <w:rPr>
            <w:webHidden/>
          </w:rPr>
          <w:t>23</w:t>
        </w:r>
        <w:r>
          <w:rPr>
            <w:webHidden/>
          </w:rPr>
          <w:fldChar w:fldCharType="end"/>
        </w:r>
      </w:hyperlink>
    </w:p>
    <w:p w14:paraId="6479E6D4" w14:textId="34927965" w:rsidR="008D7E35" w:rsidRDefault="008D7E35">
      <w:pPr>
        <w:pStyle w:val="TM1"/>
        <w:rPr>
          <w:rFonts w:eastAsiaTheme="minorEastAsia"/>
          <w:b w:val="0"/>
          <w:caps w:val="0"/>
          <w:color w:val="auto"/>
          <w:kern w:val="2"/>
          <w:sz w:val="24"/>
          <w:szCs w:val="24"/>
          <w:lang w:val="fr-FR" w:eastAsia="fr-FR"/>
          <w14:ligatures w14:val="standardContextual"/>
        </w:rPr>
      </w:pPr>
      <w:hyperlink w:anchor="_Toc230077006" w:history="1">
        <w:r w:rsidRPr="00594ED3">
          <w:rPr>
            <w:rStyle w:val="Lienhypertexte"/>
          </w:rPr>
          <w:t>2</w:t>
        </w:r>
        <w:r>
          <w:rPr>
            <w:rFonts w:eastAsiaTheme="minorEastAsia"/>
            <w:b w:val="0"/>
            <w:caps w:val="0"/>
            <w:color w:val="auto"/>
            <w:kern w:val="2"/>
            <w:sz w:val="24"/>
            <w:szCs w:val="24"/>
            <w:lang w:val="fr-FR" w:eastAsia="fr-FR"/>
            <w14:ligatures w14:val="standardContextual"/>
          </w:rPr>
          <w:tab/>
        </w:r>
        <w:r w:rsidRPr="00594ED3">
          <w:rPr>
            <w:rStyle w:val="Lienhypertexte"/>
          </w:rPr>
          <w:t>Structuring the governance approach</w:t>
        </w:r>
        <w:r>
          <w:rPr>
            <w:webHidden/>
          </w:rPr>
          <w:tab/>
        </w:r>
        <w:r>
          <w:rPr>
            <w:webHidden/>
          </w:rPr>
          <w:fldChar w:fldCharType="begin"/>
        </w:r>
        <w:r>
          <w:rPr>
            <w:webHidden/>
          </w:rPr>
          <w:instrText xml:space="preserve"> PAGEREF _Toc230077006 \h </w:instrText>
        </w:r>
        <w:r>
          <w:rPr>
            <w:webHidden/>
          </w:rPr>
        </w:r>
        <w:r>
          <w:rPr>
            <w:webHidden/>
          </w:rPr>
          <w:fldChar w:fldCharType="separate"/>
        </w:r>
        <w:r w:rsidR="00BC6937">
          <w:rPr>
            <w:webHidden/>
          </w:rPr>
          <w:t>24</w:t>
        </w:r>
        <w:r>
          <w:rPr>
            <w:webHidden/>
          </w:rPr>
          <w:fldChar w:fldCharType="end"/>
        </w:r>
      </w:hyperlink>
    </w:p>
    <w:p w14:paraId="339933AD" w14:textId="420693EB" w:rsidR="008D7E35" w:rsidRDefault="008D7E35">
      <w:pPr>
        <w:pStyle w:val="TM2"/>
        <w:rPr>
          <w:rFonts w:cstheme="minorBidi"/>
          <w:color w:val="auto"/>
          <w:kern w:val="2"/>
          <w:sz w:val="24"/>
          <w:szCs w:val="24"/>
          <w14:ligatures w14:val="standardContextual"/>
        </w:rPr>
      </w:pPr>
      <w:hyperlink w:anchor="_Toc230077007" w:history="1">
        <w:r w:rsidRPr="00594ED3">
          <w:rPr>
            <w:rStyle w:val="Lienhypertexte"/>
          </w:rPr>
          <w:t>2.1</w:t>
        </w:r>
        <w:r>
          <w:rPr>
            <w:rFonts w:cstheme="minorBidi"/>
            <w:color w:val="auto"/>
            <w:kern w:val="2"/>
            <w:sz w:val="24"/>
            <w:szCs w:val="24"/>
            <w14:ligatures w14:val="standardContextual"/>
          </w:rPr>
          <w:tab/>
        </w:r>
        <w:r w:rsidRPr="00594ED3">
          <w:rPr>
            <w:rStyle w:val="Lienhypertexte"/>
          </w:rPr>
          <w:t>Defining your vision and assigning responsibilities</w:t>
        </w:r>
        <w:r>
          <w:rPr>
            <w:webHidden/>
          </w:rPr>
          <w:tab/>
        </w:r>
        <w:r>
          <w:rPr>
            <w:webHidden/>
          </w:rPr>
          <w:fldChar w:fldCharType="begin"/>
        </w:r>
        <w:r>
          <w:rPr>
            <w:webHidden/>
          </w:rPr>
          <w:instrText xml:space="preserve"> PAGEREF _Toc230077007 \h </w:instrText>
        </w:r>
        <w:r>
          <w:rPr>
            <w:webHidden/>
          </w:rPr>
        </w:r>
        <w:r>
          <w:rPr>
            <w:webHidden/>
          </w:rPr>
          <w:fldChar w:fldCharType="separate"/>
        </w:r>
        <w:r w:rsidR="00BC6937">
          <w:rPr>
            <w:webHidden/>
          </w:rPr>
          <w:t>24</w:t>
        </w:r>
        <w:r>
          <w:rPr>
            <w:webHidden/>
          </w:rPr>
          <w:fldChar w:fldCharType="end"/>
        </w:r>
      </w:hyperlink>
    </w:p>
    <w:p w14:paraId="17603377" w14:textId="442E8F50" w:rsidR="008D7E35" w:rsidRDefault="008D7E35">
      <w:pPr>
        <w:pStyle w:val="TM3"/>
        <w:rPr>
          <w:rFonts w:cstheme="minorBidi"/>
          <w:color w:val="auto"/>
          <w:kern w:val="2"/>
          <w:sz w:val="24"/>
          <w:szCs w:val="24"/>
          <w14:ligatures w14:val="standardContextual"/>
        </w:rPr>
      </w:pPr>
      <w:hyperlink w:anchor="_Toc230077008" w:history="1">
        <w:r w:rsidRPr="00594ED3">
          <w:rPr>
            <w:rStyle w:val="Lienhypertexte"/>
          </w:rPr>
          <w:t>2.1.1</w:t>
        </w:r>
        <w:r>
          <w:rPr>
            <w:rFonts w:cstheme="minorBidi"/>
            <w:color w:val="auto"/>
            <w:kern w:val="2"/>
            <w:sz w:val="24"/>
            <w:szCs w:val="24"/>
            <w14:ligatures w14:val="standardContextual"/>
          </w:rPr>
          <w:tab/>
        </w:r>
        <w:r w:rsidRPr="00594ED3">
          <w:rPr>
            <w:rStyle w:val="Lienhypertexte"/>
          </w:rPr>
          <w:t>Vision and ambition for the accessibility initiative</w:t>
        </w:r>
        <w:r>
          <w:rPr>
            <w:webHidden/>
          </w:rPr>
          <w:tab/>
        </w:r>
        <w:r>
          <w:rPr>
            <w:webHidden/>
          </w:rPr>
          <w:fldChar w:fldCharType="begin"/>
        </w:r>
        <w:r>
          <w:rPr>
            <w:webHidden/>
          </w:rPr>
          <w:instrText xml:space="preserve"> PAGEREF _Toc230077008 \h </w:instrText>
        </w:r>
        <w:r>
          <w:rPr>
            <w:webHidden/>
          </w:rPr>
        </w:r>
        <w:r>
          <w:rPr>
            <w:webHidden/>
          </w:rPr>
          <w:fldChar w:fldCharType="separate"/>
        </w:r>
        <w:r w:rsidR="00BC6937">
          <w:rPr>
            <w:webHidden/>
          </w:rPr>
          <w:t>24</w:t>
        </w:r>
        <w:r>
          <w:rPr>
            <w:webHidden/>
          </w:rPr>
          <w:fldChar w:fldCharType="end"/>
        </w:r>
      </w:hyperlink>
    </w:p>
    <w:p w14:paraId="60A317DF" w14:textId="71D8650E" w:rsidR="008D7E35" w:rsidRDefault="008D7E35">
      <w:pPr>
        <w:pStyle w:val="TM3"/>
        <w:rPr>
          <w:rFonts w:cstheme="minorBidi"/>
          <w:color w:val="auto"/>
          <w:kern w:val="2"/>
          <w:sz w:val="24"/>
          <w:szCs w:val="24"/>
          <w14:ligatures w14:val="standardContextual"/>
        </w:rPr>
      </w:pPr>
      <w:hyperlink w:anchor="_Toc230077009" w:history="1">
        <w:r w:rsidRPr="00594ED3">
          <w:rPr>
            <w:rStyle w:val="Lienhypertexte"/>
          </w:rPr>
          <w:t>2.1.2</w:t>
        </w:r>
        <w:r>
          <w:rPr>
            <w:rFonts w:cstheme="minorBidi"/>
            <w:color w:val="auto"/>
            <w:kern w:val="2"/>
            <w:sz w:val="24"/>
            <w:szCs w:val="24"/>
            <w14:ligatures w14:val="standardContextual"/>
          </w:rPr>
          <w:tab/>
        </w:r>
        <w:r w:rsidRPr="00594ED3">
          <w:rPr>
            <w:rStyle w:val="Lienhypertexte"/>
          </w:rPr>
          <w:t>Roles and responsibilities of the digital accessibility lead</w:t>
        </w:r>
        <w:r>
          <w:rPr>
            <w:webHidden/>
          </w:rPr>
          <w:tab/>
        </w:r>
        <w:r>
          <w:rPr>
            <w:webHidden/>
          </w:rPr>
          <w:fldChar w:fldCharType="begin"/>
        </w:r>
        <w:r>
          <w:rPr>
            <w:webHidden/>
          </w:rPr>
          <w:instrText xml:space="preserve"> PAGEREF _Toc230077009 \h </w:instrText>
        </w:r>
        <w:r>
          <w:rPr>
            <w:webHidden/>
          </w:rPr>
        </w:r>
        <w:r>
          <w:rPr>
            <w:webHidden/>
          </w:rPr>
          <w:fldChar w:fldCharType="separate"/>
        </w:r>
        <w:r w:rsidR="00BC6937">
          <w:rPr>
            <w:webHidden/>
          </w:rPr>
          <w:t>24</w:t>
        </w:r>
        <w:r>
          <w:rPr>
            <w:webHidden/>
          </w:rPr>
          <w:fldChar w:fldCharType="end"/>
        </w:r>
      </w:hyperlink>
    </w:p>
    <w:p w14:paraId="6BD7B654" w14:textId="6FC4C35C" w:rsidR="008D7E35" w:rsidRDefault="008D7E35">
      <w:pPr>
        <w:pStyle w:val="TM2"/>
        <w:rPr>
          <w:rFonts w:cstheme="minorBidi"/>
          <w:color w:val="auto"/>
          <w:kern w:val="2"/>
          <w:sz w:val="24"/>
          <w:szCs w:val="24"/>
          <w14:ligatures w14:val="standardContextual"/>
        </w:rPr>
      </w:pPr>
      <w:hyperlink w:anchor="_Toc230077010" w:history="1">
        <w:r w:rsidRPr="00594ED3">
          <w:rPr>
            <w:rStyle w:val="Lienhypertexte"/>
          </w:rPr>
          <w:t>2.2</w:t>
        </w:r>
        <w:r>
          <w:rPr>
            <w:rFonts w:cstheme="minorBidi"/>
            <w:color w:val="auto"/>
            <w:kern w:val="2"/>
            <w:sz w:val="24"/>
            <w:szCs w:val="24"/>
            <w14:ligatures w14:val="standardContextual"/>
          </w:rPr>
          <w:tab/>
        </w:r>
        <w:r w:rsidRPr="00594ED3">
          <w:rPr>
            <w:rStyle w:val="Lienhypertexte"/>
          </w:rPr>
          <w:t>Structuring the approach and establishing a dedicated governance framework</w:t>
        </w:r>
        <w:r>
          <w:rPr>
            <w:webHidden/>
          </w:rPr>
          <w:tab/>
        </w:r>
        <w:r>
          <w:rPr>
            <w:webHidden/>
          </w:rPr>
          <w:fldChar w:fldCharType="begin"/>
        </w:r>
        <w:r>
          <w:rPr>
            <w:webHidden/>
          </w:rPr>
          <w:instrText xml:space="preserve"> PAGEREF _Toc230077010 \h </w:instrText>
        </w:r>
        <w:r>
          <w:rPr>
            <w:webHidden/>
          </w:rPr>
        </w:r>
        <w:r>
          <w:rPr>
            <w:webHidden/>
          </w:rPr>
          <w:fldChar w:fldCharType="separate"/>
        </w:r>
        <w:r w:rsidR="00BC6937">
          <w:rPr>
            <w:webHidden/>
          </w:rPr>
          <w:t>28</w:t>
        </w:r>
        <w:r>
          <w:rPr>
            <w:webHidden/>
          </w:rPr>
          <w:fldChar w:fldCharType="end"/>
        </w:r>
      </w:hyperlink>
    </w:p>
    <w:p w14:paraId="4D7A9912" w14:textId="3549AF01" w:rsidR="008D7E35" w:rsidRDefault="008D7E35">
      <w:pPr>
        <w:pStyle w:val="TM3"/>
        <w:rPr>
          <w:rFonts w:cstheme="minorBidi"/>
          <w:color w:val="auto"/>
          <w:kern w:val="2"/>
          <w:sz w:val="24"/>
          <w:szCs w:val="24"/>
          <w14:ligatures w14:val="standardContextual"/>
        </w:rPr>
      </w:pPr>
      <w:hyperlink w:anchor="_Toc230077011" w:history="1">
        <w:r w:rsidRPr="00594ED3">
          <w:rPr>
            <w:rStyle w:val="Lienhypertexte"/>
          </w:rPr>
          <w:t>2.2.1</w:t>
        </w:r>
        <w:r>
          <w:rPr>
            <w:rFonts w:cstheme="minorBidi"/>
            <w:color w:val="auto"/>
            <w:kern w:val="2"/>
            <w:sz w:val="24"/>
            <w:szCs w:val="24"/>
            <w14:ligatures w14:val="standardContextual"/>
          </w:rPr>
          <w:tab/>
        </w:r>
        <w:r w:rsidRPr="00594ED3">
          <w:rPr>
            <w:rStyle w:val="Lienhypertexte"/>
          </w:rPr>
          <w:t>Organisational embedding</w:t>
        </w:r>
        <w:r>
          <w:rPr>
            <w:webHidden/>
          </w:rPr>
          <w:tab/>
        </w:r>
        <w:r>
          <w:rPr>
            <w:webHidden/>
          </w:rPr>
          <w:fldChar w:fldCharType="begin"/>
        </w:r>
        <w:r>
          <w:rPr>
            <w:webHidden/>
          </w:rPr>
          <w:instrText xml:space="preserve"> PAGEREF _Toc230077011 \h </w:instrText>
        </w:r>
        <w:r>
          <w:rPr>
            <w:webHidden/>
          </w:rPr>
        </w:r>
        <w:r>
          <w:rPr>
            <w:webHidden/>
          </w:rPr>
          <w:fldChar w:fldCharType="separate"/>
        </w:r>
        <w:r w:rsidR="00BC6937">
          <w:rPr>
            <w:webHidden/>
          </w:rPr>
          <w:t>28</w:t>
        </w:r>
        <w:r>
          <w:rPr>
            <w:webHidden/>
          </w:rPr>
          <w:fldChar w:fldCharType="end"/>
        </w:r>
      </w:hyperlink>
    </w:p>
    <w:p w14:paraId="734F1862" w14:textId="1299A27F" w:rsidR="008D7E35" w:rsidRDefault="008D7E35">
      <w:pPr>
        <w:pStyle w:val="TM3"/>
        <w:rPr>
          <w:rFonts w:cstheme="minorBidi"/>
          <w:color w:val="auto"/>
          <w:kern w:val="2"/>
          <w:sz w:val="24"/>
          <w:szCs w:val="24"/>
          <w14:ligatures w14:val="standardContextual"/>
        </w:rPr>
      </w:pPr>
      <w:hyperlink w:anchor="_Toc230077012" w:history="1">
        <w:r w:rsidRPr="00594ED3">
          <w:rPr>
            <w:rStyle w:val="Lienhypertexte"/>
          </w:rPr>
          <w:t>2.2.2</w:t>
        </w:r>
        <w:r>
          <w:rPr>
            <w:rFonts w:cstheme="minorBidi"/>
            <w:color w:val="auto"/>
            <w:kern w:val="2"/>
            <w:sz w:val="24"/>
            <w:szCs w:val="24"/>
            <w14:ligatures w14:val="standardContextual"/>
          </w:rPr>
          <w:tab/>
        </w:r>
        <w:r w:rsidRPr="00594ED3">
          <w:rPr>
            <w:rStyle w:val="Lienhypertexte"/>
          </w:rPr>
          <w:t>Understanding the digital scope and policy</w:t>
        </w:r>
        <w:r>
          <w:rPr>
            <w:webHidden/>
          </w:rPr>
          <w:tab/>
        </w:r>
        <w:r>
          <w:rPr>
            <w:webHidden/>
          </w:rPr>
          <w:fldChar w:fldCharType="begin"/>
        </w:r>
        <w:r>
          <w:rPr>
            <w:webHidden/>
          </w:rPr>
          <w:instrText xml:space="preserve"> PAGEREF _Toc230077012 \h </w:instrText>
        </w:r>
        <w:r>
          <w:rPr>
            <w:webHidden/>
          </w:rPr>
        </w:r>
        <w:r>
          <w:rPr>
            <w:webHidden/>
          </w:rPr>
          <w:fldChar w:fldCharType="separate"/>
        </w:r>
        <w:r w:rsidR="00BC6937">
          <w:rPr>
            <w:webHidden/>
          </w:rPr>
          <w:t>29</w:t>
        </w:r>
        <w:r>
          <w:rPr>
            <w:webHidden/>
          </w:rPr>
          <w:fldChar w:fldCharType="end"/>
        </w:r>
      </w:hyperlink>
    </w:p>
    <w:p w14:paraId="3C67676E" w14:textId="574EE721" w:rsidR="008D7E35" w:rsidRDefault="008D7E35">
      <w:pPr>
        <w:pStyle w:val="TM3"/>
        <w:rPr>
          <w:rFonts w:cstheme="minorBidi"/>
          <w:color w:val="auto"/>
          <w:kern w:val="2"/>
          <w:sz w:val="24"/>
          <w:szCs w:val="24"/>
          <w14:ligatures w14:val="standardContextual"/>
        </w:rPr>
      </w:pPr>
      <w:hyperlink w:anchor="_Toc230077013" w:history="1">
        <w:r w:rsidRPr="00594ED3">
          <w:rPr>
            <w:rStyle w:val="Lienhypertexte"/>
          </w:rPr>
          <w:t>2.2.3</w:t>
        </w:r>
        <w:r>
          <w:rPr>
            <w:rFonts w:cstheme="minorBidi"/>
            <w:color w:val="auto"/>
            <w:kern w:val="2"/>
            <w:sz w:val="24"/>
            <w:szCs w:val="24"/>
            <w14:ligatures w14:val="standardContextual"/>
          </w:rPr>
          <w:tab/>
        </w:r>
        <w:r w:rsidRPr="00594ED3">
          <w:rPr>
            <w:rStyle w:val="Lienhypertexte"/>
          </w:rPr>
          <w:t>Short- and medium-term operational preparation</w:t>
        </w:r>
        <w:r>
          <w:rPr>
            <w:webHidden/>
          </w:rPr>
          <w:tab/>
        </w:r>
        <w:r>
          <w:rPr>
            <w:webHidden/>
          </w:rPr>
          <w:fldChar w:fldCharType="begin"/>
        </w:r>
        <w:r>
          <w:rPr>
            <w:webHidden/>
          </w:rPr>
          <w:instrText xml:space="preserve"> PAGEREF _Toc230077013 \h </w:instrText>
        </w:r>
        <w:r>
          <w:rPr>
            <w:webHidden/>
          </w:rPr>
        </w:r>
        <w:r>
          <w:rPr>
            <w:webHidden/>
          </w:rPr>
          <w:fldChar w:fldCharType="separate"/>
        </w:r>
        <w:r w:rsidR="00BC6937">
          <w:rPr>
            <w:webHidden/>
          </w:rPr>
          <w:t>29</w:t>
        </w:r>
        <w:r>
          <w:rPr>
            <w:webHidden/>
          </w:rPr>
          <w:fldChar w:fldCharType="end"/>
        </w:r>
      </w:hyperlink>
    </w:p>
    <w:p w14:paraId="65F7BC4D" w14:textId="7CD62A96" w:rsidR="008D7E35" w:rsidRDefault="008D7E35">
      <w:pPr>
        <w:pStyle w:val="TM3"/>
        <w:rPr>
          <w:rFonts w:cstheme="minorBidi"/>
          <w:color w:val="auto"/>
          <w:kern w:val="2"/>
          <w:sz w:val="24"/>
          <w:szCs w:val="24"/>
          <w14:ligatures w14:val="standardContextual"/>
        </w:rPr>
      </w:pPr>
      <w:hyperlink w:anchor="_Toc230077014" w:history="1">
        <w:r w:rsidRPr="00594ED3">
          <w:rPr>
            <w:rStyle w:val="Lienhypertexte"/>
          </w:rPr>
          <w:t>2.2.4</w:t>
        </w:r>
        <w:r>
          <w:rPr>
            <w:rFonts w:cstheme="minorBidi"/>
            <w:color w:val="auto"/>
            <w:kern w:val="2"/>
            <w:sz w:val="24"/>
            <w:szCs w:val="24"/>
            <w14:ligatures w14:val="standardContextual"/>
          </w:rPr>
          <w:tab/>
        </w:r>
        <w:r w:rsidRPr="00594ED3">
          <w:rPr>
            <w:rStyle w:val="Lienhypertexte"/>
          </w:rPr>
          <w:t>Appropriate committee procedures and communication</w:t>
        </w:r>
        <w:r>
          <w:rPr>
            <w:webHidden/>
          </w:rPr>
          <w:tab/>
        </w:r>
        <w:r>
          <w:rPr>
            <w:webHidden/>
          </w:rPr>
          <w:fldChar w:fldCharType="begin"/>
        </w:r>
        <w:r>
          <w:rPr>
            <w:webHidden/>
          </w:rPr>
          <w:instrText xml:space="preserve"> PAGEREF _Toc230077014 \h </w:instrText>
        </w:r>
        <w:r>
          <w:rPr>
            <w:webHidden/>
          </w:rPr>
        </w:r>
        <w:r>
          <w:rPr>
            <w:webHidden/>
          </w:rPr>
          <w:fldChar w:fldCharType="separate"/>
        </w:r>
        <w:r w:rsidR="00BC6937">
          <w:rPr>
            <w:webHidden/>
          </w:rPr>
          <w:t>29</w:t>
        </w:r>
        <w:r>
          <w:rPr>
            <w:webHidden/>
          </w:rPr>
          <w:fldChar w:fldCharType="end"/>
        </w:r>
      </w:hyperlink>
    </w:p>
    <w:p w14:paraId="6BFFD1E7" w14:textId="4A9B54BF" w:rsidR="008D7E35" w:rsidRDefault="008D7E35">
      <w:pPr>
        <w:pStyle w:val="TM2"/>
        <w:rPr>
          <w:rFonts w:cstheme="minorBidi"/>
          <w:color w:val="auto"/>
          <w:kern w:val="2"/>
          <w:sz w:val="24"/>
          <w:szCs w:val="24"/>
          <w14:ligatures w14:val="standardContextual"/>
        </w:rPr>
      </w:pPr>
      <w:hyperlink w:anchor="_Toc230077015" w:history="1">
        <w:r w:rsidRPr="00594ED3">
          <w:rPr>
            <w:rStyle w:val="Lienhypertexte"/>
          </w:rPr>
          <w:t>2.3</w:t>
        </w:r>
        <w:r>
          <w:rPr>
            <w:rFonts w:cstheme="minorBidi"/>
            <w:color w:val="auto"/>
            <w:kern w:val="2"/>
            <w:sz w:val="24"/>
            <w:szCs w:val="24"/>
            <w14:ligatures w14:val="standardContextual"/>
          </w:rPr>
          <w:tab/>
        </w:r>
        <w:r w:rsidR="00DC3602">
          <w:rPr>
            <w:rStyle w:val="Lienhypertexte"/>
          </w:rPr>
          <w:t xml:space="preserve">Relationships </w:t>
        </w:r>
        <w:r w:rsidRPr="00594ED3">
          <w:rPr>
            <w:rStyle w:val="Lienhypertexte"/>
          </w:rPr>
          <w:t>with the organisational ecosystem</w:t>
        </w:r>
        <w:r>
          <w:rPr>
            <w:webHidden/>
          </w:rPr>
          <w:tab/>
        </w:r>
        <w:r>
          <w:rPr>
            <w:webHidden/>
          </w:rPr>
          <w:fldChar w:fldCharType="begin"/>
        </w:r>
        <w:r>
          <w:rPr>
            <w:webHidden/>
          </w:rPr>
          <w:instrText xml:space="preserve"> PAGEREF _Toc230077015 \h </w:instrText>
        </w:r>
        <w:r>
          <w:rPr>
            <w:webHidden/>
          </w:rPr>
        </w:r>
        <w:r>
          <w:rPr>
            <w:webHidden/>
          </w:rPr>
          <w:fldChar w:fldCharType="separate"/>
        </w:r>
        <w:r w:rsidR="00BC6937">
          <w:rPr>
            <w:webHidden/>
          </w:rPr>
          <w:t>35</w:t>
        </w:r>
        <w:r>
          <w:rPr>
            <w:webHidden/>
          </w:rPr>
          <w:fldChar w:fldCharType="end"/>
        </w:r>
      </w:hyperlink>
    </w:p>
    <w:p w14:paraId="50247564" w14:textId="38054C50" w:rsidR="008D7E35" w:rsidRDefault="008D7E35">
      <w:pPr>
        <w:pStyle w:val="TM3"/>
        <w:rPr>
          <w:rFonts w:cstheme="minorBidi"/>
          <w:color w:val="auto"/>
          <w:kern w:val="2"/>
          <w:sz w:val="24"/>
          <w:szCs w:val="24"/>
          <w14:ligatures w14:val="standardContextual"/>
        </w:rPr>
      </w:pPr>
      <w:hyperlink w:anchor="_Toc230077016" w:history="1">
        <w:r w:rsidRPr="00594ED3">
          <w:rPr>
            <w:rStyle w:val="Lienhypertexte"/>
          </w:rPr>
          <w:t>2.3.1</w:t>
        </w:r>
        <w:r>
          <w:rPr>
            <w:rFonts w:cstheme="minorBidi"/>
            <w:color w:val="auto"/>
            <w:kern w:val="2"/>
            <w:sz w:val="24"/>
            <w:szCs w:val="24"/>
            <w14:ligatures w14:val="standardContextual"/>
          </w:rPr>
          <w:tab/>
        </w:r>
        <w:r w:rsidRPr="00594ED3">
          <w:rPr>
            <w:rStyle w:val="Lienhypertexte"/>
          </w:rPr>
          <w:t>Fostering cross-functional dialogue between stakeholders</w:t>
        </w:r>
        <w:r>
          <w:rPr>
            <w:webHidden/>
          </w:rPr>
          <w:tab/>
        </w:r>
        <w:r>
          <w:rPr>
            <w:webHidden/>
          </w:rPr>
          <w:fldChar w:fldCharType="begin"/>
        </w:r>
        <w:r>
          <w:rPr>
            <w:webHidden/>
          </w:rPr>
          <w:instrText xml:space="preserve"> PAGEREF _Toc230077016 \h </w:instrText>
        </w:r>
        <w:r>
          <w:rPr>
            <w:webHidden/>
          </w:rPr>
        </w:r>
        <w:r>
          <w:rPr>
            <w:webHidden/>
          </w:rPr>
          <w:fldChar w:fldCharType="separate"/>
        </w:r>
        <w:r w:rsidR="00BC6937">
          <w:rPr>
            <w:webHidden/>
          </w:rPr>
          <w:t>35</w:t>
        </w:r>
        <w:r>
          <w:rPr>
            <w:webHidden/>
          </w:rPr>
          <w:fldChar w:fldCharType="end"/>
        </w:r>
      </w:hyperlink>
    </w:p>
    <w:p w14:paraId="21B85B84" w14:textId="68E21EB3" w:rsidR="008D7E35" w:rsidRDefault="008D7E35">
      <w:pPr>
        <w:pStyle w:val="TM3"/>
        <w:rPr>
          <w:rFonts w:cstheme="minorBidi"/>
          <w:color w:val="auto"/>
          <w:kern w:val="2"/>
          <w:sz w:val="24"/>
          <w:szCs w:val="24"/>
          <w14:ligatures w14:val="standardContextual"/>
        </w:rPr>
      </w:pPr>
      <w:hyperlink w:anchor="_Toc230077017" w:history="1">
        <w:r w:rsidRPr="00594ED3">
          <w:rPr>
            <w:rStyle w:val="Lienhypertexte"/>
          </w:rPr>
          <w:t>2.3.2</w:t>
        </w:r>
        <w:r>
          <w:rPr>
            <w:rFonts w:cstheme="minorBidi"/>
            <w:color w:val="auto"/>
            <w:kern w:val="2"/>
            <w:sz w:val="24"/>
            <w:szCs w:val="24"/>
            <w14:ligatures w14:val="standardContextual"/>
          </w:rPr>
          <w:tab/>
        </w:r>
        <w:r w:rsidRPr="00594ED3">
          <w:rPr>
            <w:rStyle w:val="Lienhypertexte"/>
          </w:rPr>
          <w:t>Involving procurement, service providers and software vendors</w:t>
        </w:r>
        <w:r>
          <w:rPr>
            <w:webHidden/>
          </w:rPr>
          <w:tab/>
        </w:r>
        <w:r>
          <w:rPr>
            <w:webHidden/>
          </w:rPr>
          <w:fldChar w:fldCharType="begin"/>
        </w:r>
        <w:r>
          <w:rPr>
            <w:webHidden/>
          </w:rPr>
          <w:instrText xml:space="preserve"> PAGEREF _Toc230077017 \h </w:instrText>
        </w:r>
        <w:r>
          <w:rPr>
            <w:webHidden/>
          </w:rPr>
        </w:r>
        <w:r>
          <w:rPr>
            <w:webHidden/>
          </w:rPr>
          <w:fldChar w:fldCharType="separate"/>
        </w:r>
        <w:r w:rsidR="00BC6937">
          <w:rPr>
            <w:webHidden/>
          </w:rPr>
          <w:t>38</w:t>
        </w:r>
        <w:r>
          <w:rPr>
            <w:webHidden/>
          </w:rPr>
          <w:fldChar w:fldCharType="end"/>
        </w:r>
      </w:hyperlink>
    </w:p>
    <w:p w14:paraId="389B96CB" w14:textId="26E22184" w:rsidR="008D7E35" w:rsidRDefault="008D7E35">
      <w:pPr>
        <w:pStyle w:val="TM2"/>
        <w:rPr>
          <w:rFonts w:cstheme="minorBidi"/>
          <w:color w:val="auto"/>
          <w:kern w:val="2"/>
          <w:sz w:val="24"/>
          <w:szCs w:val="24"/>
          <w14:ligatures w14:val="standardContextual"/>
        </w:rPr>
      </w:pPr>
      <w:hyperlink w:anchor="_Toc230077018" w:history="1">
        <w:r w:rsidRPr="00594ED3">
          <w:rPr>
            <w:rStyle w:val="Lienhypertexte"/>
          </w:rPr>
          <w:t xml:space="preserve">Key </w:t>
        </w:r>
        <w:r w:rsidR="009329EC">
          <w:rPr>
            <w:rStyle w:val="Lienhypertexte"/>
          </w:rPr>
          <w:t>points</w:t>
        </w:r>
        <w:r>
          <w:rPr>
            <w:webHidden/>
          </w:rPr>
          <w:tab/>
        </w:r>
        <w:r>
          <w:rPr>
            <w:webHidden/>
          </w:rPr>
          <w:fldChar w:fldCharType="begin"/>
        </w:r>
        <w:r>
          <w:rPr>
            <w:webHidden/>
          </w:rPr>
          <w:instrText xml:space="preserve"> PAGEREF _Toc230077018 \h </w:instrText>
        </w:r>
        <w:r>
          <w:rPr>
            <w:webHidden/>
          </w:rPr>
        </w:r>
        <w:r>
          <w:rPr>
            <w:webHidden/>
          </w:rPr>
          <w:fldChar w:fldCharType="separate"/>
        </w:r>
        <w:r w:rsidR="00BC6937">
          <w:rPr>
            <w:webHidden/>
          </w:rPr>
          <w:t>44</w:t>
        </w:r>
        <w:r>
          <w:rPr>
            <w:webHidden/>
          </w:rPr>
          <w:fldChar w:fldCharType="end"/>
        </w:r>
      </w:hyperlink>
    </w:p>
    <w:p w14:paraId="43F4BA4B" w14:textId="7DAC2D78" w:rsidR="008D7E35" w:rsidRDefault="008D7E35">
      <w:pPr>
        <w:pStyle w:val="TM1"/>
        <w:rPr>
          <w:rFonts w:eastAsiaTheme="minorEastAsia"/>
          <w:b w:val="0"/>
          <w:caps w:val="0"/>
          <w:color w:val="auto"/>
          <w:kern w:val="2"/>
          <w:sz w:val="24"/>
          <w:szCs w:val="24"/>
          <w:lang w:val="fr-FR" w:eastAsia="fr-FR"/>
          <w14:ligatures w14:val="standardContextual"/>
        </w:rPr>
      </w:pPr>
      <w:hyperlink w:anchor="_Toc230077019" w:history="1">
        <w:r w:rsidRPr="00594ED3">
          <w:rPr>
            <w:rStyle w:val="Lienhypertexte"/>
          </w:rPr>
          <w:t>3</w:t>
        </w:r>
        <w:r>
          <w:rPr>
            <w:rFonts w:eastAsiaTheme="minorEastAsia"/>
            <w:b w:val="0"/>
            <w:caps w:val="0"/>
            <w:color w:val="auto"/>
            <w:kern w:val="2"/>
            <w:sz w:val="24"/>
            <w:szCs w:val="24"/>
            <w:lang w:val="fr-FR" w:eastAsia="fr-FR"/>
            <w14:ligatures w14:val="standardContextual"/>
          </w:rPr>
          <w:tab/>
        </w:r>
        <w:r w:rsidRPr="00594ED3">
          <w:rPr>
            <w:rStyle w:val="Lienhypertexte"/>
          </w:rPr>
          <w:t>Leading and supporting the roll-out of digital accessibility</w:t>
        </w:r>
        <w:r>
          <w:rPr>
            <w:webHidden/>
          </w:rPr>
          <w:tab/>
        </w:r>
        <w:r>
          <w:rPr>
            <w:webHidden/>
          </w:rPr>
          <w:fldChar w:fldCharType="begin"/>
        </w:r>
        <w:r>
          <w:rPr>
            <w:webHidden/>
          </w:rPr>
          <w:instrText xml:space="preserve"> PAGEREF _Toc230077019 \h </w:instrText>
        </w:r>
        <w:r>
          <w:rPr>
            <w:webHidden/>
          </w:rPr>
        </w:r>
        <w:r>
          <w:rPr>
            <w:webHidden/>
          </w:rPr>
          <w:fldChar w:fldCharType="separate"/>
        </w:r>
        <w:r w:rsidR="00BC6937">
          <w:rPr>
            <w:webHidden/>
          </w:rPr>
          <w:t>45</w:t>
        </w:r>
        <w:r>
          <w:rPr>
            <w:webHidden/>
          </w:rPr>
          <w:fldChar w:fldCharType="end"/>
        </w:r>
      </w:hyperlink>
    </w:p>
    <w:p w14:paraId="1E9BB334" w14:textId="75EA086E" w:rsidR="008D7E35" w:rsidRDefault="008D7E35">
      <w:pPr>
        <w:pStyle w:val="TM2"/>
        <w:rPr>
          <w:rFonts w:cstheme="minorBidi"/>
          <w:color w:val="auto"/>
          <w:kern w:val="2"/>
          <w:sz w:val="24"/>
          <w:szCs w:val="24"/>
          <w14:ligatures w14:val="standardContextual"/>
        </w:rPr>
      </w:pPr>
      <w:hyperlink w:anchor="_Toc230077020" w:history="1">
        <w:r w:rsidRPr="00594ED3">
          <w:rPr>
            <w:rStyle w:val="Lienhypertexte"/>
          </w:rPr>
          <w:t>3.1</w:t>
        </w:r>
        <w:r>
          <w:rPr>
            <w:rFonts w:cstheme="minorBidi"/>
            <w:color w:val="auto"/>
            <w:kern w:val="2"/>
            <w:sz w:val="24"/>
            <w:szCs w:val="24"/>
            <w14:ligatures w14:val="standardContextual"/>
          </w:rPr>
          <w:tab/>
        </w:r>
        <w:r w:rsidRPr="00594ED3">
          <w:rPr>
            <w:rStyle w:val="Lienhypertexte"/>
          </w:rPr>
          <w:t>Integrating accessibility into the project lifecycle</w:t>
        </w:r>
        <w:r>
          <w:rPr>
            <w:webHidden/>
          </w:rPr>
          <w:tab/>
        </w:r>
        <w:r>
          <w:rPr>
            <w:webHidden/>
          </w:rPr>
          <w:fldChar w:fldCharType="begin"/>
        </w:r>
        <w:r>
          <w:rPr>
            <w:webHidden/>
          </w:rPr>
          <w:instrText xml:space="preserve"> PAGEREF _Toc230077020 \h </w:instrText>
        </w:r>
        <w:r>
          <w:rPr>
            <w:webHidden/>
          </w:rPr>
        </w:r>
        <w:r>
          <w:rPr>
            <w:webHidden/>
          </w:rPr>
          <w:fldChar w:fldCharType="separate"/>
        </w:r>
        <w:r w:rsidR="00BC6937">
          <w:rPr>
            <w:webHidden/>
          </w:rPr>
          <w:t>45</w:t>
        </w:r>
        <w:r>
          <w:rPr>
            <w:webHidden/>
          </w:rPr>
          <w:fldChar w:fldCharType="end"/>
        </w:r>
      </w:hyperlink>
    </w:p>
    <w:p w14:paraId="56369134" w14:textId="0910EF60" w:rsidR="008D7E35" w:rsidRDefault="008D7E35">
      <w:pPr>
        <w:pStyle w:val="TM3"/>
        <w:rPr>
          <w:rFonts w:cstheme="minorBidi"/>
          <w:color w:val="auto"/>
          <w:kern w:val="2"/>
          <w:sz w:val="24"/>
          <w:szCs w:val="24"/>
          <w14:ligatures w14:val="standardContextual"/>
        </w:rPr>
      </w:pPr>
      <w:hyperlink w:anchor="_Toc230077021" w:history="1">
        <w:r w:rsidRPr="00594ED3">
          <w:rPr>
            <w:rStyle w:val="Lienhypertexte"/>
          </w:rPr>
          <w:t>3.1.1</w:t>
        </w:r>
        <w:r>
          <w:rPr>
            <w:rFonts w:cstheme="minorBidi"/>
            <w:color w:val="auto"/>
            <w:kern w:val="2"/>
            <w:sz w:val="24"/>
            <w:szCs w:val="24"/>
            <w14:ligatures w14:val="standardContextual"/>
          </w:rPr>
          <w:tab/>
        </w:r>
        <w:r w:rsidRPr="00594ED3">
          <w:rPr>
            <w:rStyle w:val="Lienhypertexte"/>
          </w:rPr>
          <w:t>Legacy management</w:t>
        </w:r>
        <w:r>
          <w:rPr>
            <w:webHidden/>
          </w:rPr>
          <w:tab/>
        </w:r>
        <w:r>
          <w:rPr>
            <w:webHidden/>
          </w:rPr>
          <w:fldChar w:fldCharType="begin"/>
        </w:r>
        <w:r>
          <w:rPr>
            <w:webHidden/>
          </w:rPr>
          <w:instrText xml:space="preserve"> PAGEREF _Toc230077021 \h </w:instrText>
        </w:r>
        <w:r>
          <w:rPr>
            <w:webHidden/>
          </w:rPr>
        </w:r>
        <w:r>
          <w:rPr>
            <w:webHidden/>
          </w:rPr>
          <w:fldChar w:fldCharType="separate"/>
        </w:r>
        <w:r w:rsidR="00BC6937">
          <w:rPr>
            <w:webHidden/>
          </w:rPr>
          <w:t>45</w:t>
        </w:r>
        <w:r>
          <w:rPr>
            <w:webHidden/>
          </w:rPr>
          <w:fldChar w:fldCharType="end"/>
        </w:r>
      </w:hyperlink>
    </w:p>
    <w:p w14:paraId="066D6464" w14:textId="17A04063" w:rsidR="008D7E35" w:rsidRDefault="008D7E35">
      <w:pPr>
        <w:pStyle w:val="TM3"/>
        <w:rPr>
          <w:rFonts w:cstheme="minorBidi"/>
          <w:color w:val="auto"/>
          <w:kern w:val="2"/>
          <w:sz w:val="24"/>
          <w:szCs w:val="24"/>
          <w14:ligatures w14:val="standardContextual"/>
        </w:rPr>
      </w:pPr>
      <w:hyperlink w:anchor="_Toc230077022" w:history="1">
        <w:r w:rsidRPr="00594ED3">
          <w:rPr>
            <w:rStyle w:val="Lienhypertexte"/>
          </w:rPr>
          <w:t>3.1.2</w:t>
        </w:r>
        <w:r>
          <w:rPr>
            <w:rFonts w:cstheme="minorBidi"/>
            <w:color w:val="auto"/>
            <w:kern w:val="2"/>
            <w:sz w:val="24"/>
            <w:szCs w:val="24"/>
            <w14:ligatures w14:val="standardContextual"/>
          </w:rPr>
          <w:tab/>
        </w:r>
        <w:r w:rsidRPr="00594ED3">
          <w:rPr>
            <w:rStyle w:val="Lienhypertexte"/>
          </w:rPr>
          <w:t>Integration by design</w:t>
        </w:r>
        <w:r>
          <w:rPr>
            <w:webHidden/>
          </w:rPr>
          <w:tab/>
        </w:r>
        <w:r>
          <w:rPr>
            <w:webHidden/>
          </w:rPr>
          <w:fldChar w:fldCharType="begin"/>
        </w:r>
        <w:r>
          <w:rPr>
            <w:webHidden/>
          </w:rPr>
          <w:instrText xml:space="preserve"> PAGEREF _Toc230077022 \h </w:instrText>
        </w:r>
        <w:r>
          <w:rPr>
            <w:webHidden/>
          </w:rPr>
        </w:r>
        <w:r>
          <w:rPr>
            <w:webHidden/>
          </w:rPr>
          <w:fldChar w:fldCharType="separate"/>
        </w:r>
        <w:r w:rsidR="00BC6937">
          <w:rPr>
            <w:webHidden/>
          </w:rPr>
          <w:t>47</w:t>
        </w:r>
        <w:r>
          <w:rPr>
            <w:webHidden/>
          </w:rPr>
          <w:fldChar w:fldCharType="end"/>
        </w:r>
      </w:hyperlink>
    </w:p>
    <w:p w14:paraId="2DB10468" w14:textId="68B32493" w:rsidR="008D7E35" w:rsidRDefault="008D7E35">
      <w:pPr>
        <w:pStyle w:val="TM3"/>
        <w:rPr>
          <w:rFonts w:cstheme="minorBidi"/>
          <w:color w:val="auto"/>
          <w:kern w:val="2"/>
          <w:sz w:val="24"/>
          <w:szCs w:val="24"/>
          <w14:ligatures w14:val="standardContextual"/>
        </w:rPr>
      </w:pPr>
      <w:hyperlink w:anchor="_Toc230077023" w:history="1">
        <w:r w:rsidRPr="00594ED3">
          <w:rPr>
            <w:rStyle w:val="Lienhypertexte"/>
          </w:rPr>
          <w:t>3.1.3</w:t>
        </w:r>
        <w:r>
          <w:rPr>
            <w:rFonts w:cstheme="minorBidi"/>
            <w:color w:val="auto"/>
            <w:kern w:val="2"/>
            <w:sz w:val="24"/>
            <w:szCs w:val="24"/>
            <w14:ligatures w14:val="standardContextual"/>
          </w:rPr>
          <w:tab/>
        </w:r>
        <w:r w:rsidRPr="00594ED3">
          <w:rPr>
            <w:rStyle w:val="Lienhypertexte"/>
          </w:rPr>
          <w:t>Long-term management and monitoring</w:t>
        </w:r>
        <w:r>
          <w:rPr>
            <w:webHidden/>
          </w:rPr>
          <w:tab/>
        </w:r>
        <w:r>
          <w:rPr>
            <w:webHidden/>
          </w:rPr>
          <w:fldChar w:fldCharType="begin"/>
        </w:r>
        <w:r>
          <w:rPr>
            <w:webHidden/>
          </w:rPr>
          <w:instrText xml:space="preserve"> PAGEREF _Toc230077023 \h </w:instrText>
        </w:r>
        <w:r>
          <w:rPr>
            <w:webHidden/>
          </w:rPr>
        </w:r>
        <w:r>
          <w:rPr>
            <w:webHidden/>
          </w:rPr>
          <w:fldChar w:fldCharType="separate"/>
        </w:r>
        <w:r w:rsidR="00BC6937">
          <w:rPr>
            <w:webHidden/>
          </w:rPr>
          <w:t>47</w:t>
        </w:r>
        <w:r>
          <w:rPr>
            <w:webHidden/>
          </w:rPr>
          <w:fldChar w:fldCharType="end"/>
        </w:r>
      </w:hyperlink>
    </w:p>
    <w:p w14:paraId="7B02C678" w14:textId="49315DAA" w:rsidR="008D7E35" w:rsidRDefault="008D7E35">
      <w:pPr>
        <w:pStyle w:val="TM2"/>
        <w:rPr>
          <w:rFonts w:cstheme="minorBidi"/>
          <w:color w:val="auto"/>
          <w:kern w:val="2"/>
          <w:sz w:val="24"/>
          <w:szCs w:val="24"/>
          <w14:ligatures w14:val="standardContextual"/>
        </w:rPr>
      </w:pPr>
      <w:hyperlink w:anchor="_Toc230077024" w:history="1">
        <w:r w:rsidRPr="00594ED3">
          <w:rPr>
            <w:rStyle w:val="Lienhypertexte"/>
          </w:rPr>
          <w:t>3.2</w:t>
        </w:r>
        <w:r>
          <w:rPr>
            <w:rFonts w:cstheme="minorBidi"/>
            <w:color w:val="auto"/>
            <w:kern w:val="2"/>
            <w:sz w:val="24"/>
            <w:szCs w:val="24"/>
            <w14:ligatures w14:val="standardContextual"/>
          </w:rPr>
          <w:tab/>
        </w:r>
        <w:r w:rsidRPr="00594ED3">
          <w:rPr>
            <w:rStyle w:val="Lienhypertexte"/>
          </w:rPr>
          <w:t>Tools and technical levers</w:t>
        </w:r>
        <w:r>
          <w:rPr>
            <w:webHidden/>
          </w:rPr>
          <w:tab/>
        </w:r>
        <w:r>
          <w:rPr>
            <w:webHidden/>
          </w:rPr>
          <w:fldChar w:fldCharType="begin"/>
        </w:r>
        <w:r>
          <w:rPr>
            <w:webHidden/>
          </w:rPr>
          <w:instrText xml:space="preserve"> PAGEREF _Toc230077024 \h </w:instrText>
        </w:r>
        <w:r>
          <w:rPr>
            <w:webHidden/>
          </w:rPr>
        </w:r>
        <w:r>
          <w:rPr>
            <w:webHidden/>
          </w:rPr>
          <w:fldChar w:fldCharType="separate"/>
        </w:r>
        <w:r w:rsidR="00BC6937">
          <w:rPr>
            <w:webHidden/>
          </w:rPr>
          <w:t>54</w:t>
        </w:r>
        <w:r>
          <w:rPr>
            <w:webHidden/>
          </w:rPr>
          <w:fldChar w:fldCharType="end"/>
        </w:r>
      </w:hyperlink>
    </w:p>
    <w:p w14:paraId="3484EEBE" w14:textId="39A663A4" w:rsidR="008D7E35" w:rsidRDefault="008D7E35">
      <w:pPr>
        <w:pStyle w:val="TM3"/>
        <w:rPr>
          <w:rFonts w:cstheme="minorBidi"/>
          <w:color w:val="auto"/>
          <w:kern w:val="2"/>
          <w:sz w:val="24"/>
          <w:szCs w:val="24"/>
          <w14:ligatures w14:val="standardContextual"/>
        </w:rPr>
      </w:pPr>
      <w:hyperlink w:anchor="_Toc230077025" w:history="1">
        <w:r w:rsidRPr="00594ED3">
          <w:rPr>
            <w:rStyle w:val="Lienhypertexte"/>
          </w:rPr>
          <w:t>3.2.1</w:t>
        </w:r>
        <w:r>
          <w:rPr>
            <w:rFonts w:cstheme="minorBidi"/>
            <w:color w:val="auto"/>
            <w:kern w:val="2"/>
            <w:sz w:val="24"/>
            <w:szCs w:val="24"/>
            <w14:ligatures w14:val="standardContextual"/>
          </w:rPr>
          <w:tab/>
        </w:r>
        <w:r w:rsidRPr="00594ED3">
          <w:rPr>
            <w:rStyle w:val="Lienhypertexte"/>
          </w:rPr>
          <w:t>Methods and tools for fostering a culture of accessibility</w:t>
        </w:r>
        <w:r>
          <w:rPr>
            <w:webHidden/>
          </w:rPr>
          <w:tab/>
        </w:r>
        <w:r>
          <w:rPr>
            <w:webHidden/>
          </w:rPr>
          <w:fldChar w:fldCharType="begin"/>
        </w:r>
        <w:r>
          <w:rPr>
            <w:webHidden/>
          </w:rPr>
          <w:instrText xml:space="preserve"> PAGEREF _Toc230077025 \h </w:instrText>
        </w:r>
        <w:r>
          <w:rPr>
            <w:webHidden/>
          </w:rPr>
        </w:r>
        <w:r>
          <w:rPr>
            <w:webHidden/>
          </w:rPr>
          <w:fldChar w:fldCharType="separate"/>
        </w:r>
        <w:r w:rsidR="00BC6937">
          <w:rPr>
            <w:webHidden/>
          </w:rPr>
          <w:t>54</w:t>
        </w:r>
        <w:r>
          <w:rPr>
            <w:webHidden/>
          </w:rPr>
          <w:fldChar w:fldCharType="end"/>
        </w:r>
      </w:hyperlink>
    </w:p>
    <w:p w14:paraId="6AC7C051" w14:textId="03DFD76D" w:rsidR="008D7E35" w:rsidRDefault="008D7E35">
      <w:pPr>
        <w:pStyle w:val="TM3"/>
        <w:rPr>
          <w:rFonts w:cstheme="minorBidi"/>
          <w:color w:val="auto"/>
          <w:kern w:val="2"/>
          <w:sz w:val="24"/>
          <w:szCs w:val="24"/>
          <w14:ligatures w14:val="standardContextual"/>
        </w:rPr>
      </w:pPr>
      <w:hyperlink w:anchor="_Toc230077026" w:history="1">
        <w:r w:rsidRPr="00594ED3">
          <w:rPr>
            <w:rStyle w:val="Lienhypertexte"/>
          </w:rPr>
          <w:t>3.2.2</w:t>
        </w:r>
        <w:r>
          <w:rPr>
            <w:rFonts w:cstheme="minorBidi"/>
            <w:color w:val="auto"/>
            <w:kern w:val="2"/>
            <w:sz w:val="24"/>
            <w:szCs w:val="24"/>
            <w14:ligatures w14:val="standardContextual"/>
          </w:rPr>
          <w:tab/>
        </w:r>
        <w:r w:rsidRPr="00594ED3">
          <w:rPr>
            <w:rStyle w:val="Lienhypertexte"/>
          </w:rPr>
          <w:t>Focus on an accessible design system</w:t>
        </w:r>
        <w:r>
          <w:rPr>
            <w:webHidden/>
          </w:rPr>
          <w:tab/>
        </w:r>
        <w:r>
          <w:rPr>
            <w:webHidden/>
          </w:rPr>
          <w:fldChar w:fldCharType="begin"/>
        </w:r>
        <w:r>
          <w:rPr>
            <w:webHidden/>
          </w:rPr>
          <w:instrText xml:space="preserve"> PAGEREF _Toc230077026 \h </w:instrText>
        </w:r>
        <w:r>
          <w:rPr>
            <w:webHidden/>
          </w:rPr>
        </w:r>
        <w:r>
          <w:rPr>
            <w:webHidden/>
          </w:rPr>
          <w:fldChar w:fldCharType="separate"/>
        </w:r>
        <w:r w:rsidR="00BC6937">
          <w:rPr>
            <w:webHidden/>
          </w:rPr>
          <w:t>58</w:t>
        </w:r>
        <w:r>
          <w:rPr>
            <w:webHidden/>
          </w:rPr>
          <w:fldChar w:fldCharType="end"/>
        </w:r>
      </w:hyperlink>
    </w:p>
    <w:p w14:paraId="0C29E6B4" w14:textId="7F659774" w:rsidR="008D7E35" w:rsidRDefault="008D7E35">
      <w:pPr>
        <w:pStyle w:val="TM3"/>
        <w:rPr>
          <w:rFonts w:cstheme="minorBidi"/>
          <w:color w:val="auto"/>
          <w:kern w:val="2"/>
          <w:sz w:val="24"/>
          <w:szCs w:val="24"/>
          <w14:ligatures w14:val="standardContextual"/>
        </w:rPr>
      </w:pPr>
      <w:hyperlink w:anchor="_Toc230077027" w:history="1">
        <w:r w:rsidRPr="00594ED3">
          <w:rPr>
            <w:rStyle w:val="Lienhypertexte"/>
          </w:rPr>
          <w:t>3.2.3</w:t>
        </w:r>
        <w:r>
          <w:rPr>
            <w:rFonts w:cstheme="minorBidi"/>
            <w:color w:val="auto"/>
            <w:kern w:val="2"/>
            <w:sz w:val="24"/>
            <w:szCs w:val="24"/>
            <w14:ligatures w14:val="standardContextual"/>
          </w:rPr>
          <w:tab/>
        </w:r>
        <w:r w:rsidRPr="00594ED3">
          <w:rPr>
            <w:rStyle w:val="Lienhypertexte"/>
          </w:rPr>
          <w:t>Tracking KPIs and demonstrating ROI</w:t>
        </w:r>
        <w:r>
          <w:rPr>
            <w:webHidden/>
          </w:rPr>
          <w:tab/>
        </w:r>
        <w:r>
          <w:rPr>
            <w:webHidden/>
          </w:rPr>
          <w:fldChar w:fldCharType="begin"/>
        </w:r>
        <w:r>
          <w:rPr>
            <w:webHidden/>
          </w:rPr>
          <w:instrText xml:space="preserve"> PAGEREF _Toc230077027 \h </w:instrText>
        </w:r>
        <w:r>
          <w:rPr>
            <w:webHidden/>
          </w:rPr>
        </w:r>
        <w:r>
          <w:rPr>
            <w:webHidden/>
          </w:rPr>
          <w:fldChar w:fldCharType="separate"/>
        </w:r>
        <w:r w:rsidR="00BC6937">
          <w:rPr>
            <w:webHidden/>
          </w:rPr>
          <w:t>61</w:t>
        </w:r>
        <w:r>
          <w:rPr>
            <w:webHidden/>
          </w:rPr>
          <w:fldChar w:fldCharType="end"/>
        </w:r>
      </w:hyperlink>
    </w:p>
    <w:p w14:paraId="3E8443DC" w14:textId="79180D5B" w:rsidR="008D7E35" w:rsidRDefault="008D7E35">
      <w:pPr>
        <w:pStyle w:val="TM2"/>
        <w:rPr>
          <w:rFonts w:cstheme="minorBidi"/>
          <w:color w:val="auto"/>
          <w:kern w:val="2"/>
          <w:sz w:val="24"/>
          <w:szCs w:val="24"/>
          <w14:ligatures w14:val="standardContextual"/>
        </w:rPr>
      </w:pPr>
      <w:hyperlink w:anchor="_Toc230077028" w:history="1">
        <w:r w:rsidRPr="00594ED3">
          <w:rPr>
            <w:rStyle w:val="Lienhypertexte"/>
          </w:rPr>
          <w:t xml:space="preserve">Key </w:t>
        </w:r>
        <w:r w:rsidR="009329EC">
          <w:rPr>
            <w:rStyle w:val="Lienhypertexte"/>
          </w:rPr>
          <w:t>point</w:t>
        </w:r>
        <w:r w:rsidRPr="00594ED3">
          <w:rPr>
            <w:rStyle w:val="Lienhypertexte"/>
          </w:rPr>
          <w:t>s</w:t>
        </w:r>
        <w:r>
          <w:rPr>
            <w:webHidden/>
          </w:rPr>
          <w:tab/>
        </w:r>
        <w:r>
          <w:rPr>
            <w:webHidden/>
          </w:rPr>
          <w:fldChar w:fldCharType="begin"/>
        </w:r>
        <w:r>
          <w:rPr>
            <w:webHidden/>
          </w:rPr>
          <w:instrText xml:space="preserve"> PAGEREF _Toc230077028 \h </w:instrText>
        </w:r>
        <w:r>
          <w:rPr>
            <w:webHidden/>
          </w:rPr>
        </w:r>
        <w:r>
          <w:rPr>
            <w:webHidden/>
          </w:rPr>
          <w:fldChar w:fldCharType="separate"/>
        </w:r>
        <w:r w:rsidR="00BC6937">
          <w:rPr>
            <w:webHidden/>
          </w:rPr>
          <w:t>66</w:t>
        </w:r>
        <w:r>
          <w:rPr>
            <w:webHidden/>
          </w:rPr>
          <w:fldChar w:fldCharType="end"/>
        </w:r>
      </w:hyperlink>
    </w:p>
    <w:p w14:paraId="732C18CC" w14:textId="6DAAF9CD" w:rsidR="008D7E35" w:rsidRDefault="008D7E35">
      <w:pPr>
        <w:pStyle w:val="TM1"/>
        <w:rPr>
          <w:rFonts w:eastAsiaTheme="minorEastAsia"/>
          <w:b w:val="0"/>
          <w:caps w:val="0"/>
          <w:color w:val="auto"/>
          <w:kern w:val="2"/>
          <w:sz w:val="24"/>
          <w:szCs w:val="24"/>
          <w:lang w:val="fr-FR" w:eastAsia="fr-FR"/>
          <w14:ligatures w14:val="standardContextual"/>
        </w:rPr>
      </w:pPr>
      <w:hyperlink w:anchor="_Toc230077029" w:history="1">
        <w:r w:rsidRPr="00594ED3">
          <w:rPr>
            <w:rStyle w:val="Lienhypertexte"/>
          </w:rPr>
          <w:t>4</w:t>
        </w:r>
        <w:r>
          <w:rPr>
            <w:rFonts w:eastAsiaTheme="minorEastAsia"/>
            <w:b w:val="0"/>
            <w:caps w:val="0"/>
            <w:color w:val="auto"/>
            <w:kern w:val="2"/>
            <w:sz w:val="24"/>
            <w:szCs w:val="24"/>
            <w:lang w:val="fr-FR" w:eastAsia="fr-FR"/>
            <w14:ligatures w14:val="standardContextual"/>
          </w:rPr>
          <w:tab/>
        </w:r>
        <w:r w:rsidRPr="00594ED3">
          <w:rPr>
            <w:rStyle w:val="Lienhypertexte"/>
          </w:rPr>
          <w:t>Key takeaways from the Action Principles to support scaling up</w:t>
        </w:r>
        <w:r>
          <w:rPr>
            <w:webHidden/>
          </w:rPr>
          <w:tab/>
        </w:r>
        <w:r>
          <w:rPr>
            <w:webHidden/>
          </w:rPr>
          <w:fldChar w:fldCharType="begin"/>
        </w:r>
        <w:r>
          <w:rPr>
            <w:webHidden/>
          </w:rPr>
          <w:instrText xml:space="preserve"> PAGEREF _Toc230077029 \h </w:instrText>
        </w:r>
        <w:r>
          <w:rPr>
            <w:webHidden/>
          </w:rPr>
        </w:r>
        <w:r>
          <w:rPr>
            <w:webHidden/>
          </w:rPr>
          <w:fldChar w:fldCharType="separate"/>
        </w:r>
        <w:r w:rsidR="00BC6937">
          <w:rPr>
            <w:webHidden/>
          </w:rPr>
          <w:t>67</w:t>
        </w:r>
        <w:r>
          <w:rPr>
            <w:webHidden/>
          </w:rPr>
          <w:fldChar w:fldCharType="end"/>
        </w:r>
      </w:hyperlink>
    </w:p>
    <w:p w14:paraId="7DC04E0E" w14:textId="2A42FC26" w:rsidR="008D7E35" w:rsidRDefault="008D7E35">
      <w:pPr>
        <w:pStyle w:val="TM2"/>
        <w:rPr>
          <w:rFonts w:cstheme="minorBidi"/>
          <w:color w:val="auto"/>
          <w:kern w:val="2"/>
          <w:sz w:val="24"/>
          <w:szCs w:val="24"/>
          <w14:ligatures w14:val="standardContextual"/>
        </w:rPr>
      </w:pPr>
      <w:hyperlink w:anchor="_Toc230077030" w:history="1">
        <w:r w:rsidRPr="00594ED3">
          <w:rPr>
            <w:rStyle w:val="Lienhypertexte"/>
          </w:rPr>
          <w:t>4.1</w:t>
        </w:r>
        <w:r>
          <w:rPr>
            <w:rFonts w:cstheme="minorBidi"/>
            <w:color w:val="auto"/>
            <w:kern w:val="2"/>
            <w:sz w:val="24"/>
            <w:szCs w:val="24"/>
            <w14:ligatures w14:val="standardContextual"/>
          </w:rPr>
          <w:tab/>
        </w:r>
        <w:r w:rsidRPr="00594ED3">
          <w:rPr>
            <w:rStyle w:val="Lienhypertexte"/>
          </w:rPr>
          <w:t>Sticking points and solutions identified by the working group</w:t>
        </w:r>
        <w:r>
          <w:rPr>
            <w:webHidden/>
          </w:rPr>
          <w:tab/>
        </w:r>
        <w:r>
          <w:rPr>
            <w:webHidden/>
          </w:rPr>
          <w:fldChar w:fldCharType="begin"/>
        </w:r>
        <w:r>
          <w:rPr>
            <w:webHidden/>
          </w:rPr>
          <w:instrText xml:space="preserve"> PAGEREF _Toc230077030 \h </w:instrText>
        </w:r>
        <w:r>
          <w:rPr>
            <w:webHidden/>
          </w:rPr>
        </w:r>
        <w:r>
          <w:rPr>
            <w:webHidden/>
          </w:rPr>
          <w:fldChar w:fldCharType="separate"/>
        </w:r>
        <w:r w:rsidR="00BC6937">
          <w:rPr>
            <w:webHidden/>
          </w:rPr>
          <w:t>68</w:t>
        </w:r>
        <w:r>
          <w:rPr>
            <w:webHidden/>
          </w:rPr>
          <w:fldChar w:fldCharType="end"/>
        </w:r>
      </w:hyperlink>
    </w:p>
    <w:p w14:paraId="557F6A58" w14:textId="4C14CCD4" w:rsidR="008D7E35" w:rsidRDefault="008D7E35">
      <w:pPr>
        <w:pStyle w:val="TM2"/>
        <w:rPr>
          <w:rFonts w:cstheme="minorBidi"/>
          <w:color w:val="auto"/>
          <w:kern w:val="2"/>
          <w:sz w:val="24"/>
          <w:szCs w:val="24"/>
          <w14:ligatures w14:val="standardContextual"/>
        </w:rPr>
      </w:pPr>
      <w:hyperlink w:anchor="_Toc230077031" w:history="1">
        <w:r w:rsidRPr="00594ED3">
          <w:rPr>
            <w:rStyle w:val="Lienhypertexte"/>
          </w:rPr>
          <w:t>4.2</w:t>
        </w:r>
        <w:r>
          <w:rPr>
            <w:rFonts w:cstheme="minorBidi"/>
            <w:color w:val="auto"/>
            <w:kern w:val="2"/>
            <w:sz w:val="24"/>
            <w:szCs w:val="24"/>
            <w14:ligatures w14:val="standardContextual"/>
          </w:rPr>
          <w:tab/>
        </w:r>
        <w:r w:rsidRPr="00594ED3">
          <w:rPr>
            <w:rStyle w:val="Lienhypertexte"/>
          </w:rPr>
          <w:t>Priority areas for action identified by the working group</w:t>
        </w:r>
        <w:r>
          <w:rPr>
            <w:webHidden/>
          </w:rPr>
          <w:tab/>
        </w:r>
        <w:r>
          <w:rPr>
            <w:webHidden/>
          </w:rPr>
          <w:fldChar w:fldCharType="begin"/>
        </w:r>
        <w:r>
          <w:rPr>
            <w:webHidden/>
          </w:rPr>
          <w:instrText xml:space="preserve"> PAGEREF _Toc230077031 \h </w:instrText>
        </w:r>
        <w:r>
          <w:rPr>
            <w:webHidden/>
          </w:rPr>
        </w:r>
        <w:r>
          <w:rPr>
            <w:webHidden/>
          </w:rPr>
          <w:fldChar w:fldCharType="separate"/>
        </w:r>
        <w:r w:rsidR="00BC6937">
          <w:rPr>
            <w:webHidden/>
          </w:rPr>
          <w:t>69</w:t>
        </w:r>
        <w:r>
          <w:rPr>
            <w:webHidden/>
          </w:rPr>
          <w:fldChar w:fldCharType="end"/>
        </w:r>
      </w:hyperlink>
    </w:p>
    <w:p w14:paraId="141F842B" w14:textId="5558C124" w:rsidR="008D7E35" w:rsidRDefault="008D7E35">
      <w:pPr>
        <w:pStyle w:val="TM3"/>
        <w:rPr>
          <w:rFonts w:cstheme="minorBidi"/>
          <w:color w:val="auto"/>
          <w:kern w:val="2"/>
          <w:sz w:val="24"/>
          <w:szCs w:val="24"/>
          <w14:ligatures w14:val="standardContextual"/>
        </w:rPr>
      </w:pPr>
      <w:hyperlink w:anchor="_Toc230077032" w:history="1">
        <w:r w:rsidRPr="00594ED3">
          <w:rPr>
            <w:rStyle w:val="Lienhypertexte"/>
          </w:rPr>
          <w:t>4.2.1</w:t>
        </w:r>
        <w:r>
          <w:rPr>
            <w:rFonts w:cstheme="minorBidi"/>
            <w:color w:val="auto"/>
            <w:kern w:val="2"/>
            <w:sz w:val="24"/>
            <w:szCs w:val="24"/>
            <w14:ligatures w14:val="standardContextual"/>
          </w:rPr>
          <w:tab/>
        </w:r>
        <w:r w:rsidRPr="00594ED3">
          <w:rPr>
            <w:rStyle w:val="Lienhypertexte"/>
          </w:rPr>
          <w:t>Investing in appropriate training and awareness-raising initiatives</w:t>
        </w:r>
        <w:r>
          <w:rPr>
            <w:webHidden/>
          </w:rPr>
          <w:tab/>
        </w:r>
        <w:r>
          <w:rPr>
            <w:webHidden/>
          </w:rPr>
          <w:fldChar w:fldCharType="begin"/>
        </w:r>
        <w:r>
          <w:rPr>
            <w:webHidden/>
          </w:rPr>
          <w:instrText xml:space="preserve"> PAGEREF _Toc230077032 \h </w:instrText>
        </w:r>
        <w:r>
          <w:rPr>
            <w:webHidden/>
          </w:rPr>
        </w:r>
        <w:r>
          <w:rPr>
            <w:webHidden/>
          </w:rPr>
          <w:fldChar w:fldCharType="separate"/>
        </w:r>
        <w:r w:rsidR="00BC6937">
          <w:rPr>
            <w:webHidden/>
          </w:rPr>
          <w:t>70</w:t>
        </w:r>
        <w:r>
          <w:rPr>
            <w:webHidden/>
          </w:rPr>
          <w:fldChar w:fldCharType="end"/>
        </w:r>
      </w:hyperlink>
    </w:p>
    <w:p w14:paraId="181E2311" w14:textId="65DAADC0" w:rsidR="008D7E35" w:rsidRDefault="008D7E35">
      <w:pPr>
        <w:pStyle w:val="TM3"/>
        <w:rPr>
          <w:rFonts w:cstheme="minorBidi"/>
          <w:color w:val="auto"/>
          <w:kern w:val="2"/>
          <w:sz w:val="24"/>
          <w:szCs w:val="24"/>
          <w14:ligatures w14:val="standardContextual"/>
        </w:rPr>
      </w:pPr>
      <w:hyperlink w:anchor="_Toc230077033" w:history="1">
        <w:r w:rsidRPr="00594ED3">
          <w:rPr>
            <w:rStyle w:val="Lienhypertexte"/>
          </w:rPr>
          <w:t>4.2.2</w:t>
        </w:r>
        <w:r>
          <w:rPr>
            <w:rFonts w:cstheme="minorBidi"/>
            <w:color w:val="auto"/>
            <w:kern w:val="2"/>
            <w:sz w:val="24"/>
            <w:szCs w:val="24"/>
            <w14:ligatures w14:val="standardContextual"/>
          </w:rPr>
          <w:tab/>
        </w:r>
        <w:r w:rsidRPr="00594ED3">
          <w:rPr>
            <w:rStyle w:val="Lienhypertexte"/>
          </w:rPr>
          <w:t>Establishing structured governance with ongoing monitoring</w:t>
        </w:r>
        <w:r>
          <w:rPr>
            <w:webHidden/>
          </w:rPr>
          <w:tab/>
        </w:r>
        <w:r>
          <w:rPr>
            <w:webHidden/>
          </w:rPr>
          <w:fldChar w:fldCharType="begin"/>
        </w:r>
        <w:r>
          <w:rPr>
            <w:webHidden/>
          </w:rPr>
          <w:instrText xml:space="preserve"> PAGEREF _Toc230077033 \h </w:instrText>
        </w:r>
        <w:r>
          <w:rPr>
            <w:webHidden/>
          </w:rPr>
        </w:r>
        <w:r>
          <w:rPr>
            <w:webHidden/>
          </w:rPr>
          <w:fldChar w:fldCharType="separate"/>
        </w:r>
        <w:r w:rsidR="00BC6937">
          <w:rPr>
            <w:webHidden/>
          </w:rPr>
          <w:t>71</w:t>
        </w:r>
        <w:r>
          <w:rPr>
            <w:webHidden/>
          </w:rPr>
          <w:fldChar w:fldCharType="end"/>
        </w:r>
      </w:hyperlink>
    </w:p>
    <w:p w14:paraId="5733F48D" w14:textId="3DBF254C" w:rsidR="008D7E35" w:rsidRDefault="008D7E35">
      <w:pPr>
        <w:pStyle w:val="TM3"/>
        <w:rPr>
          <w:rFonts w:cstheme="minorBidi"/>
          <w:color w:val="auto"/>
          <w:kern w:val="2"/>
          <w:sz w:val="24"/>
          <w:szCs w:val="24"/>
          <w14:ligatures w14:val="standardContextual"/>
        </w:rPr>
      </w:pPr>
      <w:hyperlink w:anchor="_Toc230077034" w:history="1">
        <w:r w:rsidRPr="00594ED3">
          <w:rPr>
            <w:rStyle w:val="Lienhypertexte"/>
          </w:rPr>
          <w:t>4.2.3</w:t>
        </w:r>
        <w:r>
          <w:rPr>
            <w:rFonts w:cstheme="minorBidi"/>
            <w:color w:val="auto"/>
            <w:kern w:val="2"/>
            <w:sz w:val="24"/>
            <w:szCs w:val="24"/>
            <w14:ligatures w14:val="standardContextual"/>
          </w:rPr>
          <w:tab/>
        </w:r>
        <w:r w:rsidRPr="00594ED3">
          <w:rPr>
            <w:rStyle w:val="Lienhypertexte"/>
          </w:rPr>
          <w:t>Ensure iterative monitoring throughout the entire project lifecycle</w:t>
        </w:r>
        <w:r>
          <w:rPr>
            <w:webHidden/>
          </w:rPr>
          <w:tab/>
        </w:r>
        <w:r>
          <w:rPr>
            <w:webHidden/>
          </w:rPr>
          <w:fldChar w:fldCharType="begin"/>
        </w:r>
        <w:r>
          <w:rPr>
            <w:webHidden/>
          </w:rPr>
          <w:instrText xml:space="preserve"> PAGEREF _Toc230077034 \h </w:instrText>
        </w:r>
        <w:r>
          <w:rPr>
            <w:webHidden/>
          </w:rPr>
        </w:r>
        <w:r>
          <w:rPr>
            <w:webHidden/>
          </w:rPr>
          <w:fldChar w:fldCharType="separate"/>
        </w:r>
        <w:r w:rsidR="00BC6937">
          <w:rPr>
            <w:webHidden/>
          </w:rPr>
          <w:t>72</w:t>
        </w:r>
        <w:r>
          <w:rPr>
            <w:webHidden/>
          </w:rPr>
          <w:fldChar w:fldCharType="end"/>
        </w:r>
      </w:hyperlink>
    </w:p>
    <w:p w14:paraId="7F39B9F5" w14:textId="47210C08" w:rsidR="008D7E35" w:rsidRDefault="008D7E35">
      <w:pPr>
        <w:pStyle w:val="TM1"/>
        <w:rPr>
          <w:rFonts w:eastAsiaTheme="minorEastAsia"/>
          <w:b w:val="0"/>
          <w:caps w:val="0"/>
          <w:color w:val="auto"/>
          <w:kern w:val="2"/>
          <w:sz w:val="24"/>
          <w:szCs w:val="24"/>
          <w:lang w:val="fr-FR" w:eastAsia="fr-FR"/>
          <w14:ligatures w14:val="standardContextual"/>
        </w:rPr>
      </w:pPr>
      <w:hyperlink w:anchor="_Toc230077035" w:history="1">
        <w:r w:rsidRPr="00594ED3">
          <w:rPr>
            <w:rStyle w:val="Lienhypertexte"/>
          </w:rPr>
          <w:t>Conclusion</w:t>
        </w:r>
        <w:r>
          <w:rPr>
            <w:webHidden/>
          </w:rPr>
          <w:tab/>
        </w:r>
        <w:r>
          <w:rPr>
            <w:webHidden/>
          </w:rPr>
          <w:fldChar w:fldCharType="begin"/>
        </w:r>
        <w:r>
          <w:rPr>
            <w:webHidden/>
          </w:rPr>
          <w:instrText xml:space="preserve"> PAGEREF _Toc230077035 \h </w:instrText>
        </w:r>
        <w:r>
          <w:rPr>
            <w:webHidden/>
          </w:rPr>
        </w:r>
        <w:r>
          <w:rPr>
            <w:webHidden/>
          </w:rPr>
          <w:fldChar w:fldCharType="separate"/>
        </w:r>
        <w:r w:rsidR="00BC6937">
          <w:rPr>
            <w:webHidden/>
          </w:rPr>
          <w:t>74</w:t>
        </w:r>
        <w:r>
          <w:rPr>
            <w:webHidden/>
          </w:rPr>
          <w:fldChar w:fldCharType="end"/>
        </w:r>
      </w:hyperlink>
    </w:p>
    <w:p w14:paraId="0D9BA69A" w14:textId="649FEC0E" w:rsidR="00276234" w:rsidRDefault="004C7112" w:rsidP="000A0BF1">
      <w:pPr>
        <w:rPr>
          <w:rFonts w:eastAsia="Times New Roman"/>
          <w:color w:val="21374B"/>
          <w:lang w:eastAsia="fr-FR"/>
        </w:rPr>
      </w:pPr>
      <w:r>
        <w:rPr>
          <w:rFonts w:eastAsia="Times New Roman" w:cs="Times New Roman"/>
          <w:b/>
          <w:caps/>
          <w:noProof/>
          <w:color w:val="6C0A1A"/>
          <w:sz w:val="32"/>
          <w:szCs w:val="32"/>
          <w:lang w:val="en-US"/>
        </w:rPr>
        <w:fldChar w:fldCharType="end"/>
      </w:r>
    </w:p>
    <w:p w14:paraId="27530C82" w14:textId="77777777" w:rsidR="006A501E" w:rsidRPr="006A501E" w:rsidRDefault="006A501E" w:rsidP="00CF2255">
      <w:pPr>
        <w:pStyle w:val="En-ttedetabledesmatires"/>
      </w:pPr>
      <w:r w:rsidRPr="00DE2433">
        <w:t xml:space="preserve">LIST OF </w:t>
      </w:r>
      <w:r w:rsidR="007B2E61">
        <w:t>ILLUSTRATIONS</w:t>
      </w:r>
    </w:p>
    <w:p w14:paraId="38F3E617" w14:textId="2328F12E" w:rsidR="00DE4E1C" w:rsidRPr="0073200E" w:rsidRDefault="00273DFD">
      <w:pPr>
        <w:pStyle w:val="Tabledesillustrations"/>
        <w:rPr>
          <w:rFonts w:eastAsiaTheme="minorEastAsia"/>
          <w:b w:val="0"/>
          <w:kern w:val="2"/>
          <w:sz w:val="24"/>
          <w:szCs w:val="24"/>
          <w:lang w:val="fr-FR" w:eastAsia="fr-FR"/>
          <w14:ligatures w14:val="standardContextual"/>
        </w:rPr>
      </w:pPr>
      <w:r w:rsidRPr="0073200E">
        <w:rPr>
          <w:rFonts w:eastAsia="Times New Roman"/>
          <w:caps/>
          <w:color w:val="385623" w:themeColor="accent6" w:themeShade="80"/>
          <w:lang w:eastAsia="fr-FR"/>
        </w:rPr>
        <w:fldChar w:fldCharType="begin"/>
      </w:r>
      <w:r w:rsidRPr="0073200E">
        <w:rPr>
          <w:rFonts w:eastAsia="Times New Roman"/>
          <w:caps/>
          <w:color w:val="385623" w:themeColor="accent6" w:themeShade="80"/>
          <w:lang w:eastAsia="fr-FR"/>
        </w:rPr>
        <w:instrText xml:space="preserve"> TOC \h \z \t "Légende;1" \c "Figure" </w:instrText>
      </w:r>
      <w:r w:rsidRPr="0073200E">
        <w:rPr>
          <w:rFonts w:eastAsia="Times New Roman"/>
          <w:caps/>
          <w:color w:val="385623" w:themeColor="accent6" w:themeShade="80"/>
          <w:lang w:eastAsia="fr-FR"/>
        </w:rPr>
        <w:fldChar w:fldCharType="separate"/>
      </w:r>
      <w:hyperlink w:anchor="_Toc230192046" w:history="1">
        <w:r w:rsidR="00DE4E1C" w:rsidRPr="0073200E">
          <w:rPr>
            <w:rStyle w:val="Lienhypertexte"/>
            <w:color w:val="4B5943"/>
          </w:rPr>
          <w:t xml:space="preserve">®Caisse des </w:t>
        </w:r>
        <w:r w:rsidR="00DE4E1C" w:rsidRPr="0073200E">
          <w:rPr>
            <w:rStyle w:val="Lienhypertexte"/>
            <w:color w:val="4B5943"/>
            <w:u w:val="none"/>
            <w:lang w:val="fr-FR"/>
          </w:rPr>
          <w:t xml:space="preserve">Dépôts_Presentation </w:t>
        </w:r>
        <w:r w:rsidR="00DE4E1C" w:rsidRPr="0073200E">
          <w:rPr>
            <w:rStyle w:val="Lienhypertexte"/>
            <w:color w:val="4B5943"/>
          </w:rPr>
          <w:t>to the Cigref Working Group_2024</w:t>
        </w:r>
        <w:r w:rsidR="00DE4E1C" w:rsidRPr="0073200E">
          <w:rPr>
            <w:webHidden/>
          </w:rPr>
          <w:tab/>
        </w:r>
        <w:r w:rsidR="00DE4E1C" w:rsidRPr="0073200E">
          <w:rPr>
            <w:webHidden/>
          </w:rPr>
          <w:fldChar w:fldCharType="begin"/>
        </w:r>
        <w:r w:rsidR="00DE4E1C" w:rsidRPr="0073200E">
          <w:rPr>
            <w:webHidden/>
          </w:rPr>
          <w:instrText xml:space="preserve"> PAGEREF _Toc230192046 \h </w:instrText>
        </w:r>
        <w:r w:rsidR="00DE4E1C" w:rsidRPr="0073200E">
          <w:rPr>
            <w:webHidden/>
          </w:rPr>
        </w:r>
        <w:r w:rsidR="00DE4E1C" w:rsidRPr="0073200E">
          <w:rPr>
            <w:webHidden/>
          </w:rPr>
          <w:fldChar w:fldCharType="separate"/>
        </w:r>
        <w:r w:rsidR="00F84313">
          <w:rPr>
            <w:webHidden/>
          </w:rPr>
          <w:t>3</w:t>
        </w:r>
        <w:r w:rsidR="00FA3BFF">
          <w:rPr>
            <w:webHidden/>
          </w:rPr>
          <w:t>5</w:t>
        </w:r>
        <w:r w:rsidR="00DE4E1C" w:rsidRPr="0073200E">
          <w:rPr>
            <w:webHidden/>
          </w:rPr>
          <w:fldChar w:fldCharType="end"/>
        </w:r>
      </w:hyperlink>
    </w:p>
    <w:p w14:paraId="7FCECE34" w14:textId="232EBFA7" w:rsidR="00DE4E1C" w:rsidRPr="0088025E" w:rsidRDefault="00DE4E1C">
      <w:pPr>
        <w:pStyle w:val="Tabledesillustrations"/>
        <w:rPr>
          <w:rFonts w:eastAsiaTheme="minorEastAsia"/>
          <w:b w:val="0"/>
          <w:kern w:val="2"/>
          <w:sz w:val="24"/>
          <w:szCs w:val="24"/>
          <w:lang w:val="en-GB" w:eastAsia="fr-FR"/>
          <w14:ligatures w14:val="standardContextual"/>
        </w:rPr>
      </w:pPr>
      <w:r w:rsidRPr="0088025E">
        <w:rPr>
          <w:rStyle w:val="Lienhypertexte"/>
          <w:color w:val="4B5943"/>
          <w:u w:val="none"/>
          <w:lang w:val="en-GB"/>
        </w:rPr>
        <w:t xml:space="preserve">®Caisse des </w:t>
      </w:r>
      <w:hyperlink w:anchor="_Toc230192047" w:history="1">
        <w:r w:rsidRPr="0088025E">
          <w:rPr>
            <w:rStyle w:val="Lienhypertexte"/>
            <w:color w:val="4B5943"/>
            <w:lang w:val="en-GB"/>
          </w:rPr>
          <w:t>Dépôts_Flowchart of scenarios</w:t>
        </w:r>
        <w:r w:rsidRPr="0088025E">
          <w:rPr>
            <w:webHidden/>
            <w:lang w:val="en-GB"/>
          </w:rPr>
          <w:tab/>
        </w:r>
        <w:r w:rsidR="00FA3BFF">
          <w:rPr>
            <w:webHidden/>
            <w:lang w:val="en-GB"/>
          </w:rPr>
          <w:t>41</w:t>
        </w:r>
      </w:hyperlink>
    </w:p>
    <w:p w14:paraId="3313BE95" w14:textId="3BC99687" w:rsidR="006A501E" w:rsidRPr="0088025E" w:rsidRDefault="00273DFD" w:rsidP="007B2E61">
      <w:pPr>
        <w:rPr>
          <w:rFonts w:eastAsia="Times New Roman"/>
          <w:lang w:val="en-GB" w:eastAsia="fr-FR"/>
        </w:rPr>
      </w:pPr>
      <w:r w:rsidRPr="0073200E">
        <w:rPr>
          <w:rFonts w:eastAsia="Times New Roman"/>
          <w:b/>
          <w:caps/>
          <w:noProof/>
          <w:color w:val="385623" w:themeColor="accent6" w:themeShade="80"/>
          <w:lang w:val="en-US" w:eastAsia="fr-FR"/>
        </w:rPr>
        <w:fldChar w:fldCharType="end"/>
      </w:r>
    </w:p>
    <w:p w14:paraId="288172FB" w14:textId="77777777" w:rsidR="00511139" w:rsidRPr="0088025E" w:rsidRDefault="00511139" w:rsidP="00F25788">
      <w:pPr>
        <w:pStyle w:val="En-ttedetabledesmatires"/>
        <w:pBdr>
          <w:left w:val="single" w:sz="48" w:space="0" w:color="FFFFFF" w:themeColor="background1"/>
        </w:pBdr>
        <w:rPr>
          <w:lang w:val="en-GB"/>
        </w:rPr>
      </w:pPr>
      <w:r w:rsidRPr="0088025E">
        <w:rPr>
          <w:lang w:val="en-GB"/>
        </w:rPr>
        <w:br w:type="page"/>
      </w:r>
    </w:p>
    <w:p w14:paraId="178322F6" w14:textId="43A0CA32" w:rsidR="007B2E61" w:rsidRPr="0088025E" w:rsidRDefault="00146BDE" w:rsidP="00F25788">
      <w:pPr>
        <w:pStyle w:val="En-ttedetabledesmatires"/>
        <w:pBdr>
          <w:left w:val="single" w:sz="48" w:space="0" w:color="FFFFFF" w:themeColor="background1"/>
        </w:pBdr>
        <w:rPr>
          <w:lang w:val="en-GB"/>
        </w:rPr>
      </w:pPr>
      <w:r>
        <w:rPr>
          <w:lang w:val="en-GB"/>
        </w:rPr>
        <w:lastRenderedPageBreak/>
        <w:t>TABLE OF INSETS</w:t>
      </w:r>
      <w:r w:rsidR="007B2E61" w:rsidRPr="0088025E">
        <w:rPr>
          <w:lang w:val="en-GB"/>
        </w:rPr>
        <w:t xml:space="preserve"> </w:t>
      </w:r>
    </w:p>
    <w:p w14:paraId="726B9468" w14:textId="2EF81820" w:rsidR="000052B0" w:rsidRPr="000052B0" w:rsidRDefault="007B2E61" w:rsidP="000052B0">
      <w:pPr>
        <w:pStyle w:val="Tabledesillustrations"/>
        <w:ind w:left="0" w:firstLine="0"/>
        <w:rPr>
          <w:rStyle w:val="Lienhypertexte"/>
          <w:b w:val="0"/>
          <w:bCs/>
          <w:color w:val="auto"/>
          <w:u w:val="none"/>
          <w:lang w:val="fr-FR"/>
        </w:rPr>
      </w:pPr>
      <w:r w:rsidRPr="002346E1">
        <w:rPr>
          <w:rStyle w:val="Lienhypertexte"/>
          <w:b w:val="0"/>
        </w:rPr>
        <w:fldChar w:fldCharType="begin"/>
      </w:r>
      <w:r w:rsidRPr="000052B0">
        <w:rPr>
          <w:rStyle w:val="Lienhypertexte"/>
          <w:b w:val="0"/>
          <w:lang w:val="fr-FR"/>
        </w:rPr>
        <w:instrText xml:space="preserve"> TOC \h \z \t "Titre Encart" \c </w:instrText>
      </w:r>
      <w:r w:rsidRPr="002346E1">
        <w:rPr>
          <w:rStyle w:val="Lienhypertexte"/>
          <w:b w:val="0"/>
        </w:rPr>
        <w:fldChar w:fldCharType="separate"/>
      </w:r>
      <w:hyperlink w:anchor="_Toc230257723" w:history="1">
        <w:r w:rsidR="00F25788" w:rsidRPr="000052B0">
          <w:rPr>
            <w:rStyle w:val="Lienhypertexte"/>
            <w:lang w:val="fr-FR"/>
          </w:rPr>
          <w:t xml:space="preserve">ENEDIS </w:t>
        </w:r>
        <w:r w:rsidR="000052B0">
          <w:rPr>
            <w:rStyle w:val="Lienhypertexte"/>
            <w:lang w:val="fr-FR"/>
          </w:rPr>
          <w:t xml:space="preserve">: </w:t>
        </w:r>
        <w:r w:rsidR="00BC6937">
          <w:rPr>
            <w:rStyle w:val="Lienhypertexte"/>
            <w:b w:val="0"/>
            <w:bCs/>
            <w:lang w:val="fr-FR"/>
          </w:rPr>
          <w:t>D</w:t>
        </w:r>
        <w:r w:rsidR="000052B0" w:rsidRPr="002B1C27">
          <w:rPr>
            <w:rStyle w:val="Lienhypertexte"/>
            <w:b w:val="0"/>
            <w:bCs/>
            <w:lang w:val="fr-FR"/>
          </w:rPr>
          <w:t>igital accessibility management at Enedis</w:t>
        </w:r>
        <w:r w:rsidR="00F25788" w:rsidRPr="000052B0">
          <w:rPr>
            <w:webHidden/>
            <w:lang w:val="fr-FR"/>
          </w:rPr>
          <w:tab/>
        </w:r>
        <w:r w:rsidR="005C5DEE">
          <w:rPr>
            <w:webHidden/>
          </w:rPr>
          <w:t>2</w:t>
        </w:r>
      </w:hyperlink>
      <w:r w:rsidR="00BC6937">
        <w:t>1</w:t>
      </w:r>
    </w:p>
    <w:p w14:paraId="4A41B2CC" w14:textId="5D9D7E00" w:rsidR="00F25788" w:rsidRDefault="00F25788">
      <w:pPr>
        <w:pStyle w:val="Tabledesillustrations"/>
        <w:rPr>
          <w:rFonts w:eastAsiaTheme="minorEastAsia"/>
          <w:b w:val="0"/>
          <w:color w:val="auto"/>
          <w:kern w:val="2"/>
          <w:sz w:val="24"/>
          <w:szCs w:val="24"/>
          <w:lang w:val="fr-FR" w:eastAsia="fr-FR"/>
          <w14:ligatures w14:val="standardContextual"/>
        </w:rPr>
      </w:pPr>
      <w:hyperlink w:anchor="_Toc230257724" w:history="1">
        <w:r w:rsidRPr="003866EE">
          <w:rPr>
            <w:rStyle w:val="Lienhypertexte"/>
          </w:rPr>
          <w:t xml:space="preserve">ENEDIS </w:t>
        </w:r>
        <w:r w:rsidR="0088025E">
          <w:rPr>
            <w:rStyle w:val="Lienhypertexte"/>
            <w:b w:val="0"/>
            <w:bCs/>
          </w:rPr>
          <w:t xml:space="preserve">: </w:t>
        </w:r>
        <w:r w:rsidR="0088025E" w:rsidRPr="0088025E">
          <w:rPr>
            <w:rStyle w:val="Lienhypertexte"/>
            <w:b w:val="0"/>
            <w:bCs/>
          </w:rPr>
          <w:t>Role and responsibilities of Enedis’s digital accessibility lead</w:t>
        </w:r>
        <w:r w:rsidR="000052B0" w:rsidRPr="002B1C27">
          <w:rPr>
            <w:rStyle w:val="Lienhypertexte"/>
            <w:b w:val="0"/>
            <w:bCs/>
          </w:rPr>
          <w:t>, digital accessibility at Enedis</w:t>
        </w:r>
        <w:r>
          <w:rPr>
            <w:webHidden/>
          </w:rPr>
          <w:tab/>
        </w:r>
        <w:r>
          <w:rPr>
            <w:webHidden/>
          </w:rPr>
          <w:fldChar w:fldCharType="begin"/>
        </w:r>
        <w:r>
          <w:rPr>
            <w:webHidden/>
          </w:rPr>
          <w:instrText xml:space="preserve"> PAGEREF _Toc230257724 \h </w:instrText>
        </w:r>
        <w:r>
          <w:rPr>
            <w:webHidden/>
          </w:rPr>
        </w:r>
        <w:r>
          <w:rPr>
            <w:webHidden/>
          </w:rPr>
          <w:fldChar w:fldCharType="separate"/>
        </w:r>
        <w:r w:rsidR="000052B0">
          <w:rPr>
            <w:webHidden/>
          </w:rPr>
          <w:t>2</w:t>
        </w:r>
        <w:r>
          <w:rPr>
            <w:webHidden/>
          </w:rPr>
          <w:fldChar w:fldCharType="end"/>
        </w:r>
      </w:hyperlink>
      <w:r w:rsidR="00BC6937">
        <w:t>6</w:t>
      </w:r>
    </w:p>
    <w:p w14:paraId="557509A9" w14:textId="1D8107D5" w:rsidR="00F25788" w:rsidRDefault="00F25788">
      <w:pPr>
        <w:pStyle w:val="Tabledesillustrations"/>
        <w:rPr>
          <w:rFonts w:eastAsiaTheme="minorEastAsia"/>
          <w:b w:val="0"/>
          <w:color w:val="auto"/>
          <w:kern w:val="2"/>
          <w:sz w:val="24"/>
          <w:szCs w:val="24"/>
          <w:lang w:val="fr-FR" w:eastAsia="fr-FR"/>
          <w14:ligatures w14:val="standardContextual"/>
        </w:rPr>
      </w:pPr>
      <w:hyperlink w:anchor="_Toc230257725" w:history="1">
        <w:r w:rsidRPr="003866EE">
          <w:rPr>
            <w:rStyle w:val="Lienhypertexte"/>
          </w:rPr>
          <w:t xml:space="preserve">EQUANS </w:t>
        </w:r>
        <w:r w:rsidR="000052B0" w:rsidRPr="002B1C27">
          <w:rPr>
            <w:rStyle w:val="Lienhypertexte"/>
            <w:b w:val="0"/>
            <w:bCs/>
          </w:rPr>
          <w:t xml:space="preserve">: </w:t>
        </w:r>
        <w:r w:rsidR="00BC6937">
          <w:rPr>
            <w:rStyle w:val="Lienhypertexte"/>
            <w:b w:val="0"/>
            <w:bCs/>
          </w:rPr>
          <w:t>D</w:t>
        </w:r>
        <w:r w:rsidR="000052B0" w:rsidRPr="002B1C27">
          <w:rPr>
            <w:rStyle w:val="Lienhypertexte"/>
            <w:b w:val="0"/>
            <w:bCs/>
          </w:rPr>
          <w:t>igital accessibility approach at Equans</w:t>
        </w:r>
        <w:r>
          <w:rPr>
            <w:webHidden/>
          </w:rPr>
          <w:tab/>
        </w:r>
        <w:r w:rsidR="005C5DEE">
          <w:rPr>
            <w:webHidden/>
          </w:rPr>
          <w:t>3</w:t>
        </w:r>
        <w:r w:rsidR="00BC6937">
          <w:rPr>
            <w:webHidden/>
          </w:rPr>
          <w:t>1</w:t>
        </w:r>
      </w:hyperlink>
    </w:p>
    <w:p w14:paraId="0600722A" w14:textId="6467EAAB" w:rsidR="00F25788" w:rsidRDefault="004F31C5">
      <w:pPr>
        <w:pStyle w:val="Tabledesillustrations"/>
        <w:rPr>
          <w:rFonts w:eastAsiaTheme="minorEastAsia"/>
          <w:b w:val="0"/>
          <w:color w:val="auto"/>
          <w:kern w:val="2"/>
          <w:sz w:val="24"/>
          <w:szCs w:val="24"/>
          <w:lang w:val="fr-FR" w:eastAsia="fr-FR"/>
          <w14:ligatures w14:val="standardContextual"/>
        </w:rPr>
      </w:pPr>
      <w:hyperlink w:anchor="_Toc230257726" w:history="1">
        <w:r w:rsidRPr="004F31C5">
          <w:t>Direction du Numérique des Ministères de la Transition écologique et de l’Aménagement des territoires</w:t>
        </w:r>
        <w:r>
          <w:t xml:space="preserve"> </w:t>
        </w:r>
        <w:r w:rsidR="000052B0" w:rsidRPr="002B1C27">
          <w:rPr>
            <w:rStyle w:val="Lienhypertexte"/>
            <w:b w:val="0"/>
            <w:bCs/>
          </w:rPr>
          <w:t xml:space="preserve">: </w:t>
        </w:r>
        <w:r w:rsidR="00BC6937">
          <w:rPr>
            <w:rStyle w:val="Lienhypertexte"/>
            <w:b w:val="0"/>
            <w:bCs/>
          </w:rPr>
          <w:t>A</w:t>
        </w:r>
        <w:r w:rsidR="000052B0" w:rsidRPr="002B1C27">
          <w:rPr>
            <w:rStyle w:val="Lienhypertexte"/>
            <w:b w:val="0"/>
            <w:bCs/>
          </w:rPr>
          <w:t>nalysis of the current situation and definition of the target audiences for the accessibility approach</w:t>
        </w:r>
        <w:r w:rsidR="00F25788">
          <w:rPr>
            <w:webHidden/>
          </w:rPr>
          <w:tab/>
        </w:r>
        <w:r w:rsidR="005C5DEE">
          <w:rPr>
            <w:webHidden/>
          </w:rPr>
          <w:t>3</w:t>
        </w:r>
      </w:hyperlink>
      <w:r w:rsidR="00BC6937">
        <w:t>3</w:t>
      </w:r>
    </w:p>
    <w:p w14:paraId="5A285999" w14:textId="4959A9AE" w:rsidR="00F25788" w:rsidRDefault="00F25788" w:rsidP="00511139">
      <w:pPr>
        <w:pStyle w:val="Tabledesillustrations"/>
      </w:pPr>
      <w:hyperlink w:anchor="_Toc230257727" w:history="1">
        <w:r w:rsidRPr="003866EE">
          <w:rPr>
            <w:rStyle w:val="Lienhypertexte"/>
          </w:rPr>
          <w:t>Caisse des Dépôts</w:t>
        </w:r>
        <w:r w:rsidR="002B1C27" w:rsidRPr="002B1C27">
          <w:rPr>
            <w:rStyle w:val="Lienhypertexte"/>
            <w:b w:val="0"/>
            <w:bCs/>
          </w:rPr>
          <w:t>:</w:t>
        </w:r>
        <w:r w:rsidR="002B1C27" w:rsidRPr="002B1C27">
          <w:rPr>
            <w:b w:val="0"/>
            <w:bCs/>
          </w:rPr>
          <w:t xml:space="preserve"> </w:t>
        </w:r>
        <w:r w:rsidR="002B1C27">
          <w:rPr>
            <w:rStyle w:val="Lienhypertexte"/>
          </w:rPr>
          <w:t xml:space="preserve">: </w:t>
        </w:r>
        <w:r w:rsidR="00BC6937">
          <w:rPr>
            <w:rStyle w:val="Lienhypertexte"/>
            <w:b w:val="0"/>
            <w:bCs/>
          </w:rPr>
          <w:t>D</w:t>
        </w:r>
        <w:r w:rsidR="002B1C27" w:rsidRPr="002B1C27">
          <w:rPr>
            <w:rStyle w:val="Lienhypertexte"/>
            <w:b w:val="0"/>
            <w:bCs/>
          </w:rPr>
          <w:t>evelopment of a multi-year plan</w:t>
        </w:r>
        <w:r>
          <w:rPr>
            <w:webHidden/>
          </w:rPr>
          <w:tab/>
        </w:r>
        <w:r w:rsidR="005C5DEE">
          <w:rPr>
            <w:webHidden/>
          </w:rPr>
          <w:t>3</w:t>
        </w:r>
      </w:hyperlink>
      <w:r w:rsidR="00BC6937">
        <w:t>4</w:t>
      </w:r>
    </w:p>
    <w:p w14:paraId="489B5CD5" w14:textId="3D6EFFA4" w:rsidR="00511139" w:rsidRPr="00BC6937" w:rsidRDefault="00AB6053" w:rsidP="00511139">
      <w:pPr>
        <w:pStyle w:val="Tabledesillustrations"/>
        <w:rPr>
          <w:rStyle w:val="Lienhypertexte"/>
          <w:rFonts w:eastAsiaTheme="minorEastAsia"/>
          <w:b w:val="0"/>
          <w:i/>
          <w:iCs/>
          <w:kern w:val="2"/>
          <w:sz w:val="24"/>
          <w:szCs w:val="24"/>
          <w:lang w:val="fr-FR" w:eastAsia="fr-FR"/>
          <w14:ligatures w14:val="standardContextual"/>
        </w:rPr>
      </w:pPr>
      <w:r w:rsidRPr="00BC6937">
        <w:rPr>
          <w:bCs/>
          <w:i/>
          <w:iCs/>
        </w:rPr>
        <w:fldChar w:fldCharType="begin"/>
      </w:r>
      <w:r w:rsidRPr="00BC6937">
        <w:rPr>
          <w:bCs/>
          <w:i/>
          <w:iCs/>
        </w:rPr>
        <w:instrText>HYPERLINK "https://youtu.be/NR3sSixtnD0"</w:instrText>
      </w:r>
      <w:r w:rsidRPr="00BC6937">
        <w:rPr>
          <w:bCs/>
          <w:i/>
          <w:iCs/>
        </w:rPr>
      </w:r>
      <w:r w:rsidRPr="00BC6937">
        <w:rPr>
          <w:bCs/>
          <w:i/>
          <w:iCs/>
        </w:rPr>
        <w:fldChar w:fldCharType="separate"/>
      </w:r>
      <w:r w:rsidR="00511139" w:rsidRPr="00BC6937">
        <w:rPr>
          <w:rStyle w:val="Lienhypertexte"/>
          <w:bCs/>
          <w:i/>
          <w:iCs/>
        </w:rPr>
        <w:t>Video testimonial</w:t>
      </w:r>
      <w:r w:rsidR="00511139" w:rsidRPr="00BC6937">
        <w:rPr>
          <w:rStyle w:val="Lienhypertexte"/>
          <w:b w:val="0"/>
          <w:i/>
          <w:iCs/>
        </w:rPr>
        <w:t xml:space="preserve">: </w:t>
      </w:r>
      <w:r w:rsidR="00262FAF" w:rsidRPr="00BC6937">
        <w:rPr>
          <w:rStyle w:val="Lienhypertexte"/>
          <w:b w:val="0"/>
          <w:i/>
          <w:iCs/>
        </w:rPr>
        <w:t>“</w:t>
      </w:r>
      <w:r w:rsidR="00511139" w:rsidRPr="00BC6937">
        <w:rPr>
          <w:rStyle w:val="Lienhypertexte"/>
          <w:b w:val="0"/>
          <w:i/>
          <w:iCs/>
        </w:rPr>
        <w:t>Digital accessibility in everyday life: testimonial and demonstration by Jamshid Kohandel</w:t>
      </w:r>
      <w:r w:rsidR="00262FAF" w:rsidRPr="00BC6937">
        <w:rPr>
          <w:rStyle w:val="Lienhypertexte"/>
          <w:b w:val="0"/>
          <w:i/>
          <w:iCs/>
        </w:rPr>
        <w:t>”</w:t>
      </w:r>
      <w:r w:rsidR="00511139" w:rsidRPr="00BC6937">
        <w:rPr>
          <w:rStyle w:val="Lienhypertexte"/>
          <w:b w:val="0"/>
          <w:i/>
          <w:iCs/>
        </w:rPr>
        <w:t xml:space="preserve"> </w:t>
      </w:r>
      <w:r w:rsidR="00511139" w:rsidRPr="00BC6937">
        <w:rPr>
          <w:rStyle w:val="Lienhypertexte"/>
          <w:i/>
          <w:iCs/>
          <w:webHidden/>
        </w:rPr>
        <w:tab/>
        <w:t>3</w:t>
      </w:r>
      <w:r w:rsidR="00BC6937" w:rsidRPr="00BC6937">
        <w:rPr>
          <w:rStyle w:val="Lienhypertexte"/>
          <w:i/>
          <w:iCs/>
          <w:webHidden/>
        </w:rPr>
        <w:t>6</w:t>
      </w:r>
    </w:p>
    <w:p w14:paraId="59022017" w14:textId="374AC37A" w:rsidR="00F25788" w:rsidRDefault="00AB6053">
      <w:pPr>
        <w:pStyle w:val="Tabledesillustrations"/>
        <w:rPr>
          <w:rFonts w:eastAsiaTheme="minorEastAsia"/>
          <w:b w:val="0"/>
          <w:color w:val="auto"/>
          <w:kern w:val="2"/>
          <w:sz w:val="24"/>
          <w:szCs w:val="24"/>
          <w:lang w:val="fr-FR" w:eastAsia="fr-FR"/>
          <w14:ligatures w14:val="standardContextual"/>
        </w:rPr>
      </w:pPr>
      <w:r w:rsidRPr="00BC6937">
        <w:rPr>
          <w:bCs/>
          <w:i/>
          <w:iCs/>
        </w:rPr>
        <w:fldChar w:fldCharType="end"/>
      </w:r>
      <w:hyperlink w:anchor="_Toc230257728" w:history="1">
        <w:r w:rsidR="00F25788" w:rsidRPr="003866EE">
          <w:rPr>
            <w:rStyle w:val="Lienhypertexte"/>
          </w:rPr>
          <w:t>DINUM</w:t>
        </w:r>
        <w:r w:rsidR="002B1C27" w:rsidRPr="002B1C27">
          <w:rPr>
            <w:rStyle w:val="Lienhypertexte"/>
            <w:b w:val="0"/>
            <w:bCs/>
          </w:rPr>
          <w:t xml:space="preserve"> : </w:t>
        </w:r>
        <w:r w:rsidR="002B1C27">
          <w:rPr>
            <w:rStyle w:val="Lienhypertexte"/>
            <w:b w:val="0"/>
            <w:bCs/>
          </w:rPr>
          <w:t xml:space="preserve"> : </w:t>
        </w:r>
        <w:r w:rsidR="00BC6937">
          <w:rPr>
            <w:rStyle w:val="Lienhypertexte"/>
            <w:b w:val="0"/>
            <w:bCs/>
          </w:rPr>
          <w:t>O</w:t>
        </w:r>
        <w:r w:rsidR="002B1C27" w:rsidRPr="002B1C27">
          <w:rPr>
            <w:rStyle w:val="Lienhypertexte"/>
            <w:b w:val="0"/>
            <w:bCs/>
          </w:rPr>
          <w:t>versight and coordination of the accessibility initiative across several organisations</w:t>
        </w:r>
        <w:r w:rsidR="00F25788">
          <w:rPr>
            <w:webHidden/>
          </w:rPr>
          <w:tab/>
        </w:r>
        <w:r w:rsidR="005C5DEE">
          <w:rPr>
            <w:webHidden/>
          </w:rPr>
          <w:t>3</w:t>
        </w:r>
      </w:hyperlink>
      <w:r w:rsidR="00BC6937">
        <w:t>7</w:t>
      </w:r>
    </w:p>
    <w:p w14:paraId="41960692" w14:textId="2565113E" w:rsidR="00F25788" w:rsidRDefault="004F31C5">
      <w:pPr>
        <w:pStyle w:val="Tabledesillustrations"/>
        <w:rPr>
          <w:rFonts w:eastAsiaTheme="minorEastAsia"/>
          <w:b w:val="0"/>
          <w:color w:val="auto"/>
          <w:kern w:val="2"/>
          <w:sz w:val="24"/>
          <w:szCs w:val="24"/>
          <w:lang w:val="fr-FR" w:eastAsia="fr-FR"/>
          <w14:ligatures w14:val="standardContextual"/>
        </w:rPr>
      </w:pPr>
      <w:hyperlink w:anchor="_Toc230257729" w:history="1">
        <w:r w:rsidRPr="004F31C5">
          <w:t>Direction du Numérique des Ministères de la Transition écologique et de l’Aménagement des territoires</w:t>
        </w:r>
        <w:r w:rsidR="002B1C27" w:rsidRPr="002B1C27">
          <w:rPr>
            <w:rStyle w:val="Lienhypertexte"/>
            <w:b w:val="0"/>
            <w:bCs/>
          </w:rPr>
          <w:t xml:space="preserve"> : </w:t>
        </w:r>
        <w:r w:rsidR="002B1C27">
          <w:rPr>
            <w:rStyle w:val="Lienhypertexte"/>
            <w:b w:val="0"/>
            <w:bCs/>
          </w:rPr>
          <w:t xml:space="preserve"> </w:t>
        </w:r>
        <w:r w:rsidR="00BC6937">
          <w:rPr>
            <w:rStyle w:val="Lienhypertexte"/>
            <w:b w:val="0"/>
            <w:bCs/>
          </w:rPr>
          <w:t>A</w:t>
        </w:r>
        <w:r w:rsidR="002B1C27" w:rsidRPr="002B1C27">
          <w:rPr>
            <w:rStyle w:val="Lienhypertexte"/>
            <w:b w:val="0"/>
            <w:bCs/>
          </w:rPr>
          <w:t xml:space="preserve"> structured governance framework for scaling up</w:t>
        </w:r>
        <w:r w:rsidR="00F25788">
          <w:rPr>
            <w:webHidden/>
          </w:rPr>
          <w:tab/>
        </w:r>
        <w:r w:rsidR="00BC6937">
          <w:rPr>
            <w:webHidden/>
          </w:rPr>
          <w:t>38</w:t>
        </w:r>
      </w:hyperlink>
    </w:p>
    <w:p w14:paraId="3386DE50" w14:textId="6F880E91" w:rsidR="00F25788" w:rsidRDefault="00F25788">
      <w:pPr>
        <w:pStyle w:val="Tabledesillustrations"/>
        <w:rPr>
          <w:rFonts w:eastAsiaTheme="minorEastAsia"/>
          <w:b w:val="0"/>
          <w:color w:val="auto"/>
          <w:kern w:val="2"/>
          <w:sz w:val="24"/>
          <w:szCs w:val="24"/>
          <w:lang w:val="fr-FR" w:eastAsia="fr-FR"/>
          <w14:ligatures w14:val="standardContextual"/>
        </w:rPr>
      </w:pPr>
      <w:hyperlink w:anchor="_Toc230257730" w:history="1">
        <w:r w:rsidRPr="003866EE">
          <w:rPr>
            <w:rStyle w:val="Lienhypertexte"/>
          </w:rPr>
          <w:t>Caisse des Dépôts</w:t>
        </w:r>
        <w:r w:rsidR="002B1C27" w:rsidRPr="002B1C27">
          <w:rPr>
            <w:rStyle w:val="Lienhypertexte"/>
            <w:b w:val="0"/>
            <w:bCs/>
          </w:rPr>
          <w:t xml:space="preserve">: </w:t>
        </w:r>
        <w:r w:rsidR="002B1C27">
          <w:rPr>
            <w:b w:val="0"/>
            <w:bCs/>
          </w:rPr>
          <w:t xml:space="preserve"> </w:t>
        </w:r>
        <w:r w:rsidR="00BC6937">
          <w:rPr>
            <w:b w:val="0"/>
            <w:bCs/>
          </w:rPr>
          <w:t>P</w:t>
        </w:r>
        <w:r w:rsidR="002B1C27" w:rsidRPr="002B1C27">
          <w:rPr>
            <w:b w:val="0"/>
            <w:bCs/>
          </w:rPr>
          <w:t>reliminary project methodology</w:t>
        </w:r>
        <w:r>
          <w:rPr>
            <w:webHidden/>
          </w:rPr>
          <w:tab/>
        </w:r>
        <w:r w:rsidR="00B83DBC">
          <w:rPr>
            <w:webHidden/>
          </w:rPr>
          <w:t>4</w:t>
        </w:r>
      </w:hyperlink>
      <w:r w:rsidR="00BC6937">
        <w:t>0</w:t>
      </w:r>
    </w:p>
    <w:p w14:paraId="580B83A5" w14:textId="0FD62832" w:rsidR="00F25788" w:rsidRDefault="00F25788">
      <w:pPr>
        <w:pStyle w:val="Tabledesillustrations"/>
        <w:rPr>
          <w:rFonts w:eastAsiaTheme="minorEastAsia"/>
          <w:b w:val="0"/>
          <w:color w:val="auto"/>
          <w:kern w:val="2"/>
          <w:sz w:val="24"/>
          <w:szCs w:val="24"/>
          <w:lang w:val="fr-FR" w:eastAsia="fr-FR"/>
          <w14:ligatures w14:val="standardContextual"/>
        </w:rPr>
      </w:pPr>
      <w:hyperlink w:anchor="_Toc230257731" w:history="1">
        <w:r w:rsidRPr="003866EE">
          <w:rPr>
            <w:rStyle w:val="Lienhypertexte"/>
          </w:rPr>
          <w:t>La POSTE GROUPE</w:t>
        </w:r>
        <w:r w:rsidR="002B1C27" w:rsidRPr="002B1C27">
          <w:rPr>
            <w:rStyle w:val="Lienhypertexte"/>
            <w:b w:val="0"/>
            <w:bCs/>
          </w:rPr>
          <w:t xml:space="preserve"> : </w:t>
        </w:r>
        <w:r w:rsidR="002B1C27">
          <w:rPr>
            <w:rStyle w:val="Lienhypertexte"/>
            <w:b w:val="0"/>
            <w:bCs/>
          </w:rPr>
          <w:t xml:space="preserve"> </w:t>
        </w:r>
        <w:r w:rsidR="00BC6937">
          <w:rPr>
            <w:rStyle w:val="Lienhypertexte"/>
            <w:b w:val="0"/>
            <w:bCs/>
          </w:rPr>
          <w:t>C</w:t>
        </w:r>
        <w:r w:rsidR="002B1C27" w:rsidRPr="002B1C27">
          <w:rPr>
            <w:rStyle w:val="Lienhypertexte"/>
            <w:b w:val="0"/>
            <w:bCs/>
          </w:rPr>
          <w:t>riteria applied during procurement processes for the AN side of i-TEAM, regardless of the IT procurement area</w:t>
        </w:r>
        <w:r>
          <w:rPr>
            <w:webHidden/>
          </w:rPr>
          <w:tab/>
        </w:r>
        <w:r w:rsidR="005C5DEE">
          <w:rPr>
            <w:webHidden/>
          </w:rPr>
          <w:t>4</w:t>
        </w:r>
        <w:r w:rsidR="00BC6937">
          <w:rPr>
            <w:webHidden/>
          </w:rPr>
          <w:t>2</w:t>
        </w:r>
      </w:hyperlink>
    </w:p>
    <w:p w14:paraId="4CC62FF3" w14:textId="2B4EC004" w:rsidR="00F25788" w:rsidRDefault="004F31C5">
      <w:pPr>
        <w:pStyle w:val="Tabledesillustrations"/>
        <w:rPr>
          <w:rFonts w:eastAsiaTheme="minorEastAsia"/>
          <w:b w:val="0"/>
          <w:color w:val="auto"/>
          <w:kern w:val="2"/>
          <w:sz w:val="24"/>
          <w:szCs w:val="24"/>
          <w:lang w:val="fr-FR" w:eastAsia="fr-FR"/>
          <w14:ligatures w14:val="standardContextual"/>
        </w:rPr>
      </w:pPr>
      <w:hyperlink w:anchor="_Toc230257732" w:history="1">
        <w:r w:rsidRPr="004F31C5">
          <w:t>Direction du Numérique des Ministères de la Transition écologique et de l’Aménagement des territoires</w:t>
        </w:r>
        <w:r w:rsidR="002B1C27" w:rsidRPr="002B1C27">
          <w:rPr>
            <w:rStyle w:val="Lienhypertexte"/>
            <w:b w:val="0"/>
          </w:rPr>
          <w:t xml:space="preserve">: </w:t>
        </w:r>
        <w:r w:rsidR="00005161">
          <w:rPr>
            <w:rStyle w:val="Lienhypertexte"/>
            <w:b w:val="0"/>
          </w:rPr>
          <w:t xml:space="preserve"> </w:t>
        </w:r>
        <w:r w:rsidR="00BC6937">
          <w:rPr>
            <w:rStyle w:val="Lienhypertexte"/>
            <w:b w:val="0"/>
          </w:rPr>
          <w:t>S</w:t>
        </w:r>
        <w:r w:rsidR="002B1C27" w:rsidRPr="002B1C27">
          <w:rPr>
            <w:rStyle w:val="Lienhypertexte"/>
            <w:b w:val="0"/>
          </w:rPr>
          <w:t>ome priority actions for the redesign of a website</w:t>
        </w:r>
        <w:r w:rsidR="00F25788">
          <w:rPr>
            <w:webHidden/>
          </w:rPr>
          <w:tab/>
        </w:r>
        <w:r w:rsidR="00F25788">
          <w:rPr>
            <w:webHidden/>
          </w:rPr>
          <w:fldChar w:fldCharType="begin"/>
        </w:r>
        <w:r w:rsidR="00F25788">
          <w:rPr>
            <w:webHidden/>
          </w:rPr>
          <w:instrText xml:space="preserve"> PAGEREF _Toc230257732 \h </w:instrText>
        </w:r>
        <w:r w:rsidR="00F25788">
          <w:rPr>
            <w:webHidden/>
          </w:rPr>
        </w:r>
        <w:r w:rsidR="00F25788">
          <w:rPr>
            <w:webHidden/>
          </w:rPr>
          <w:fldChar w:fldCharType="separate"/>
        </w:r>
        <w:r w:rsidR="000052B0">
          <w:rPr>
            <w:webHidden/>
          </w:rPr>
          <w:t>4</w:t>
        </w:r>
        <w:r w:rsidR="00F25788">
          <w:rPr>
            <w:webHidden/>
          </w:rPr>
          <w:fldChar w:fldCharType="end"/>
        </w:r>
      </w:hyperlink>
      <w:r w:rsidR="00BC6937">
        <w:t>6</w:t>
      </w:r>
    </w:p>
    <w:p w14:paraId="6A2A6367" w14:textId="46A22144" w:rsidR="00F25788" w:rsidRDefault="0014347D">
      <w:pPr>
        <w:pStyle w:val="Tabledesillustrations"/>
        <w:rPr>
          <w:rFonts w:eastAsiaTheme="minorEastAsia"/>
          <w:b w:val="0"/>
          <w:color w:val="auto"/>
          <w:kern w:val="2"/>
          <w:sz w:val="24"/>
          <w:szCs w:val="24"/>
          <w:lang w:val="fr-FR" w:eastAsia="fr-FR"/>
          <w14:ligatures w14:val="standardContextual"/>
        </w:rPr>
      </w:pPr>
      <w:hyperlink w:anchor="_Toc230257733" w:history="1">
        <w:r w:rsidRPr="00F4758C">
          <w:rPr>
            <w:bCs/>
            <w:lang w:val="en-GB"/>
          </w:rPr>
          <w:t>Minist</w:t>
        </w:r>
        <w:r>
          <w:rPr>
            <w:bCs/>
            <w:lang w:val="en-GB"/>
          </w:rPr>
          <w:t>ère de l’Intérieur</w:t>
        </w:r>
        <w:r w:rsidR="00005161">
          <w:rPr>
            <w:rStyle w:val="Lienhypertexte"/>
            <w:b w:val="0"/>
          </w:rPr>
          <w:t xml:space="preserve"> </w:t>
        </w:r>
        <w:r w:rsidR="00005161">
          <w:rPr>
            <w:rStyle w:val="Lienhypertexte"/>
            <w:bCs/>
          </w:rPr>
          <w:t xml:space="preserve">: </w:t>
        </w:r>
        <w:r w:rsidR="00BC6937">
          <w:rPr>
            <w:rStyle w:val="Lienhypertexte"/>
            <w:b w:val="0"/>
          </w:rPr>
          <w:t>S</w:t>
        </w:r>
        <w:r w:rsidR="00005161" w:rsidRPr="00005161">
          <w:rPr>
            <w:rStyle w:val="Lienhypertexte"/>
            <w:b w:val="0"/>
          </w:rPr>
          <w:t>tandardising user testing</w:t>
        </w:r>
        <w:r w:rsidR="00F25788">
          <w:rPr>
            <w:webHidden/>
          </w:rPr>
          <w:tab/>
        </w:r>
      </w:hyperlink>
      <w:r w:rsidR="00BC6937">
        <w:t>49</w:t>
      </w:r>
    </w:p>
    <w:p w14:paraId="2DE1EF80" w14:textId="44B047A3" w:rsidR="00F25788" w:rsidRDefault="00F25788">
      <w:pPr>
        <w:pStyle w:val="Tabledesillustrations"/>
        <w:rPr>
          <w:rFonts w:eastAsiaTheme="minorEastAsia"/>
          <w:b w:val="0"/>
          <w:color w:val="auto"/>
          <w:kern w:val="2"/>
          <w:sz w:val="24"/>
          <w:szCs w:val="24"/>
          <w:lang w:val="fr-FR" w:eastAsia="fr-FR"/>
          <w14:ligatures w14:val="standardContextual"/>
        </w:rPr>
      </w:pPr>
      <w:hyperlink w:anchor="_Toc230257735" w:history="1">
        <w:r w:rsidRPr="003866EE">
          <w:rPr>
            <w:rStyle w:val="Lienhypertexte"/>
            <w:bCs/>
          </w:rPr>
          <w:t xml:space="preserve">CACD2 (Crédit Agricole </w:t>
        </w:r>
        <w:r w:rsidR="00BC6937" w:rsidRPr="00BC6937">
          <w:rPr>
            <w:rStyle w:val="Lienhypertexte"/>
            <w:bCs/>
          </w:rPr>
          <w:t>Digital Consulting and Development</w:t>
        </w:r>
        <w:r w:rsidRPr="003866EE">
          <w:rPr>
            <w:rStyle w:val="Lienhypertexte"/>
            <w:bCs/>
          </w:rPr>
          <w:t>)</w:t>
        </w:r>
        <w:r w:rsidR="00005161" w:rsidRPr="00005161">
          <w:rPr>
            <w:rStyle w:val="Lienhypertexte"/>
            <w:b w:val="0"/>
          </w:rPr>
          <w:t xml:space="preserve"> : </w:t>
        </w:r>
        <w:r w:rsidR="00005161">
          <w:rPr>
            <w:rStyle w:val="Lienhypertexte"/>
            <w:b w:val="0"/>
          </w:rPr>
          <w:t xml:space="preserve"> </w:t>
        </w:r>
        <w:r w:rsidR="00BC6937">
          <w:rPr>
            <w:rStyle w:val="Lienhypertexte"/>
            <w:b w:val="0"/>
          </w:rPr>
          <w:t>M</w:t>
        </w:r>
        <w:r w:rsidR="00005161" w:rsidRPr="00005161">
          <w:rPr>
            <w:rStyle w:val="Lienhypertexte"/>
            <w:b w:val="0"/>
          </w:rPr>
          <w:t xml:space="preserve">ethodology for the operational integration of digital accessibility into a project </w:t>
        </w:r>
        <w:r>
          <w:rPr>
            <w:webHidden/>
          </w:rPr>
          <w:tab/>
        </w:r>
        <w:r w:rsidR="00B83DBC">
          <w:rPr>
            <w:webHidden/>
          </w:rPr>
          <w:t>5</w:t>
        </w:r>
        <w:r w:rsidR="00BC6937">
          <w:rPr>
            <w:webHidden/>
          </w:rPr>
          <w:t>0</w:t>
        </w:r>
      </w:hyperlink>
    </w:p>
    <w:p w14:paraId="4FADC084" w14:textId="5863E7E3" w:rsidR="00F25788" w:rsidRDefault="00F25788">
      <w:pPr>
        <w:pStyle w:val="Tabledesillustrations"/>
        <w:rPr>
          <w:rFonts w:eastAsiaTheme="minorEastAsia"/>
          <w:b w:val="0"/>
          <w:color w:val="auto"/>
          <w:kern w:val="2"/>
          <w:sz w:val="24"/>
          <w:szCs w:val="24"/>
          <w:lang w:val="fr-FR" w:eastAsia="fr-FR"/>
          <w14:ligatures w14:val="standardContextual"/>
        </w:rPr>
      </w:pPr>
      <w:hyperlink w:anchor="_Toc230257736" w:history="1">
        <w:r w:rsidRPr="003866EE">
          <w:rPr>
            <w:rStyle w:val="Lienhypertexte"/>
            <w:bCs/>
          </w:rPr>
          <w:t>Caisse des Dépôts</w:t>
        </w:r>
        <w:r w:rsidR="00CD0620" w:rsidRPr="00CD0620">
          <w:rPr>
            <w:rStyle w:val="Lienhypertexte"/>
            <w:b w:val="0"/>
          </w:rPr>
          <w:t xml:space="preserve">: </w:t>
        </w:r>
        <w:r w:rsidR="00CD0620">
          <w:rPr>
            <w:rStyle w:val="Lienhypertexte"/>
            <w:b w:val="0"/>
          </w:rPr>
          <w:t xml:space="preserve"> </w:t>
        </w:r>
        <w:r w:rsidR="00BC6937">
          <w:rPr>
            <w:rStyle w:val="Lienhypertexte"/>
            <w:b w:val="0"/>
          </w:rPr>
          <w:t>H</w:t>
        </w:r>
        <w:r w:rsidR="00CD0620" w:rsidRPr="00CD0620">
          <w:rPr>
            <w:rStyle w:val="Lienhypertexte"/>
            <w:b w:val="0"/>
          </w:rPr>
          <w:t>ow to scale up the digital accessibility approach?</w:t>
        </w:r>
        <w:r>
          <w:rPr>
            <w:webHidden/>
          </w:rPr>
          <w:tab/>
        </w:r>
        <w:r w:rsidR="005C5DEE">
          <w:rPr>
            <w:webHidden/>
          </w:rPr>
          <w:t>5</w:t>
        </w:r>
        <w:r w:rsidR="00BC6937">
          <w:rPr>
            <w:webHidden/>
          </w:rPr>
          <w:t>2</w:t>
        </w:r>
      </w:hyperlink>
    </w:p>
    <w:p w14:paraId="57BF5893" w14:textId="79F21A93" w:rsidR="00F25788" w:rsidRDefault="00F25788">
      <w:pPr>
        <w:pStyle w:val="Tabledesillustrations"/>
        <w:rPr>
          <w:rFonts w:eastAsiaTheme="minorEastAsia"/>
          <w:b w:val="0"/>
          <w:color w:val="auto"/>
          <w:kern w:val="2"/>
          <w:sz w:val="24"/>
          <w:szCs w:val="24"/>
          <w:lang w:val="fr-FR" w:eastAsia="fr-FR"/>
          <w14:ligatures w14:val="standardContextual"/>
        </w:rPr>
      </w:pPr>
      <w:hyperlink w:anchor="_Toc230257737" w:history="1">
        <w:r w:rsidRPr="003866EE">
          <w:rPr>
            <w:rStyle w:val="Lienhypertexte"/>
            <w:bCs/>
          </w:rPr>
          <w:t>Crédit Agricole S.A.</w:t>
        </w:r>
        <w:r w:rsidR="00CD0620" w:rsidRPr="00CD0620">
          <w:rPr>
            <w:rStyle w:val="Lienhypertexte"/>
            <w:b w:val="0"/>
          </w:rPr>
          <w:t xml:space="preserve">: </w:t>
        </w:r>
        <w:r w:rsidR="00CD0620">
          <w:rPr>
            <w:rStyle w:val="Lienhypertexte"/>
            <w:b w:val="0"/>
          </w:rPr>
          <w:t xml:space="preserve"> </w:t>
        </w:r>
        <w:r w:rsidR="00BC6937">
          <w:rPr>
            <w:rStyle w:val="Lienhypertexte"/>
            <w:b w:val="0"/>
          </w:rPr>
          <w:t>O</w:t>
        </w:r>
        <w:r w:rsidR="00CD0620" w:rsidRPr="00CD0620">
          <w:rPr>
            <w:rStyle w:val="Lienhypertexte"/>
            <w:b w:val="0"/>
          </w:rPr>
          <w:t>perational roll-out and support framework for staff</w:t>
        </w:r>
        <w:r>
          <w:rPr>
            <w:webHidden/>
          </w:rPr>
          <w:tab/>
        </w:r>
        <w:r w:rsidR="005C5DEE">
          <w:rPr>
            <w:webHidden/>
          </w:rPr>
          <w:t>5</w:t>
        </w:r>
        <w:r w:rsidR="00BC6937">
          <w:rPr>
            <w:webHidden/>
          </w:rPr>
          <w:t>6</w:t>
        </w:r>
      </w:hyperlink>
    </w:p>
    <w:p w14:paraId="62B5EA53" w14:textId="5DDA3FA4" w:rsidR="00F25788" w:rsidRPr="004B4BDE" w:rsidRDefault="00F25788">
      <w:pPr>
        <w:pStyle w:val="Tabledesillustrations"/>
        <w:rPr>
          <w:rFonts w:eastAsiaTheme="minorEastAsia"/>
          <w:b w:val="0"/>
          <w:color w:val="auto"/>
          <w:kern w:val="2"/>
          <w:sz w:val="24"/>
          <w:szCs w:val="24"/>
          <w:lang w:val="en-GB" w:eastAsia="fr-FR"/>
          <w14:ligatures w14:val="standardContextual"/>
        </w:rPr>
      </w:pPr>
      <w:hyperlink w:anchor="_Toc230257738" w:history="1">
        <w:r w:rsidRPr="003866EE">
          <w:rPr>
            <w:rStyle w:val="Lienhypertexte"/>
            <w:bCs/>
          </w:rPr>
          <w:t xml:space="preserve">CACD2 (Crédit Agricole </w:t>
        </w:r>
        <w:r w:rsidR="00BC6937" w:rsidRPr="00BC6937">
          <w:rPr>
            <w:rStyle w:val="Lienhypertexte"/>
            <w:bCs/>
          </w:rPr>
          <w:t>Digital Consulting and Development</w:t>
        </w:r>
        <w:r w:rsidRPr="003866EE">
          <w:rPr>
            <w:rStyle w:val="Lienhypertexte"/>
            <w:bCs/>
          </w:rPr>
          <w:t>)</w:t>
        </w:r>
        <w:r w:rsidR="00CD0620" w:rsidRPr="00CD0620">
          <w:rPr>
            <w:rStyle w:val="Lienhypertexte"/>
            <w:b w:val="0"/>
          </w:rPr>
          <w:t xml:space="preserve">: </w:t>
        </w:r>
        <w:r w:rsidR="00CD0620">
          <w:rPr>
            <w:rStyle w:val="Lienhypertexte"/>
            <w:b w:val="0"/>
          </w:rPr>
          <w:t xml:space="preserve"> </w:t>
        </w:r>
        <w:r w:rsidR="00BC6937">
          <w:rPr>
            <w:rStyle w:val="Lienhypertexte"/>
            <w:b w:val="0"/>
          </w:rPr>
          <w:t>R</w:t>
        </w:r>
        <w:r w:rsidR="00CD0620" w:rsidRPr="00CD0620">
          <w:rPr>
            <w:rStyle w:val="Lienhypertexte"/>
            <w:b w:val="0"/>
          </w:rPr>
          <w:t>esources for support and training</w:t>
        </w:r>
        <w:r>
          <w:rPr>
            <w:webHidden/>
          </w:rPr>
          <w:tab/>
        </w:r>
      </w:hyperlink>
      <w:r w:rsidR="00BC6937">
        <w:t>58</w:t>
      </w:r>
    </w:p>
    <w:p w14:paraId="77EB53B5" w14:textId="3D1AF999" w:rsidR="00F25788" w:rsidRPr="004B4BDE" w:rsidRDefault="00F25788">
      <w:pPr>
        <w:pStyle w:val="Tabledesillustrations"/>
        <w:rPr>
          <w:rFonts w:eastAsiaTheme="minorEastAsia"/>
          <w:b w:val="0"/>
          <w:color w:val="auto"/>
          <w:kern w:val="2"/>
          <w:sz w:val="24"/>
          <w:szCs w:val="24"/>
          <w:lang w:val="en-GB" w:eastAsia="fr-FR"/>
          <w14:ligatures w14:val="standardContextual"/>
        </w:rPr>
      </w:pPr>
      <w:hyperlink w:anchor="_Toc230257739" w:history="1">
        <w:r w:rsidRPr="003866EE">
          <w:rPr>
            <w:rStyle w:val="Lienhypertexte"/>
            <w:bCs/>
          </w:rPr>
          <w:t>iMSA</w:t>
        </w:r>
        <w:r w:rsidR="00CD0620" w:rsidRPr="00CD0620">
          <w:rPr>
            <w:rStyle w:val="Lienhypertexte"/>
            <w:b w:val="0"/>
          </w:rPr>
          <w:t xml:space="preserve">: </w:t>
        </w:r>
        <w:r w:rsidR="00CD0620">
          <w:rPr>
            <w:rStyle w:val="Lienhypertexte"/>
            <w:b w:val="0"/>
          </w:rPr>
          <w:t xml:space="preserve"> </w:t>
        </w:r>
        <w:r w:rsidR="00BC6937">
          <w:rPr>
            <w:rStyle w:val="Lienhypertexte"/>
            <w:b w:val="0"/>
          </w:rPr>
          <w:t>S</w:t>
        </w:r>
        <w:r w:rsidR="00CD0620" w:rsidRPr="00CD0620">
          <w:rPr>
            <w:rStyle w:val="Lienhypertexte"/>
            <w:b w:val="0"/>
          </w:rPr>
          <w:t xml:space="preserve">caling up digital accessibility through governance, the </w:t>
        </w:r>
        <w:r w:rsidR="00CD0620" w:rsidRPr="001F2368">
          <w:rPr>
            <w:rStyle w:val="Lienhypertexte"/>
            <w:b w:val="0"/>
          </w:rPr>
          <w:t xml:space="preserve">Design System </w:t>
        </w:r>
        <w:r w:rsidR="00CD0620" w:rsidRPr="00CD0620">
          <w:rPr>
            <w:rStyle w:val="Lienhypertexte"/>
            <w:b w:val="0"/>
          </w:rPr>
          <w:t xml:space="preserve">and training </w:t>
        </w:r>
        <w:r>
          <w:rPr>
            <w:webHidden/>
          </w:rPr>
          <w:tab/>
        </w:r>
        <w:r w:rsidR="00B83DBC">
          <w:rPr>
            <w:webHidden/>
          </w:rPr>
          <w:t>6</w:t>
        </w:r>
      </w:hyperlink>
      <w:r w:rsidR="00BC6937">
        <w:t>0</w:t>
      </w:r>
    </w:p>
    <w:p w14:paraId="5513E16A" w14:textId="4B672113" w:rsidR="007B2E61" w:rsidRPr="004B4BDE" w:rsidRDefault="007B2E61" w:rsidP="00F25788">
      <w:pPr>
        <w:tabs>
          <w:tab w:val="left" w:pos="7644"/>
        </w:tabs>
        <w:rPr>
          <w:rFonts w:eastAsia="Times New Roman"/>
          <w:lang w:val="en-GB" w:eastAsia="fr-FR"/>
        </w:rPr>
      </w:pPr>
      <w:r w:rsidRPr="002346E1">
        <w:rPr>
          <w:rStyle w:val="Lienhypertexte"/>
          <w:rFonts w:eastAsia="SimSun"/>
          <w:caps/>
          <w:noProof/>
        </w:rPr>
        <w:fldChar w:fldCharType="end"/>
      </w:r>
      <w:r w:rsidR="00F25788" w:rsidRPr="004B4BDE">
        <w:rPr>
          <w:rStyle w:val="Lienhypertexte"/>
          <w:rFonts w:eastAsia="SimSun"/>
          <w:caps/>
          <w:noProof/>
          <w:u w:val="none"/>
          <w:lang w:val="en-GB"/>
        </w:rPr>
        <w:tab/>
      </w:r>
    </w:p>
    <w:p w14:paraId="76BB8B7A" w14:textId="77777777" w:rsidR="0061421B" w:rsidRPr="004B4BDE" w:rsidRDefault="0061421B" w:rsidP="0061421B">
      <w:pPr>
        <w:rPr>
          <w:rFonts w:eastAsia="Times New Roman"/>
          <w:lang w:val="en-GB" w:eastAsia="fr-FR"/>
        </w:rPr>
      </w:pPr>
    </w:p>
    <w:p w14:paraId="13E2BDB6" w14:textId="77777777" w:rsidR="0061421B" w:rsidRPr="00F4758C" w:rsidRDefault="0061421B" w:rsidP="002D158B">
      <w:pPr>
        <w:pStyle w:val="Titre1"/>
        <w:numPr>
          <w:ilvl w:val="0"/>
          <w:numId w:val="0"/>
        </w:numPr>
        <w:ind w:left="397" w:hanging="397"/>
        <w:rPr>
          <w:lang w:val="en-GB"/>
        </w:rPr>
      </w:pPr>
      <w:bookmarkStart w:id="5" w:name="_Toc230076992"/>
      <w:r w:rsidRPr="00F4758C">
        <w:rPr>
          <w:lang w:val="en-GB"/>
        </w:rPr>
        <w:lastRenderedPageBreak/>
        <w:t>INTRODUCTION</w:t>
      </w:r>
      <w:bookmarkEnd w:id="5"/>
    </w:p>
    <w:p w14:paraId="227C8391" w14:textId="7BDFDB3D" w:rsidR="00AA1481" w:rsidRPr="0088025E" w:rsidRDefault="00AA1481" w:rsidP="00AA1481">
      <w:pPr>
        <w:rPr>
          <w:rFonts w:eastAsia="Times New Roman"/>
          <w:lang w:val="en-GB"/>
        </w:rPr>
      </w:pPr>
      <w:r w:rsidRPr="00F4758C">
        <w:rPr>
          <w:rFonts w:eastAsia="Times New Roman"/>
          <w:lang w:val="en-GB"/>
        </w:rPr>
        <w:t xml:space="preserve">Digital accessibility is a </w:t>
      </w:r>
      <w:r w:rsidR="0088025E">
        <w:rPr>
          <w:rFonts w:eastAsia="Times New Roman"/>
          <w:lang w:val="en-GB"/>
        </w:rPr>
        <w:t>pillar of</w:t>
      </w:r>
      <w:r w:rsidRPr="00F4758C">
        <w:rPr>
          <w:rFonts w:eastAsia="Times New Roman"/>
          <w:lang w:val="en-GB"/>
        </w:rPr>
        <w:t xml:space="preserve"> current digital inclusion challenges and forms an integral part of organisations’</w:t>
      </w:r>
      <w:r w:rsidR="00BC6937">
        <w:rPr>
          <w:rFonts w:eastAsia="Times New Roman"/>
          <w:lang w:val="en-GB"/>
        </w:rPr>
        <w:t xml:space="preserve"> </w:t>
      </w:r>
      <w:r w:rsidRPr="00F4758C">
        <w:rPr>
          <w:rFonts w:eastAsia="Times New Roman"/>
          <w:lang w:val="en-GB"/>
        </w:rPr>
        <w:t xml:space="preserve">responsible </w:t>
      </w:r>
      <w:r w:rsidR="00434812" w:rsidRPr="00F4758C">
        <w:rPr>
          <w:rFonts w:eastAsia="Times New Roman"/>
          <w:lang w:val="en-GB"/>
        </w:rPr>
        <w:t>digital</w:t>
      </w:r>
      <w:r w:rsidR="00BC6937">
        <w:rPr>
          <w:rFonts w:eastAsia="Times New Roman"/>
          <w:lang w:val="en-GB"/>
        </w:rPr>
        <w:t xml:space="preserve"> </w:t>
      </w:r>
      <w:r w:rsidRPr="00F4758C">
        <w:rPr>
          <w:rFonts w:eastAsia="Times New Roman"/>
          <w:lang w:val="en-GB"/>
        </w:rPr>
        <w:t xml:space="preserve">strategies. </w:t>
      </w:r>
      <w:r w:rsidR="002E3391" w:rsidRPr="00F4758C">
        <w:rPr>
          <w:rFonts w:eastAsia="Times New Roman"/>
          <w:lang w:val="en-GB"/>
        </w:rPr>
        <w:t xml:space="preserve">Digital inclusion encompasses a wide range of </w:t>
      </w:r>
      <w:r w:rsidR="0088025E">
        <w:rPr>
          <w:rFonts w:eastAsia="Times New Roman"/>
          <w:lang w:val="en-GB"/>
        </w:rPr>
        <w:t>topics</w:t>
      </w:r>
      <w:r w:rsidR="002E3391" w:rsidRPr="00F4758C">
        <w:rPr>
          <w:rFonts w:eastAsia="Times New Roman"/>
          <w:lang w:val="en-GB"/>
        </w:rPr>
        <w:t xml:space="preserve">: </w:t>
      </w:r>
      <w:r w:rsidR="0088025E">
        <w:rPr>
          <w:rFonts w:eastAsia="Times New Roman"/>
          <w:lang w:val="en-GB"/>
        </w:rPr>
        <w:t>fighting</w:t>
      </w:r>
      <w:r w:rsidR="002E3391" w:rsidRPr="00F4758C">
        <w:rPr>
          <w:rFonts w:eastAsia="Times New Roman"/>
          <w:lang w:val="en-GB"/>
        </w:rPr>
        <w:t xml:space="preserve"> information overload, bridging the digital divide for </w:t>
      </w:r>
      <w:r w:rsidR="0088025E">
        <w:rPr>
          <w:rFonts w:eastAsia="Times New Roman"/>
          <w:lang w:val="en-GB"/>
        </w:rPr>
        <w:t>employees</w:t>
      </w:r>
      <w:r w:rsidR="002E3391" w:rsidRPr="00F4758C">
        <w:rPr>
          <w:rFonts w:eastAsia="Times New Roman"/>
          <w:lang w:val="en-GB"/>
        </w:rPr>
        <w:t xml:space="preserve"> and </w:t>
      </w:r>
      <w:r w:rsidR="0088025E">
        <w:rPr>
          <w:rFonts w:eastAsia="Times New Roman"/>
          <w:lang w:val="en-GB"/>
        </w:rPr>
        <w:t>clients</w:t>
      </w:r>
      <w:r w:rsidR="002E3391" w:rsidRPr="00F4758C">
        <w:rPr>
          <w:rFonts w:eastAsia="Times New Roman"/>
          <w:lang w:val="en-GB"/>
        </w:rPr>
        <w:t xml:space="preserve"> (</w:t>
      </w:r>
      <w:r w:rsidR="0088025E" w:rsidRPr="0088025E">
        <w:rPr>
          <w:rFonts w:eastAsia="Times New Roman"/>
          <w:lang w:val="en-GB"/>
        </w:rPr>
        <w:t xml:space="preserve">through training, maintaining alternative physical setups, </w:t>
      </w:r>
      <w:r w:rsidR="002E3391" w:rsidRPr="00F4758C">
        <w:rPr>
          <w:rFonts w:eastAsia="Times New Roman"/>
          <w:lang w:val="en-GB"/>
        </w:rPr>
        <w:t>etc.), as well as ensuring the digital accessibility of products and services for people with disabilities.</w:t>
      </w:r>
      <w:r w:rsidRPr="00F4758C">
        <w:rPr>
          <w:rFonts w:eastAsia="Times New Roman"/>
          <w:lang w:val="en-GB"/>
        </w:rPr>
        <w:t xml:space="preserve"> It is this </w:t>
      </w:r>
      <w:r w:rsidR="00AA79E2" w:rsidRPr="00F4758C">
        <w:rPr>
          <w:rFonts w:eastAsia="Times New Roman"/>
          <w:lang w:val="en-GB"/>
        </w:rPr>
        <w:t xml:space="preserve">last </w:t>
      </w:r>
      <w:r w:rsidRPr="00F4758C">
        <w:rPr>
          <w:rFonts w:eastAsia="Times New Roman"/>
          <w:lang w:val="en-GB"/>
        </w:rPr>
        <w:t xml:space="preserve">topic that </w:t>
      </w:r>
      <w:r w:rsidR="0088025E">
        <w:rPr>
          <w:rFonts w:eastAsia="Times New Roman"/>
          <w:lang w:val="en-GB"/>
        </w:rPr>
        <w:t>d</w:t>
      </w:r>
      <w:r w:rsidR="0088025E" w:rsidRPr="0088025E">
        <w:rPr>
          <w:rFonts w:eastAsia="Times New Roman"/>
          <w:lang w:val="en-GB"/>
        </w:rPr>
        <w:t>rove the reflections of the working group members, as it is subject to increasingly precise regulatory frameworks on one hand, and addresses long-term technical, operational, and organisational challenges on the other.</w:t>
      </w:r>
    </w:p>
    <w:p w14:paraId="1DD01DF5" w14:textId="0B821F95" w:rsidR="00AA1481" w:rsidRPr="00F4758C" w:rsidRDefault="00AA1481" w:rsidP="00AA1481">
      <w:pPr>
        <w:rPr>
          <w:rFonts w:eastAsia="Times New Roman"/>
          <w:lang w:val="en-GB"/>
        </w:rPr>
      </w:pPr>
      <w:r w:rsidRPr="00F4758C">
        <w:rPr>
          <w:rFonts w:eastAsia="Times New Roman"/>
          <w:lang w:val="en-GB"/>
        </w:rPr>
        <w:t>Digital accessibility is a fundamental right for citizens and a key legal obligation for economic and public sector bodies. In France, the obligation for public bodies has been enshrined in law since 2005 (Act No. 2005-102</w:t>
      </w:r>
      <w:r w:rsidR="00A13FDC" w:rsidRPr="00F4758C">
        <w:rPr>
          <w:rFonts w:eastAsia="Times New Roman"/>
          <w:lang w:val="en-GB"/>
        </w:rPr>
        <w:t>, Article 47, subsequently amended by Act No. 2016-1321, Article 106, and subsequently by Law No. 2018-771</w:t>
      </w:r>
      <w:r w:rsidR="00FB64E5" w:rsidRPr="00F4758C">
        <w:rPr>
          <w:rFonts w:eastAsia="Times New Roman"/>
          <w:lang w:val="en-GB"/>
        </w:rPr>
        <w:t>,</w:t>
      </w:r>
      <w:r w:rsidR="00A13FDC" w:rsidRPr="00F4758C">
        <w:rPr>
          <w:rFonts w:eastAsia="Times New Roman"/>
          <w:lang w:val="en-GB"/>
        </w:rPr>
        <w:t xml:space="preserve"> Article 80</w:t>
      </w:r>
      <w:r w:rsidRPr="00F4758C">
        <w:rPr>
          <w:rFonts w:eastAsia="Times New Roman"/>
          <w:lang w:val="en-GB"/>
        </w:rPr>
        <w:t>)</w:t>
      </w:r>
      <w:r w:rsidR="00FB64E5" w:rsidRPr="00F4758C">
        <w:rPr>
          <w:rFonts w:eastAsia="Times New Roman"/>
          <w:lang w:val="en-GB"/>
        </w:rPr>
        <w:t xml:space="preserve">, and has been extended to private companies with an </w:t>
      </w:r>
      <w:r w:rsidR="00AF068F" w:rsidRPr="00F4758C">
        <w:rPr>
          <w:rFonts w:eastAsia="Times New Roman"/>
          <w:lang w:val="en-GB"/>
        </w:rPr>
        <w:t xml:space="preserve">annual </w:t>
      </w:r>
      <w:r w:rsidR="002F0DCE" w:rsidRPr="00F4758C">
        <w:rPr>
          <w:rFonts w:eastAsia="Times New Roman"/>
          <w:lang w:val="en-GB"/>
        </w:rPr>
        <w:t xml:space="preserve">turnover </w:t>
      </w:r>
      <w:r w:rsidR="00FB64E5" w:rsidRPr="00F4758C">
        <w:rPr>
          <w:rFonts w:eastAsia="Times New Roman"/>
          <w:lang w:val="en-GB"/>
        </w:rPr>
        <w:t>exceeding 250 million euros (Article 2 of Decree No. 2019-768 of 24 July 2019)</w:t>
      </w:r>
      <w:r w:rsidRPr="00F4758C">
        <w:rPr>
          <w:rFonts w:eastAsia="Times New Roman"/>
          <w:lang w:val="en-GB"/>
        </w:rPr>
        <w:t>. At European level, Directive 2016/2102 strengthened this framework for the public sector, and Directive 2019/882</w:t>
      </w:r>
      <w:r w:rsidR="002C19CD" w:rsidRPr="00F4758C">
        <w:rPr>
          <w:rFonts w:eastAsia="Times New Roman"/>
          <w:lang w:val="en-GB"/>
        </w:rPr>
        <w:t>,</w:t>
      </w:r>
      <w:r w:rsidRPr="00F4758C">
        <w:rPr>
          <w:rFonts w:eastAsia="Times New Roman"/>
          <w:lang w:val="en-GB"/>
        </w:rPr>
        <w:t xml:space="preserve"> known </w:t>
      </w:r>
      <w:r w:rsidR="002C19CD" w:rsidRPr="00F4758C">
        <w:rPr>
          <w:rFonts w:eastAsia="Times New Roman"/>
          <w:lang w:val="en-GB"/>
        </w:rPr>
        <w:t xml:space="preserve">as </w:t>
      </w:r>
      <w:r w:rsidRPr="00E460E1">
        <w:rPr>
          <w:rFonts w:eastAsia="Times New Roman"/>
          <w:lang w:val="en-GB"/>
        </w:rPr>
        <w:t>the</w:t>
      </w:r>
      <w:r w:rsidRPr="001F2368">
        <w:rPr>
          <w:rFonts w:eastAsia="Times New Roman"/>
          <w:lang w:val="en-GB"/>
        </w:rPr>
        <w:t xml:space="preserve"> </w:t>
      </w:r>
      <w:r w:rsidR="00E460E1" w:rsidRPr="001F2368">
        <w:rPr>
          <w:rFonts w:eastAsia="Times New Roman"/>
          <w:lang w:val="en-GB"/>
        </w:rPr>
        <w:t>“</w:t>
      </w:r>
      <w:r w:rsidRPr="00E460E1">
        <w:rPr>
          <w:rFonts w:eastAsia="Times New Roman"/>
          <w:lang w:val="en-GB"/>
        </w:rPr>
        <w:t xml:space="preserve">European Accessibility </w:t>
      </w:r>
      <w:r w:rsidR="000738EC" w:rsidRPr="00E460E1">
        <w:rPr>
          <w:rFonts w:eastAsia="Times New Roman"/>
          <w:lang w:val="en-GB"/>
        </w:rPr>
        <w:t>Act</w:t>
      </w:r>
      <w:r w:rsidR="000738EC">
        <w:rPr>
          <w:rFonts w:eastAsia="Times New Roman"/>
          <w:lang w:val="en-GB"/>
        </w:rPr>
        <w:t>“ (</w:t>
      </w:r>
      <w:r w:rsidRPr="00F4758C">
        <w:rPr>
          <w:rFonts w:eastAsia="Times New Roman"/>
          <w:lang w:val="en-GB"/>
        </w:rPr>
        <w:t>EAA)</w:t>
      </w:r>
      <w:r w:rsidR="00726013">
        <w:rPr>
          <w:rStyle w:val="Appelnotedebasdep"/>
          <w:rFonts w:eastAsia="Times New Roman"/>
        </w:rPr>
        <w:footnoteReference w:id="2"/>
      </w:r>
      <w:r w:rsidRPr="00F4758C">
        <w:rPr>
          <w:rFonts w:eastAsia="Times New Roman"/>
          <w:lang w:val="en-GB"/>
        </w:rPr>
        <w:t xml:space="preserve"> marked a major shift by extending accessibility to a </w:t>
      </w:r>
      <w:r w:rsidR="00DA6772" w:rsidRPr="00F4758C">
        <w:rPr>
          <w:rFonts w:eastAsia="Times New Roman"/>
          <w:lang w:val="en-GB"/>
        </w:rPr>
        <w:t>wider</w:t>
      </w:r>
      <w:r w:rsidRPr="00F4758C">
        <w:rPr>
          <w:rFonts w:eastAsia="Times New Roman"/>
          <w:lang w:val="en-GB"/>
        </w:rPr>
        <w:t xml:space="preserve"> range of digital products and services in the private sector (provided that annual turnover exceeds a threshold of 2 million euros), making it a requirement for placing products and services on the market.</w:t>
      </w:r>
    </w:p>
    <w:p w14:paraId="5419F008" w14:textId="77777777" w:rsidR="00AA1481" w:rsidRPr="00F4758C" w:rsidRDefault="00AA1481" w:rsidP="00AA1481">
      <w:pPr>
        <w:rPr>
          <w:rFonts w:eastAsia="Times New Roman"/>
          <w:lang w:val="en-GB"/>
        </w:rPr>
      </w:pPr>
      <w:r w:rsidRPr="00F4758C">
        <w:rPr>
          <w:rFonts w:eastAsia="Times New Roman"/>
          <w:lang w:val="en-GB"/>
        </w:rPr>
        <w:t>For large organisations, the key challenge is to make digital accessibility an ongoing process that is integrated into business processes and embedded in working practices. The main difficulty lies in scaling up, which presents strategic, organisational and operational challenges, and requires deep, cross-functional integration into the work processes of every department (IT, procurement, communications, HR, etc.).</w:t>
      </w:r>
    </w:p>
    <w:p w14:paraId="021A4D4F" w14:textId="77777777" w:rsidR="00AA1481" w:rsidRPr="00F4758C" w:rsidRDefault="00AA1481" w:rsidP="00AA1481">
      <w:pPr>
        <w:rPr>
          <w:rFonts w:eastAsia="Times New Roman"/>
          <w:lang w:val="en-GB"/>
        </w:rPr>
      </w:pPr>
      <w:r w:rsidRPr="00F4758C">
        <w:rPr>
          <w:rFonts w:eastAsia="Times New Roman"/>
          <w:lang w:val="en-GB"/>
        </w:rPr>
        <w:t xml:space="preserve">The complexity of the digital landscape in large organisations makes operational roll-out particularly challenging. It is not simply a matter of making a few websites accessible, but of managing a portfolio of hundreds, or even thousands, of diverse digital platforms: websites, intranets, business mobile apps, customer extranets, e-commerce platforms, etc. Each of these platforms has its own legacy, its own technology and its own lifecycle. Each context will require a tailored remediation or design approach: new projects can incorporate </w:t>
      </w:r>
      <w:r w:rsidRPr="00E460E1">
        <w:rPr>
          <w:rFonts w:eastAsia="Times New Roman"/>
          <w:lang w:val="en-GB"/>
        </w:rPr>
        <w:t>accessibility by design</w:t>
      </w:r>
      <w:r w:rsidRPr="00F4758C">
        <w:rPr>
          <w:rFonts w:eastAsia="Times New Roman"/>
          <w:lang w:val="en-GB"/>
        </w:rPr>
        <w:t xml:space="preserve">; existing systems will need to undergo audits and gradual corrections; and certain </w:t>
      </w:r>
      <w:r w:rsidRPr="001F2368">
        <w:rPr>
          <w:rFonts w:eastAsia="Times New Roman"/>
          <w:lang w:val="en-GB"/>
        </w:rPr>
        <w:t>legacy</w:t>
      </w:r>
      <w:r w:rsidRPr="00F4758C">
        <w:rPr>
          <w:rFonts w:eastAsia="Times New Roman"/>
          <w:lang w:val="en-GB"/>
        </w:rPr>
        <w:t xml:space="preserve"> platforms may be subject to a complete overhaul, minimal compliance measures, or even decommissioning. </w:t>
      </w:r>
    </w:p>
    <w:p w14:paraId="4614807A" w14:textId="54039431" w:rsidR="00AA1481" w:rsidRPr="00F4758C" w:rsidRDefault="00AA1481" w:rsidP="00AA1481">
      <w:pPr>
        <w:rPr>
          <w:rFonts w:eastAsia="Times New Roman"/>
          <w:lang w:val="en-GB"/>
        </w:rPr>
      </w:pPr>
      <w:r w:rsidRPr="00F4758C">
        <w:rPr>
          <w:rFonts w:eastAsia="Times New Roman"/>
          <w:lang w:val="en-GB"/>
        </w:rPr>
        <w:t>In light of these challenges, digital accessibility appears to be a genuine enterprise-wide transformation project. In any case, it should be regarded as such, bearing in mind that it is also a driver of long-term performance</w:t>
      </w:r>
      <w:r w:rsidR="0036699F" w:rsidRPr="00F4758C">
        <w:rPr>
          <w:rFonts w:eastAsia="Times New Roman"/>
          <w:lang w:val="en-GB"/>
        </w:rPr>
        <w:t>.</w:t>
      </w:r>
      <w:r w:rsidRPr="00F4758C">
        <w:rPr>
          <w:rFonts w:eastAsia="Times New Roman"/>
          <w:lang w:val="en-GB"/>
        </w:rPr>
        <w:t xml:space="preserve"> A relevant example </w:t>
      </w:r>
      <w:r w:rsidR="0036699F" w:rsidRPr="00F4758C">
        <w:rPr>
          <w:rFonts w:eastAsia="Times New Roman"/>
          <w:lang w:val="en-GB"/>
        </w:rPr>
        <w:t xml:space="preserve">of this is </w:t>
      </w:r>
      <w:r w:rsidRPr="00F4758C">
        <w:rPr>
          <w:rFonts w:eastAsia="Times New Roman"/>
          <w:lang w:val="en-GB"/>
        </w:rPr>
        <w:t xml:space="preserve">taking into account the cost of non-accessibility </w:t>
      </w:r>
      <w:r w:rsidR="002C19CD" w:rsidRPr="00F4758C">
        <w:rPr>
          <w:rFonts w:eastAsia="Times New Roman"/>
          <w:lang w:val="en-GB"/>
        </w:rPr>
        <w:t xml:space="preserve">and its consequences </w:t>
      </w:r>
      <w:r w:rsidRPr="00F4758C">
        <w:rPr>
          <w:rFonts w:eastAsia="Times New Roman"/>
          <w:lang w:val="en-GB"/>
        </w:rPr>
        <w:t>in terms of legal implications, corporate reputation, additional production costs, as well as customer retention and access to a wider range of customers.</w:t>
      </w:r>
    </w:p>
    <w:p w14:paraId="1AB07E62" w14:textId="35FD8B4F" w:rsidR="00AA1481" w:rsidRPr="00F4758C" w:rsidRDefault="00AA1481" w:rsidP="00AA1481">
      <w:pPr>
        <w:rPr>
          <w:rFonts w:eastAsia="Times New Roman"/>
          <w:lang w:val="en-GB"/>
        </w:rPr>
      </w:pPr>
      <w:r w:rsidRPr="00F4758C">
        <w:rPr>
          <w:rFonts w:eastAsia="Times New Roman"/>
          <w:lang w:val="en-GB"/>
        </w:rPr>
        <w:lastRenderedPageBreak/>
        <w:t>This report analyses how large organisations, driven by cross-functional coordination between various key stakeholders (digital departments, CSR, HR, etc.), are integrating digital accessibility through sustainable governance, appropriate tools and an effective strategy for embedding it within business processes. Its aim is to provide digital and CSR departments</w:t>
      </w:r>
      <w:r w:rsidR="00CC4854" w:rsidRPr="00F4758C">
        <w:rPr>
          <w:rFonts w:eastAsia="Times New Roman"/>
          <w:lang w:val="en-GB"/>
        </w:rPr>
        <w:t>,</w:t>
      </w:r>
      <w:r w:rsidRPr="00F4758C">
        <w:rPr>
          <w:rFonts w:eastAsia="Times New Roman"/>
          <w:lang w:val="en-GB"/>
        </w:rPr>
        <w:t xml:space="preserve"> in particular</w:t>
      </w:r>
      <w:r w:rsidR="00CC4854" w:rsidRPr="00F4758C">
        <w:rPr>
          <w:rFonts w:eastAsia="Times New Roman"/>
          <w:lang w:val="en-GB"/>
        </w:rPr>
        <w:t>,</w:t>
      </w:r>
      <w:r w:rsidRPr="00F4758C">
        <w:rPr>
          <w:rFonts w:eastAsia="Times New Roman"/>
          <w:lang w:val="en-GB"/>
        </w:rPr>
        <w:t xml:space="preserve"> with a methodological and operational framework to </w:t>
      </w:r>
      <w:r w:rsidRPr="00F4758C">
        <w:rPr>
          <w:rFonts w:eastAsia="Times New Roman"/>
          <w:b/>
          <w:bCs/>
          <w:lang w:val="en-GB"/>
        </w:rPr>
        <w:t xml:space="preserve">organise, manage and equip the organisation-wide roll-out of digital accessibility </w:t>
      </w:r>
      <w:r w:rsidRPr="00F4758C">
        <w:rPr>
          <w:rFonts w:eastAsia="Times New Roman"/>
          <w:lang w:val="en-GB"/>
        </w:rPr>
        <w:t>within their organisations.</w:t>
      </w:r>
    </w:p>
    <w:p w14:paraId="7A37A792" w14:textId="77777777" w:rsidR="0061421B" w:rsidRPr="00F4758C" w:rsidRDefault="0061421B" w:rsidP="0061421B">
      <w:pPr>
        <w:pStyle w:val="Image"/>
        <w:spacing w:before="100" w:after="100"/>
        <w:jc w:val="both"/>
        <w:rPr>
          <w:lang w:val="en-GB"/>
        </w:rPr>
      </w:pPr>
    </w:p>
    <w:p w14:paraId="44248B0B" w14:textId="77777777" w:rsidR="00914B3B" w:rsidRPr="00F4758C" w:rsidRDefault="00914B3B" w:rsidP="0061421B">
      <w:pPr>
        <w:pStyle w:val="Image"/>
        <w:spacing w:before="100" w:after="100"/>
        <w:jc w:val="both"/>
        <w:rPr>
          <w:lang w:val="en-GB"/>
        </w:rPr>
      </w:pPr>
    </w:p>
    <w:p w14:paraId="48F6FA57" w14:textId="15546257" w:rsidR="00914B3B" w:rsidRPr="00F4758C" w:rsidRDefault="002D158B" w:rsidP="002621F3">
      <w:pPr>
        <w:pStyle w:val="Titre1"/>
        <w:rPr>
          <w:lang w:val="en-GB"/>
        </w:rPr>
      </w:pPr>
      <w:bookmarkStart w:id="6" w:name="_Toc230076993"/>
      <w:r w:rsidRPr="00F4758C">
        <w:rPr>
          <w:lang w:val="en-GB"/>
        </w:rPr>
        <w:lastRenderedPageBreak/>
        <w:t>Context and challenges of digital accessibility</w:t>
      </w:r>
      <w:bookmarkEnd w:id="6"/>
    </w:p>
    <w:p w14:paraId="710FCF74" w14:textId="7762EFAB" w:rsidR="00914B3B" w:rsidRPr="00F4758C" w:rsidRDefault="00A61B0A" w:rsidP="00C43137">
      <w:pPr>
        <w:pStyle w:val="Titre2"/>
        <w:rPr>
          <w:lang w:val="en-GB"/>
        </w:rPr>
      </w:pPr>
      <w:bookmarkStart w:id="7" w:name="_Toc230076994"/>
      <w:r w:rsidRPr="00F4758C">
        <w:rPr>
          <w:lang w:val="en-GB"/>
        </w:rPr>
        <w:t>Definition and understanding of the legal framework</w:t>
      </w:r>
      <w:bookmarkEnd w:id="7"/>
    </w:p>
    <w:p w14:paraId="39098FE6" w14:textId="77777777" w:rsidR="00A61B0A" w:rsidRDefault="00A61B0A" w:rsidP="00A61B0A">
      <w:pPr>
        <w:pStyle w:val="Titre3"/>
      </w:pPr>
      <w:bookmarkStart w:id="8" w:name="_Toc230076995"/>
      <w:r>
        <w:t>Definition</w:t>
      </w:r>
      <w:bookmarkEnd w:id="8"/>
      <w:r>
        <w:t xml:space="preserve"> </w:t>
      </w:r>
    </w:p>
    <w:p w14:paraId="5371A061" w14:textId="17ED93AC" w:rsidR="00725DFE" w:rsidRPr="00F4758C" w:rsidRDefault="00A61B0A" w:rsidP="00A61B0A">
      <w:pPr>
        <w:spacing w:before="160"/>
        <w:rPr>
          <w:lang w:val="en-GB" w:eastAsia="fr-FR"/>
        </w:rPr>
      </w:pPr>
      <w:r w:rsidRPr="00F4758C">
        <w:rPr>
          <w:lang w:val="en-GB" w:eastAsia="fr-FR"/>
        </w:rPr>
        <w:t>Digital accessibility is defined as the ability of people with disabilities to access and use digital content. This concept encompasses people with visual, hearing, motor or cognitive impairments.</w:t>
      </w:r>
      <w:r w:rsidR="00725DFE" w:rsidRPr="00F4758C">
        <w:rPr>
          <w:lang w:val="en-GB" w:eastAsia="fr-FR"/>
        </w:rPr>
        <w:t xml:space="preserve"> </w:t>
      </w:r>
      <w:r w:rsidR="00481DA2" w:rsidRPr="00F4758C">
        <w:rPr>
          <w:lang w:val="en-GB" w:eastAsia="fr-FR"/>
        </w:rPr>
        <w:t xml:space="preserve">In total, </w:t>
      </w:r>
      <w:r w:rsidR="00BB7747">
        <w:rPr>
          <w:lang w:val="en-GB" w:eastAsia="fr-FR"/>
        </w:rPr>
        <w:t>“</w:t>
      </w:r>
      <w:r w:rsidR="00481DA2" w:rsidRPr="00F4758C">
        <w:rPr>
          <w:lang w:val="en-GB" w:eastAsia="fr-FR"/>
        </w:rPr>
        <w:t>in mainland France and the overseas departments and regions (DROMs), the number of children and adults with disabilities (aged 5 or over), whether they live at home or in care, can vary – depending on the criterion or combination of criteria used</w:t>
      </w:r>
      <w:r w:rsidR="00BB7747">
        <w:rPr>
          <w:lang w:val="en-GB" w:eastAsia="fr-FR"/>
        </w:rPr>
        <w:t>,</w:t>
      </w:r>
      <w:r w:rsidR="00481DA2" w:rsidRPr="00F4758C">
        <w:rPr>
          <w:lang w:val="en-GB" w:eastAsia="fr-FR"/>
        </w:rPr>
        <w:t xml:space="preserve"> from 5.7 million to 18.2 million people</w:t>
      </w:r>
      <w:r w:rsidR="00BB7747">
        <w:rPr>
          <w:lang w:val="en-GB" w:eastAsia="fr-FR"/>
        </w:rPr>
        <w:t>.”</w:t>
      </w:r>
      <w:r w:rsidR="00481DA2">
        <w:rPr>
          <w:rStyle w:val="Appelnotedebasdep"/>
          <w:lang w:eastAsia="fr-FR"/>
        </w:rPr>
        <w:footnoteReference w:id="3"/>
      </w:r>
    </w:p>
    <w:p w14:paraId="1CB7600E" w14:textId="6D1C756B" w:rsidR="00725DFE" w:rsidRPr="00F4758C" w:rsidRDefault="00725DFE" w:rsidP="00725DFE">
      <w:pPr>
        <w:spacing w:before="160"/>
        <w:rPr>
          <w:lang w:val="en-GB" w:eastAsia="fr-FR"/>
        </w:rPr>
      </w:pPr>
      <w:r w:rsidRPr="00F4758C">
        <w:rPr>
          <w:lang w:val="en-GB" w:eastAsia="fr-FR"/>
        </w:rPr>
        <w:t xml:space="preserve">Digital accessibility is based on a structured regulatory framework at both international and national levels. The </w:t>
      </w:r>
      <w:r w:rsidRPr="00E460E1">
        <w:rPr>
          <w:lang w:val="en-GB" w:eastAsia="fr-FR"/>
        </w:rPr>
        <w:t>Web Content Accessibility Guidelines</w:t>
      </w:r>
      <w:r w:rsidRPr="00F4758C">
        <w:rPr>
          <w:i/>
          <w:iCs/>
          <w:lang w:val="en-GB" w:eastAsia="fr-FR"/>
        </w:rPr>
        <w:t xml:space="preserve"> </w:t>
      </w:r>
      <w:r w:rsidRPr="00F4758C">
        <w:rPr>
          <w:lang w:val="en-GB" w:eastAsia="fr-FR"/>
        </w:rPr>
        <w:t>(WCAG)</w:t>
      </w:r>
      <w:r>
        <w:rPr>
          <w:rStyle w:val="Appelnotedebasdep"/>
          <w:lang w:eastAsia="fr-FR"/>
        </w:rPr>
        <w:footnoteReference w:id="4"/>
      </w:r>
      <w:r w:rsidRPr="00F4758C">
        <w:rPr>
          <w:lang w:val="en-GB" w:eastAsia="fr-FR"/>
        </w:rPr>
        <w:t xml:space="preserve"> , published by the W3C (</w:t>
      </w:r>
      <w:r w:rsidRPr="00E460E1">
        <w:rPr>
          <w:lang w:val="en-GB" w:eastAsia="fr-FR"/>
        </w:rPr>
        <w:t>World Wide Web Consortium</w:t>
      </w:r>
      <w:r w:rsidRPr="00F4758C">
        <w:rPr>
          <w:lang w:val="en-GB" w:eastAsia="fr-FR"/>
        </w:rPr>
        <w:t>)</w:t>
      </w:r>
      <w:r>
        <w:rPr>
          <w:rStyle w:val="Appelnotedebasdep"/>
          <w:lang w:eastAsia="fr-FR"/>
        </w:rPr>
        <w:footnoteReference w:id="5"/>
      </w:r>
      <w:r w:rsidR="00BB7747">
        <w:rPr>
          <w:lang w:val="en-GB" w:eastAsia="fr-FR"/>
        </w:rPr>
        <w:t xml:space="preserve"> </w:t>
      </w:r>
      <w:r w:rsidRPr="00F4758C">
        <w:rPr>
          <w:lang w:val="en-GB" w:eastAsia="fr-FR"/>
        </w:rPr>
        <w:t>constitute the international standard. In France, these standards are operationally implemented in the General Framework for Improving Accessibility (RGAA)</w:t>
      </w:r>
      <w:r w:rsidR="00401C48">
        <w:rPr>
          <w:rStyle w:val="Appelnotedebasdep"/>
          <w:lang w:eastAsia="fr-FR"/>
        </w:rPr>
        <w:footnoteReference w:id="6"/>
      </w:r>
      <w:r w:rsidRPr="00F4758C">
        <w:rPr>
          <w:lang w:val="en-GB" w:eastAsia="fr-FR"/>
        </w:rPr>
        <w:t xml:space="preserve"> , which constitutes the </w:t>
      </w:r>
      <w:r w:rsidR="00066D95" w:rsidRPr="00F4758C">
        <w:rPr>
          <w:lang w:val="en-GB" w:eastAsia="fr-FR"/>
        </w:rPr>
        <w:t>reference</w:t>
      </w:r>
      <w:r w:rsidRPr="00F4758C">
        <w:rPr>
          <w:lang w:val="en-GB" w:eastAsia="fr-FR"/>
        </w:rPr>
        <w:t xml:space="preserve"> framework </w:t>
      </w:r>
      <w:r w:rsidR="00066D95" w:rsidRPr="00F4758C">
        <w:rPr>
          <w:lang w:val="en-GB" w:eastAsia="fr-FR"/>
        </w:rPr>
        <w:t xml:space="preserve">for compliance </w:t>
      </w:r>
      <w:r w:rsidRPr="00F4758C">
        <w:rPr>
          <w:lang w:val="en-GB" w:eastAsia="fr-FR"/>
        </w:rPr>
        <w:t>applicable</w:t>
      </w:r>
      <w:r w:rsidR="00802882" w:rsidRPr="00F4758C">
        <w:rPr>
          <w:lang w:val="en-GB" w:eastAsia="fr-FR"/>
        </w:rPr>
        <w:t xml:space="preserve">, on the one hand, </w:t>
      </w:r>
      <w:r w:rsidR="0057739F" w:rsidRPr="00F4758C">
        <w:rPr>
          <w:lang w:val="en-GB" w:eastAsia="fr-FR"/>
        </w:rPr>
        <w:t xml:space="preserve">to </w:t>
      </w:r>
      <w:r w:rsidR="00FB64E5" w:rsidRPr="00F4758C">
        <w:rPr>
          <w:lang w:val="en-GB" w:eastAsia="fr-FR"/>
        </w:rPr>
        <w:t xml:space="preserve">public bodies </w:t>
      </w:r>
      <w:r w:rsidR="00802882" w:rsidRPr="00F4758C">
        <w:rPr>
          <w:lang w:val="en-GB" w:eastAsia="fr-FR"/>
        </w:rPr>
        <w:t>and private-law legal entities entrusted with a public service mission</w:t>
      </w:r>
      <w:r w:rsidR="00802882">
        <w:rPr>
          <w:rStyle w:val="Appelnotedebasdep"/>
          <w:lang w:eastAsia="fr-FR"/>
        </w:rPr>
        <w:footnoteReference w:id="7"/>
      </w:r>
      <w:r w:rsidR="00802882" w:rsidRPr="00F4758C">
        <w:rPr>
          <w:lang w:val="en-GB" w:eastAsia="fr-FR"/>
        </w:rPr>
        <w:t xml:space="preserve"> , </w:t>
      </w:r>
      <w:r w:rsidR="00FB64E5" w:rsidRPr="00F4758C">
        <w:rPr>
          <w:lang w:val="en-GB" w:eastAsia="fr-FR"/>
        </w:rPr>
        <w:t>and</w:t>
      </w:r>
      <w:r w:rsidR="00802882" w:rsidRPr="00F4758C">
        <w:rPr>
          <w:lang w:val="en-GB" w:eastAsia="fr-FR"/>
        </w:rPr>
        <w:t xml:space="preserve">, on the other hand, </w:t>
      </w:r>
      <w:r w:rsidR="00FB64E5" w:rsidRPr="00F4758C">
        <w:rPr>
          <w:lang w:val="en-GB" w:eastAsia="fr-FR"/>
        </w:rPr>
        <w:t xml:space="preserve">private companies with a turnover exceeding 250 million euros </w:t>
      </w:r>
      <w:r w:rsidR="008E3754" w:rsidRPr="00F4758C">
        <w:rPr>
          <w:lang w:val="en-GB" w:eastAsia="fr-FR"/>
        </w:rPr>
        <w:t xml:space="preserve">(Decree No. 2019-768 of 24 July 2019) or companies in certain sectors, excluding micro-enterprises, as specified in </w:t>
      </w:r>
      <w:r w:rsidR="008E3754" w:rsidRPr="00E460E1">
        <w:rPr>
          <w:lang w:val="en-GB" w:eastAsia="fr-FR"/>
        </w:rPr>
        <w:t>the European Accessibility Act</w:t>
      </w:r>
      <w:r w:rsidRPr="00F4758C">
        <w:rPr>
          <w:lang w:val="en-GB" w:eastAsia="fr-FR"/>
        </w:rPr>
        <w:t>.</w:t>
      </w:r>
    </w:p>
    <w:p w14:paraId="5A8FFB45" w14:textId="254661B0" w:rsidR="007B2E61" w:rsidRPr="00F4758C" w:rsidRDefault="00A61B0A" w:rsidP="0031621F">
      <w:pPr>
        <w:spacing w:before="160"/>
        <w:rPr>
          <w:lang w:val="en-GB" w:eastAsia="fr-FR"/>
        </w:rPr>
      </w:pPr>
      <w:r w:rsidRPr="00F4758C">
        <w:rPr>
          <w:lang w:val="en-GB" w:eastAsia="fr-FR"/>
        </w:rPr>
        <w:t>The four fundamental pillars of digital accessibility proposed by the WCAG are based on the following criteria</w:t>
      </w:r>
      <w:r w:rsidR="00BB7747">
        <w:rPr>
          <w:lang w:val="en-GB" w:eastAsia="fr-FR"/>
        </w:rPr>
        <w:t>:</w:t>
      </w:r>
      <w:r w:rsidR="00F700FD">
        <w:rPr>
          <w:lang w:val="en-GB" w:eastAsia="fr-FR"/>
        </w:rPr>
        <w:t xml:space="preserve"> </w:t>
      </w:r>
    </w:p>
    <w:p w14:paraId="044AF1F9" w14:textId="4FF6F928" w:rsidR="0031621F" w:rsidRPr="00F4758C" w:rsidRDefault="0031621F">
      <w:pPr>
        <w:numPr>
          <w:ilvl w:val="0"/>
          <w:numId w:val="12"/>
        </w:numPr>
        <w:spacing w:before="160"/>
        <w:rPr>
          <w:lang w:val="en-GB" w:eastAsia="fr-FR"/>
        </w:rPr>
      </w:pPr>
      <w:r w:rsidRPr="00F4758C">
        <w:rPr>
          <w:b/>
          <w:bCs/>
          <w:lang w:val="en-GB" w:eastAsia="fr-FR"/>
        </w:rPr>
        <w:t>Perceptible</w:t>
      </w:r>
      <w:r w:rsidRPr="00F4758C">
        <w:rPr>
          <w:lang w:val="en-GB" w:eastAsia="fr-FR"/>
        </w:rPr>
        <w:t xml:space="preserve">: the user must be able to perceive the information and interface components </w:t>
      </w:r>
      <w:r w:rsidR="00AA79E2" w:rsidRPr="00F4758C">
        <w:rPr>
          <w:lang w:val="en-GB" w:eastAsia="fr-FR"/>
        </w:rPr>
        <w:t xml:space="preserve">using </w:t>
      </w:r>
      <w:r w:rsidRPr="00F4758C">
        <w:rPr>
          <w:lang w:val="en-GB" w:eastAsia="fr-FR"/>
        </w:rPr>
        <w:t>any</w:t>
      </w:r>
      <w:r w:rsidR="00AA79E2" w:rsidRPr="00F4758C">
        <w:rPr>
          <w:lang w:val="en-GB" w:eastAsia="fr-FR"/>
        </w:rPr>
        <w:t xml:space="preserve"> of </w:t>
      </w:r>
      <w:r w:rsidRPr="00F4758C">
        <w:rPr>
          <w:lang w:val="en-GB" w:eastAsia="fr-FR"/>
        </w:rPr>
        <w:t xml:space="preserve">their senses: </w:t>
      </w:r>
      <w:r w:rsidR="00645E8E" w:rsidRPr="00F4758C">
        <w:rPr>
          <w:lang w:val="en-GB" w:eastAsia="fr-FR"/>
        </w:rPr>
        <w:t>sight</w:t>
      </w:r>
      <w:r w:rsidRPr="00F4758C">
        <w:rPr>
          <w:lang w:val="en-GB" w:eastAsia="fr-FR"/>
        </w:rPr>
        <w:t xml:space="preserve">, </w:t>
      </w:r>
      <w:r w:rsidR="00645E8E" w:rsidRPr="00F4758C">
        <w:rPr>
          <w:lang w:val="en-GB" w:eastAsia="fr-FR"/>
        </w:rPr>
        <w:t xml:space="preserve">hearing </w:t>
      </w:r>
      <w:r w:rsidRPr="00F4758C">
        <w:rPr>
          <w:lang w:val="en-GB" w:eastAsia="fr-FR"/>
        </w:rPr>
        <w:t>or touch (via the keyboard).</w:t>
      </w:r>
    </w:p>
    <w:p w14:paraId="4A31920E" w14:textId="610D142D" w:rsidR="0031621F" w:rsidRPr="00F4758C" w:rsidRDefault="0031621F">
      <w:pPr>
        <w:numPr>
          <w:ilvl w:val="0"/>
          <w:numId w:val="12"/>
        </w:numPr>
        <w:spacing w:before="160"/>
        <w:rPr>
          <w:lang w:val="en-GB" w:eastAsia="fr-FR"/>
        </w:rPr>
      </w:pPr>
      <w:r w:rsidRPr="00BB7747">
        <w:rPr>
          <w:b/>
          <w:bCs/>
          <w:lang w:val="en-GB" w:eastAsia="fr-FR"/>
        </w:rPr>
        <w:t>Operable</w:t>
      </w:r>
      <w:r w:rsidRPr="00F4758C">
        <w:rPr>
          <w:lang w:val="en-GB" w:eastAsia="fr-FR"/>
        </w:rPr>
        <w:t>: the user must be able to navigate and interact with all interface components without difficulty.</w:t>
      </w:r>
    </w:p>
    <w:p w14:paraId="6ABD108E" w14:textId="7B85B345" w:rsidR="0031621F" w:rsidRPr="00F4758C" w:rsidRDefault="0031621F">
      <w:pPr>
        <w:numPr>
          <w:ilvl w:val="0"/>
          <w:numId w:val="12"/>
        </w:numPr>
        <w:spacing w:before="160"/>
        <w:rPr>
          <w:lang w:val="en-GB" w:eastAsia="fr-FR"/>
        </w:rPr>
      </w:pPr>
      <w:r w:rsidRPr="00BB7747">
        <w:rPr>
          <w:b/>
          <w:bCs/>
          <w:lang w:val="en-GB" w:eastAsia="fr-FR"/>
        </w:rPr>
        <w:t>Understandable</w:t>
      </w:r>
      <w:r w:rsidRPr="00F4758C">
        <w:rPr>
          <w:lang w:val="en-GB" w:eastAsia="fr-FR"/>
        </w:rPr>
        <w:t xml:space="preserve">: the user must be able to understand the information and </w:t>
      </w:r>
      <w:r w:rsidR="00645E8E" w:rsidRPr="00F4758C">
        <w:rPr>
          <w:lang w:val="en-GB" w:eastAsia="fr-FR"/>
        </w:rPr>
        <w:t xml:space="preserve">how </w:t>
      </w:r>
      <w:r w:rsidRPr="00F4758C">
        <w:rPr>
          <w:lang w:val="en-GB" w:eastAsia="fr-FR"/>
        </w:rPr>
        <w:t>to use the interface.</w:t>
      </w:r>
    </w:p>
    <w:p w14:paraId="7230FFE2" w14:textId="77777777" w:rsidR="0031621F" w:rsidRPr="00F4758C" w:rsidRDefault="0031621F">
      <w:pPr>
        <w:numPr>
          <w:ilvl w:val="0"/>
          <w:numId w:val="12"/>
        </w:numPr>
        <w:spacing w:before="160"/>
        <w:rPr>
          <w:lang w:val="en-GB" w:eastAsia="fr-FR"/>
        </w:rPr>
      </w:pPr>
      <w:r w:rsidRPr="00F4758C">
        <w:rPr>
          <w:b/>
          <w:bCs/>
          <w:lang w:val="en-GB" w:eastAsia="fr-FR"/>
        </w:rPr>
        <w:t>Robust</w:t>
      </w:r>
      <w:r w:rsidRPr="00F4758C">
        <w:rPr>
          <w:lang w:val="en-GB" w:eastAsia="fr-FR"/>
        </w:rPr>
        <w:t>: the content must remain compatible with a wide variety of assistive technologies. This requires designing the code and interfaces to be modular so as to accommodate any future developments in assistive technologies.</w:t>
      </w:r>
    </w:p>
    <w:p w14:paraId="72E6A8FA" w14:textId="1C578FE9" w:rsidR="00725DFE" w:rsidRPr="00F4758C" w:rsidRDefault="00725DFE" w:rsidP="00725DFE">
      <w:pPr>
        <w:spacing w:before="160"/>
        <w:rPr>
          <w:lang w:val="en-GB" w:eastAsia="fr-FR"/>
        </w:rPr>
      </w:pPr>
      <w:r w:rsidRPr="00F4758C">
        <w:rPr>
          <w:lang w:val="en-GB" w:eastAsia="fr-FR"/>
        </w:rPr>
        <w:lastRenderedPageBreak/>
        <w:t xml:space="preserve">The RGAA </w:t>
      </w:r>
      <w:r w:rsidR="006F165D">
        <w:rPr>
          <w:lang w:val="en-GB" w:eastAsia="fr-FR"/>
        </w:rPr>
        <w:t>(</w:t>
      </w:r>
      <w:r w:rsidR="006F165D" w:rsidRPr="006F165D">
        <w:rPr>
          <w:lang w:val="en-GB" w:eastAsia="fr-FR"/>
        </w:rPr>
        <w:t>General Accessibility Improvement Framework</w:t>
      </w:r>
      <w:r w:rsidR="006F165D">
        <w:rPr>
          <w:lang w:val="en-GB" w:eastAsia="fr-FR"/>
        </w:rPr>
        <w:t xml:space="preserve">) </w:t>
      </w:r>
      <w:r w:rsidRPr="00F4758C">
        <w:rPr>
          <w:lang w:val="en-GB" w:eastAsia="fr-FR"/>
        </w:rPr>
        <w:t xml:space="preserve">applies to websites, mobile applications, intranets, extranets and digital documents; it defines a set of verifiable criteria for assessing compliance; and it provides a framework for audits and reporting obligations. Compliance with the RGAA is a regulatory requirement, but it does not, on its own, guarantee genuine accessibility from a user perspective. This is why any accessibility initiative must combine technical compliance (RGAA) with validation through actual use (user testing). </w:t>
      </w:r>
    </w:p>
    <w:p w14:paraId="5CD57B4F" w14:textId="4311157B" w:rsidR="0031621F" w:rsidRPr="00F4758C" w:rsidRDefault="0031621F" w:rsidP="00725DFE">
      <w:pPr>
        <w:spacing w:before="160"/>
        <w:rPr>
          <w:lang w:val="en-GB" w:eastAsia="fr-FR"/>
        </w:rPr>
      </w:pPr>
      <w:r w:rsidRPr="00F4758C">
        <w:rPr>
          <w:lang w:val="en-GB" w:eastAsia="fr-FR"/>
        </w:rPr>
        <w:t xml:space="preserve">In a business or public sector context, digital accessibility is not limited to the mere compliance of a few websites. It is a cross-organisational and strategic approach aimed at ensuring that all digital products and services (websites, business applications, intranets, office documents, etc.) are </w:t>
      </w:r>
      <w:r w:rsidR="001B765D" w:rsidRPr="00F4758C">
        <w:rPr>
          <w:lang w:val="en-GB" w:eastAsia="fr-FR"/>
        </w:rPr>
        <w:t>designed</w:t>
      </w:r>
      <w:r w:rsidRPr="00F4758C">
        <w:rPr>
          <w:lang w:val="en-GB" w:eastAsia="fr-FR"/>
        </w:rPr>
        <w:t xml:space="preserve">, </w:t>
      </w:r>
      <w:r w:rsidR="001B765D" w:rsidRPr="00F4758C">
        <w:rPr>
          <w:lang w:val="en-GB" w:eastAsia="fr-FR"/>
        </w:rPr>
        <w:t xml:space="preserve">developed </w:t>
      </w:r>
      <w:r w:rsidRPr="00F4758C">
        <w:rPr>
          <w:lang w:val="en-GB" w:eastAsia="fr-FR"/>
        </w:rPr>
        <w:t xml:space="preserve">and </w:t>
      </w:r>
      <w:r w:rsidR="001B765D" w:rsidRPr="00F4758C">
        <w:rPr>
          <w:lang w:val="en-GB" w:eastAsia="fr-FR"/>
        </w:rPr>
        <w:t xml:space="preserve">maintained </w:t>
      </w:r>
      <w:r w:rsidRPr="00F4758C">
        <w:rPr>
          <w:lang w:val="en-GB" w:eastAsia="fr-FR"/>
        </w:rPr>
        <w:t xml:space="preserve">in such a way that they can be </w:t>
      </w:r>
      <w:r w:rsidR="001B765D" w:rsidRPr="00F4758C">
        <w:rPr>
          <w:lang w:val="en-GB" w:eastAsia="fr-FR"/>
        </w:rPr>
        <w:t xml:space="preserve">used </w:t>
      </w:r>
      <w:r w:rsidRPr="00F4758C">
        <w:rPr>
          <w:lang w:val="en-GB" w:eastAsia="fr-FR"/>
        </w:rPr>
        <w:t xml:space="preserve">by everyone. This requires a proper organisational structure </w:t>
      </w:r>
      <w:r w:rsidR="00645E8E" w:rsidRPr="00F4758C">
        <w:rPr>
          <w:lang w:val="en-GB" w:eastAsia="fr-FR"/>
        </w:rPr>
        <w:t>with the associated</w:t>
      </w:r>
      <w:r w:rsidRPr="00F4758C">
        <w:rPr>
          <w:lang w:val="en-GB" w:eastAsia="fr-FR"/>
        </w:rPr>
        <w:t xml:space="preserve"> governance (a topic we will explore in Part 2).</w:t>
      </w:r>
    </w:p>
    <w:p w14:paraId="319E47F0" w14:textId="656D30A0" w:rsidR="0031621F" w:rsidRPr="0031621F" w:rsidRDefault="0031621F" w:rsidP="0031621F">
      <w:pPr>
        <w:pStyle w:val="Titre3"/>
      </w:pPr>
      <w:bookmarkStart w:id="9" w:name="_Toc230076996"/>
      <w:r>
        <w:t>Understanding the legal framework</w:t>
      </w:r>
      <w:bookmarkEnd w:id="9"/>
    </w:p>
    <w:p w14:paraId="4B655A80" w14:textId="77777777" w:rsidR="0031621F" w:rsidRPr="00F4758C" w:rsidRDefault="0031621F" w:rsidP="00401C48">
      <w:pPr>
        <w:spacing w:before="160"/>
        <w:rPr>
          <w:lang w:val="en-GB" w:eastAsia="fr-FR"/>
        </w:rPr>
      </w:pPr>
      <w:r w:rsidRPr="00F4758C">
        <w:rPr>
          <w:b/>
          <w:bCs/>
          <w:lang w:val="en-GB" w:eastAsia="fr-FR"/>
        </w:rPr>
        <w:t>At national level</w:t>
      </w:r>
      <w:r w:rsidRPr="00F4758C">
        <w:rPr>
          <w:lang w:val="en-GB" w:eastAsia="fr-FR"/>
        </w:rPr>
        <w:t>, two pieces of legislation govern accessibility measures:</w:t>
      </w:r>
    </w:p>
    <w:p w14:paraId="0A4DB180" w14:textId="5DB16AF3" w:rsidR="0031621F" w:rsidRPr="00F4758C" w:rsidRDefault="001B765D">
      <w:pPr>
        <w:numPr>
          <w:ilvl w:val="0"/>
          <w:numId w:val="13"/>
        </w:numPr>
        <w:spacing w:before="160"/>
        <w:rPr>
          <w:lang w:val="en-GB" w:eastAsia="fr-FR"/>
        </w:rPr>
      </w:pPr>
      <w:r w:rsidRPr="00F4758C">
        <w:rPr>
          <w:lang w:val="en-GB" w:eastAsia="fr-FR"/>
        </w:rPr>
        <w:t>Act</w:t>
      </w:r>
      <w:r w:rsidR="0031621F" w:rsidRPr="00F4758C">
        <w:rPr>
          <w:lang w:val="en-GB" w:eastAsia="fr-FR"/>
        </w:rPr>
        <w:t xml:space="preserve"> No. 2005-102 of 11 February 2005 </w:t>
      </w:r>
      <w:r w:rsidR="00FB64E5" w:rsidRPr="00F4758C">
        <w:rPr>
          <w:lang w:val="en-GB" w:eastAsia="fr-FR"/>
        </w:rPr>
        <w:t xml:space="preserve">(Articles 47 and 48) </w:t>
      </w:r>
      <w:r w:rsidR="0031621F" w:rsidRPr="00F4758C">
        <w:rPr>
          <w:lang w:val="en-GB" w:eastAsia="fr-FR"/>
        </w:rPr>
        <w:t xml:space="preserve">promoting equal rights and opportunities, participation and citizenship for people with disabilities. </w:t>
      </w:r>
      <w:r w:rsidR="00FB64E5" w:rsidRPr="00F4758C">
        <w:rPr>
          <w:lang w:val="en-GB" w:eastAsia="fr-FR"/>
        </w:rPr>
        <w:t xml:space="preserve">This Act laid </w:t>
      </w:r>
      <w:r w:rsidR="0031621F" w:rsidRPr="00F4758C">
        <w:rPr>
          <w:lang w:val="en-GB" w:eastAsia="fr-FR"/>
        </w:rPr>
        <w:t xml:space="preserve">the foundations for digital inclusion for people with disabilities, </w:t>
      </w:r>
      <w:r w:rsidR="00BF3E4B" w:rsidRPr="00F4758C">
        <w:rPr>
          <w:lang w:val="en-GB" w:eastAsia="fr-FR"/>
        </w:rPr>
        <w:t xml:space="preserve">establishing a legal framework whose implementation has, however, proved slow and laborious. </w:t>
      </w:r>
    </w:p>
    <w:p w14:paraId="619F3C89" w14:textId="7296B684" w:rsidR="0031621F" w:rsidRPr="00F4758C" w:rsidRDefault="0031621F">
      <w:pPr>
        <w:numPr>
          <w:ilvl w:val="0"/>
          <w:numId w:val="13"/>
        </w:numPr>
        <w:spacing w:before="160"/>
        <w:rPr>
          <w:lang w:val="en-GB" w:eastAsia="fr-FR"/>
        </w:rPr>
      </w:pPr>
      <w:r w:rsidRPr="00F4758C">
        <w:rPr>
          <w:lang w:val="en-GB" w:eastAsia="fr-FR"/>
        </w:rPr>
        <w:t>Decree No. 2019-768 of 24 July 2019 on the accessibility of online public communication services for people with disabilities</w:t>
      </w:r>
      <w:r w:rsidR="001B765D" w:rsidRPr="00F4758C">
        <w:rPr>
          <w:lang w:val="en-GB" w:eastAsia="fr-FR"/>
        </w:rPr>
        <w:t xml:space="preserve">. This decree </w:t>
      </w:r>
      <w:r w:rsidR="00BF71DE" w:rsidRPr="00F4758C">
        <w:rPr>
          <w:lang w:val="en-GB" w:eastAsia="fr-FR"/>
        </w:rPr>
        <w:t xml:space="preserve">extends the provisions </w:t>
      </w:r>
      <w:r w:rsidRPr="00F4758C">
        <w:rPr>
          <w:lang w:val="en-GB" w:eastAsia="fr-FR"/>
        </w:rPr>
        <w:t xml:space="preserve">to private companies </w:t>
      </w:r>
      <w:r w:rsidR="00AA79E2" w:rsidRPr="00F4758C">
        <w:rPr>
          <w:lang w:val="en-GB" w:eastAsia="fr-FR"/>
        </w:rPr>
        <w:t xml:space="preserve">with a </w:t>
      </w:r>
      <w:r w:rsidRPr="00F4758C">
        <w:rPr>
          <w:lang w:val="en-GB" w:eastAsia="fr-FR"/>
        </w:rPr>
        <w:t>turnover exceeding</w:t>
      </w:r>
      <w:r w:rsidR="00FB64E5" w:rsidRPr="00F4758C">
        <w:rPr>
          <w:lang w:val="en-GB" w:eastAsia="fr-FR"/>
        </w:rPr>
        <w:t xml:space="preserve"> 250 </w:t>
      </w:r>
      <w:r w:rsidRPr="00F4758C">
        <w:rPr>
          <w:lang w:val="en-GB" w:eastAsia="fr-FR"/>
        </w:rPr>
        <w:t>million euros</w:t>
      </w:r>
      <w:r w:rsidR="001B765D" w:rsidRPr="00F4758C">
        <w:rPr>
          <w:lang w:val="en-GB" w:eastAsia="fr-FR"/>
        </w:rPr>
        <w:t xml:space="preserve">, </w:t>
      </w:r>
      <w:r w:rsidR="00BF71DE" w:rsidRPr="00F4758C">
        <w:rPr>
          <w:lang w:val="en-GB" w:eastAsia="fr-FR"/>
        </w:rPr>
        <w:t>which must:</w:t>
      </w:r>
    </w:p>
    <w:p w14:paraId="7E685B8A" w14:textId="02C96651" w:rsidR="00BF71DE" w:rsidRPr="00F4758C" w:rsidRDefault="00BF71DE">
      <w:pPr>
        <w:numPr>
          <w:ilvl w:val="1"/>
          <w:numId w:val="13"/>
        </w:numPr>
        <w:spacing w:before="160"/>
        <w:rPr>
          <w:lang w:val="en-GB" w:eastAsia="fr-FR"/>
        </w:rPr>
      </w:pPr>
      <w:r w:rsidRPr="00F4758C">
        <w:rPr>
          <w:lang w:val="en-GB" w:eastAsia="fr-FR"/>
        </w:rPr>
        <w:t>publish an accessibility statement based on the RGAA guidelines</w:t>
      </w:r>
      <w:r w:rsidR="00FC093D" w:rsidRPr="00F4758C">
        <w:rPr>
          <w:lang w:val="en-GB" w:eastAsia="fr-FR"/>
        </w:rPr>
        <w:t>;</w:t>
      </w:r>
    </w:p>
    <w:p w14:paraId="048CC222" w14:textId="4AC9EEF8" w:rsidR="00BF71DE" w:rsidRPr="00F4758C" w:rsidRDefault="00BF71DE">
      <w:pPr>
        <w:numPr>
          <w:ilvl w:val="1"/>
          <w:numId w:val="13"/>
        </w:numPr>
        <w:spacing w:before="160"/>
        <w:rPr>
          <w:lang w:val="en-GB" w:eastAsia="fr-FR"/>
        </w:rPr>
      </w:pPr>
      <w:r w:rsidRPr="00F4758C">
        <w:rPr>
          <w:lang w:val="en-GB" w:eastAsia="fr-FR"/>
        </w:rPr>
        <w:t xml:space="preserve">display their compliance status on the homepage </w:t>
      </w:r>
      <w:r w:rsidR="0071178A" w:rsidRPr="00F4758C">
        <w:rPr>
          <w:lang w:val="en-GB" w:eastAsia="fr-FR"/>
        </w:rPr>
        <w:t>of their websites</w:t>
      </w:r>
      <w:r w:rsidR="00FC093D" w:rsidRPr="00F4758C">
        <w:rPr>
          <w:lang w:val="en-GB" w:eastAsia="fr-FR"/>
        </w:rPr>
        <w:t>;</w:t>
      </w:r>
    </w:p>
    <w:p w14:paraId="270055B7" w14:textId="1939C0C9" w:rsidR="00BF71DE" w:rsidRPr="00F4758C" w:rsidRDefault="00BF71DE">
      <w:pPr>
        <w:numPr>
          <w:ilvl w:val="1"/>
          <w:numId w:val="13"/>
        </w:numPr>
        <w:spacing w:before="160"/>
        <w:rPr>
          <w:lang w:val="en-GB" w:eastAsia="fr-FR"/>
        </w:rPr>
      </w:pPr>
      <w:r w:rsidRPr="00F4758C">
        <w:rPr>
          <w:lang w:val="en-GB" w:eastAsia="fr-FR"/>
        </w:rPr>
        <w:t>publish a multi-year roadmap and three-year action plans</w:t>
      </w:r>
      <w:r w:rsidR="00FC093D" w:rsidRPr="00F4758C">
        <w:rPr>
          <w:lang w:val="en-GB" w:eastAsia="fr-FR"/>
        </w:rPr>
        <w:t>;</w:t>
      </w:r>
    </w:p>
    <w:p w14:paraId="11962D84" w14:textId="70819AD1" w:rsidR="00BF71DE" w:rsidRPr="00F4758C" w:rsidRDefault="00FC093D">
      <w:pPr>
        <w:numPr>
          <w:ilvl w:val="1"/>
          <w:numId w:val="13"/>
        </w:numPr>
        <w:spacing w:before="160"/>
        <w:rPr>
          <w:lang w:val="en-GB" w:eastAsia="fr-FR"/>
        </w:rPr>
      </w:pPr>
      <w:r w:rsidRPr="00F4758C">
        <w:rPr>
          <w:lang w:val="en-GB" w:eastAsia="fr-FR"/>
        </w:rPr>
        <w:t xml:space="preserve">appoint </w:t>
      </w:r>
      <w:r w:rsidR="00BF71DE" w:rsidRPr="00F4758C">
        <w:rPr>
          <w:lang w:val="en-GB" w:eastAsia="fr-FR"/>
        </w:rPr>
        <w:t>an in-house accessibility officer</w:t>
      </w:r>
      <w:r w:rsidRPr="00F4758C">
        <w:rPr>
          <w:lang w:val="en-GB" w:eastAsia="fr-FR"/>
        </w:rPr>
        <w:t xml:space="preserve">; </w:t>
      </w:r>
    </w:p>
    <w:p w14:paraId="6E16C195" w14:textId="2B41B05E" w:rsidR="00FC093D" w:rsidRPr="00F4758C" w:rsidRDefault="00FC093D">
      <w:pPr>
        <w:numPr>
          <w:ilvl w:val="1"/>
          <w:numId w:val="13"/>
        </w:numPr>
        <w:spacing w:before="160"/>
        <w:rPr>
          <w:lang w:val="en-GB" w:eastAsia="fr-FR"/>
        </w:rPr>
      </w:pPr>
      <w:r w:rsidRPr="00F4758C">
        <w:rPr>
          <w:lang w:val="en-GB" w:eastAsia="fr-FR"/>
        </w:rPr>
        <w:t>set up a reporting system for users and undertake to address any issues raised within a reasonable timeframe.</w:t>
      </w:r>
    </w:p>
    <w:p w14:paraId="34E24716" w14:textId="7F27D4A8" w:rsidR="0031621F" w:rsidRPr="00F4758C" w:rsidRDefault="0031621F" w:rsidP="00401C48">
      <w:pPr>
        <w:spacing w:before="160"/>
        <w:rPr>
          <w:lang w:val="en-GB" w:eastAsia="fr-FR"/>
        </w:rPr>
      </w:pPr>
      <w:r w:rsidRPr="00F4758C">
        <w:rPr>
          <w:b/>
          <w:bCs/>
          <w:lang w:val="en-GB" w:eastAsia="fr-FR"/>
        </w:rPr>
        <w:t>At European level</w:t>
      </w:r>
      <w:r w:rsidRPr="00F4758C">
        <w:rPr>
          <w:lang w:val="en-GB" w:eastAsia="fr-FR"/>
        </w:rPr>
        <w:t>, two directives set out the accessibility requirements for the use of digital tools and services:</w:t>
      </w:r>
    </w:p>
    <w:p w14:paraId="67CDDF5F" w14:textId="0AF1E290" w:rsidR="0031621F" w:rsidRPr="00F4758C" w:rsidRDefault="0031621F">
      <w:pPr>
        <w:numPr>
          <w:ilvl w:val="0"/>
          <w:numId w:val="14"/>
        </w:numPr>
        <w:spacing w:before="160"/>
        <w:rPr>
          <w:lang w:val="en-GB" w:eastAsia="fr-FR"/>
        </w:rPr>
      </w:pPr>
      <w:r w:rsidRPr="00F4758C">
        <w:rPr>
          <w:lang w:val="en-GB" w:eastAsia="fr-FR"/>
        </w:rPr>
        <w:t>Directive (EU) 2016/2102</w:t>
      </w:r>
      <w:r w:rsidR="00401C48" w:rsidRPr="00401C48">
        <w:rPr>
          <w:vertAlign w:val="superscript"/>
          <w:lang w:eastAsia="fr-FR"/>
        </w:rPr>
        <w:footnoteReference w:id="8"/>
      </w:r>
      <w:r w:rsidRPr="00F4758C">
        <w:rPr>
          <w:lang w:val="en-GB" w:eastAsia="fr-FR"/>
        </w:rPr>
        <w:t xml:space="preserve"> , on the accessibility of websites and mobile applications of public sector bodies. This directive enables</w:t>
      </w:r>
      <w:r w:rsidR="00AA79E2" w:rsidRPr="00F4758C">
        <w:rPr>
          <w:lang w:val="en-GB" w:eastAsia="fr-FR"/>
        </w:rPr>
        <w:t xml:space="preserve">, for the first time, </w:t>
      </w:r>
      <w:r w:rsidRPr="00F4758C">
        <w:rPr>
          <w:lang w:val="en-GB" w:eastAsia="fr-FR"/>
        </w:rPr>
        <w:t>the harmonisation of accessibility rules for public services across Europe</w:t>
      </w:r>
      <w:r w:rsidR="00401C48" w:rsidRPr="00F4758C">
        <w:rPr>
          <w:lang w:val="en-GB" w:eastAsia="fr-FR"/>
        </w:rPr>
        <w:t>, which must comply with the requirements set out in the European standard EN 301 549</w:t>
      </w:r>
      <w:r w:rsidR="00401C48" w:rsidRPr="00401C48">
        <w:rPr>
          <w:vertAlign w:val="superscript"/>
          <w:lang w:eastAsia="fr-FR"/>
        </w:rPr>
        <w:footnoteReference w:id="9"/>
      </w:r>
      <w:r w:rsidR="00401C48" w:rsidRPr="00F4758C">
        <w:rPr>
          <w:lang w:val="en-GB" w:eastAsia="fr-FR"/>
        </w:rPr>
        <w:t xml:space="preserve"> , which incorporates the success criteria of the </w:t>
      </w:r>
      <w:r w:rsidR="00401C48" w:rsidRPr="001F2368">
        <w:rPr>
          <w:lang w:val="en-GB" w:eastAsia="fr-FR"/>
        </w:rPr>
        <w:t xml:space="preserve">Web Content Accessibility Guidelines </w:t>
      </w:r>
      <w:r w:rsidR="00401C48" w:rsidRPr="00F4758C">
        <w:rPr>
          <w:lang w:val="en-GB" w:eastAsia="fr-FR"/>
        </w:rPr>
        <w:t xml:space="preserve">(WCAG). </w:t>
      </w:r>
    </w:p>
    <w:p w14:paraId="5FFF2B2F" w14:textId="034A50B3" w:rsidR="0031621F" w:rsidRPr="00F4758C" w:rsidRDefault="0031621F">
      <w:pPr>
        <w:numPr>
          <w:ilvl w:val="0"/>
          <w:numId w:val="14"/>
        </w:numPr>
        <w:spacing w:before="160"/>
        <w:rPr>
          <w:lang w:val="en-GB" w:eastAsia="fr-FR"/>
        </w:rPr>
      </w:pPr>
      <w:r w:rsidRPr="00F4758C">
        <w:rPr>
          <w:lang w:val="en-GB" w:eastAsia="fr-FR"/>
        </w:rPr>
        <w:lastRenderedPageBreak/>
        <w:t xml:space="preserve">Directive (EU) 2019/882, also known as </w:t>
      </w:r>
      <w:r w:rsidRPr="00E460E1">
        <w:rPr>
          <w:lang w:val="en-GB" w:eastAsia="fr-FR"/>
        </w:rPr>
        <w:t xml:space="preserve">the </w:t>
      </w:r>
      <w:r w:rsidRPr="00E460E1">
        <w:rPr>
          <w:b/>
          <w:bCs/>
          <w:lang w:val="en-GB" w:eastAsia="fr-FR"/>
        </w:rPr>
        <w:t>European Accessibility Act</w:t>
      </w:r>
      <w:r w:rsidRPr="00F4758C">
        <w:rPr>
          <w:lang w:val="en-GB" w:eastAsia="fr-FR"/>
        </w:rPr>
        <w:t xml:space="preserve"> (EAA), concerning </w:t>
      </w:r>
      <w:r w:rsidR="003C2E15" w:rsidRPr="00F4758C">
        <w:rPr>
          <w:lang w:val="en-GB" w:eastAsia="fr-FR"/>
        </w:rPr>
        <w:t xml:space="preserve">accessibility </w:t>
      </w:r>
      <w:r w:rsidRPr="00F4758C">
        <w:rPr>
          <w:lang w:val="en-GB" w:eastAsia="fr-FR"/>
        </w:rPr>
        <w:t>requirements for products and services</w:t>
      </w:r>
      <w:r w:rsidR="00A5437B" w:rsidRPr="00F4758C">
        <w:rPr>
          <w:b/>
          <w:bCs/>
          <w:lang w:val="en-GB" w:eastAsia="fr-FR"/>
        </w:rPr>
        <w:t xml:space="preserve">, </w:t>
      </w:r>
      <w:r w:rsidRPr="00F4758C">
        <w:rPr>
          <w:b/>
          <w:bCs/>
          <w:lang w:val="en-GB" w:eastAsia="fr-FR"/>
        </w:rPr>
        <w:t>has been transposed into national law and has been in force since 28 June 2025</w:t>
      </w:r>
      <w:r>
        <w:rPr>
          <w:rStyle w:val="Appelnotedebasdep"/>
          <w:b/>
          <w:bCs/>
          <w:lang w:eastAsia="fr-FR"/>
        </w:rPr>
        <w:footnoteReference w:id="10"/>
      </w:r>
      <w:r w:rsidR="002650C5" w:rsidRPr="00F4758C">
        <w:rPr>
          <w:lang w:val="en-GB" w:eastAsia="fr-FR"/>
        </w:rPr>
        <w:t xml:space="preserve"> .</w:t>
      </w:r>
      <w:r w:rsidR="00AD5507" w:rsidRPr="00F4758C">
        <w:rPr>
          <w:lang w:val="en-GB" w:eastAsia="fr-FR"/>
        </w:rPr>
        <w:t xml:space="preserve"> </w:t>
      </w:r>
      <w:r w:rsidR="001459B6" w:rsidRPr="00F4758C">
        <w:rPr>
          <w:lang w:val="en-GB" w:eastAsia="fr-FR"/>
        </w:rPr>
        <w:t>The operational framework is set out in Decree No. 2023-931 of 9 October 2023</w:t>
      </w:r>
      <w:r w:rsidR="001459B6">
        <w:rPr>
          <w:rStyle w:val="Appelnotedebasdep"/>
          <w:lang w:eastAsia="fr-FR"/>
        </w:rPr>
        <w:footnoteReference w:id="11"/>
      </w:r>
      <w:r w:rsidR="001459B6" w:rsidRPr="00F4758C">
        <w:rPr>
          <w:lang w:val="en-GB" w:eastAsia="fr-FR"/>
        </w:rPr>
        <w:t xml:space="preserve"> and the technical specifications are detailed in the Order of 9 October 2023 laying down the accessibility requirements applicable to products and services</w:t>
      </w:r>
      <w:r w:rsidR="001459B6">
        <w:rPr>
          <w:rStyle w:val="Appelnotedebasdep"/>
          <w:lang w:eastAsia="fr-FR"/>
        </w:rPr>
        <w:footnoteReference w:id="12"/>
      </w:r>
      <w:r w:rsidR="001459B6" w:rsidRPr="00F4758C">
        <w:rPr>
          <w:lang w:val="en-GB" w:eastAsia="fr-FR"/>
        </w:rPr>
        <w:t xml:space="preserve"> . </w:t>
      </w:r>
      <w:r w:rsidRPr="00F4758C">
        <w:rPr>
          <w:lang w:val="en-GB" w:eastAsia="fr-FR"/>
        </w:rPr>
        <w:t xml:space="preserve">This directive extends the obligations to new private sectors such as banking, telecommunications, e-commerce and transport. A wider range of products and services now falls within the scope of the EAA: websites (intranets, extranets), mobile applications, business applications, software packages, as well as digital street furniture, IT equipment and operating systems.  </w:t>
      </w:r>
    </w:p>
    <w:p w14:paraId="5B288496" w14:textId="4533B935" w:rsidR="0031621F" w:rsidRPr="00F4758C" w:rsidRDefault="001B765D" w:rsidP="001B765D">
      <w:pPr>
        <w:spacing w:before="160"/>
        <w:rPr>
          <w:lang w:val="en-GB" w:eastAsia="fr-FR"/>
        </w:rPr>
      </w:pPr>
      <w:r w:rsidRPr="00F4758C">
        <w:rPr>
          <w:b/>
          <w:bCs/>
          <w:lang w:val="en-GB" w:eastAsia="fr-FR"/>
        </w:rPr>
        <w:t>In summary</w:t>
      </w:r>
      <w:r w:rsidRPr="00F4758C">
        <w:rPr>
          <w:lang w:val="en-GB" w:eastAsia="fr-FR"/>
        </w:rPr>
        <w:t xml:space="preserve">, </w:t>
      </w:r>
      <w:r w:rsidR="00A5437B" w:rsidRPr="00F4758C">
        <w:rPr>
          <w:lang w:val="en-GB" w:eastAsia="fr-FR"/>
        </w:rPr>
        <w:t xml:space="preserve">several </w:t>
      </w:r>
      <w:r w:rsidR="0031621F" w:rsidRPr="00F4758C">
        <w:rPr>
          <w:lang w:val="en-GB" w:eastAsia="fr-FR"/>
        </w:rPr>
        <w:t>requirements and reporting obligations now apply to organisations covered by this legislative framework:</w:t>
      </w:r>
    </w:p>
    <w:p w14:paraId="3C735884" w14:textId="46576607" w:rsidR="0031621F" w:rsidRPr="00F4758C" w:rsidRDefault="0031621F">
      <w:pPr>
        <w:numPr>
          <w:ilvl w:val="0"/>
          <w:numId w:val="15"/>
        </w:numPr>
        <w:spacing w:before="160"/>
        <w:rPr>
          <w:lang w:val="en-GB" w:eastAsia="fr-FR"/>
        </w:rPr>
      </w:pPr>
      <w:r w:rsidRPr="00F4758C">
        <w:rPr>
          <w:lang w:val="en-GB" w:eastAsia="fr-FR"/>
        </w:rPr>
        <w:t xml:space="preserve">Products and services must </w:t>
      </w:r>
      <w:r w:rsidRPr="00F4758C">
        <w:rPr>
          <w:b/>
          <w:bCs/>
          <w:lang w:val="en-GB" w:eastAsia="fr-FR"/>
        </w:rPr>
        <w:t xml:space="preserve">comply with the technical requirements </w:t>
      </w:r>
      <w:r w:rsidRPr="00F4758C">
        <w:rPr>
          <w:lang w:val="en-GB" w:eastAsia="fr-FR"/>
        </w:rPr>
        <w:t>set out in the Directive, based on harmonised standards such as the European standard EN 301 549, which itself is based on the WCAG.</w:t>
      </w:r>
    </w:p>
    <w:p w14:paraId="30179A9E" w14:textId="77777777" w:rsidR="0031621F" w:rsidRPr="00F4758C" w:rsidRDefault="0031621F">
      <w:pPr>
        <w:numPr>
          <w:ilvl w:val="0"/>
          <w:numId w:val="15"/>
        </w:numPr>
        <w:spacing w:before="160"/>
        <w:rPr>
          <w:lang w:val="en-GB" w:eastAsia="fr-FR"/>
        </w:rPr>
      </w:pPr>
      <w:r w:rsidRPr="00F4758C">
        <w:rPr>
          <w:lang w:val="en-GB" w:eastAsia="fr-FR"/>
        </w:rPr>
        <w:t xml:space="preserve">Manufacturers and suppliers must draw up </w:t>
      </w:r>
      <w:r w:rsidRPr="00F4758C">
        <w:rPr>
          <w:b/>
          <w:bCs/>
          <w:lang w:val="en-GB" w:eastAsia="fr-FR"/>
        </w:rPr>
        <w:t xml:space="preserve">technical documentation </w:t>
      </w:r>
      <w:r w:rsidRPr="00F4758C">
        <w:rPr>
          <w:lang w:val="en-GB" w:eastAsia="fr-FR"/>
        </w:rPr>
        <w:t>and affix a conformity</w:t>
      </w:r>
      <w:r w:rsidRPr="00F4758C">
        <w:rPr>
          <w:b/>
          <w:bCs/>
          <w:lang w:val="en-GB" w:eastAsia="fr-FR"/>
        </w:rPr>
        <w:t xml:space="preserve"> marking </w:t>
      </w:r>
      <w:r w:rsidRPr="00F4758C">
        <w:rPr>
          <w:lang w:val="en-GB" w:eastAsia="fr-FR"/>
        </w:rPr>
        <w:t>(CE marking) to the products.</w:t>
      </w:r>
    </w:p>
    <w:p w14:paraId="14937100" w14:textId="77777777" w:rsidR="0031621F" w:rsidRPr="00F4758C" w:rsidRDefault="0031621F">
      <w:pPr>
        <w:numPr>
          <w:ilvl w:val="0"/>
          <w:numId w:val="15"/>
        </w:numPr>
        <w:spacing w:before="160"/>
        <w:rPr>
          <w:lang w:val="en-GB" w:eastAsia="fr-FR"/>
        </w:rPr>
      </w:pPr>
      <w:r w:rsidRPr="00F4758C">
        <w:rPr>
          <w:lang w:val="en-GB" w:eastAsia="fr-FR"/>
        </w:rPr>
        <w:t xml:space="preserve">A </w:t>
      </w:r>
      <w:r w:rsidRPr="00F4758C">
        <w:rPr>
          <w:b/>
          <w:bCs/>
          <w:lang w:val="en-GB" w:eastAsia="fr-FR"/>
        </w:rPr>
        <w:t xml:space="preserve">declaration of conformity </w:t>
      </w:r>
      <w:r w:rsidRPr="00F4758C">
        <w:rPr>
          <w:lang w:val="en-GB" w:eastAsia="fr-FR"/>
        </w:rPr>
        <w:t>must be drawn up to certify compliance with accessibility requirements.</w:t>
      </w:r>
    </w:p>
    <w:p w14:paraId="0B53F899" w14:textId="1C71BB13" w:rsidR="00A126DB" w:rsidRPr="00F4758C" w:rsidRDefault="0031621F" w:rsidP="00E255AF">
      <w:pPr>
        <w:numPr>
          <w:ilvl w:val="0"/>
          <w:numId w:val="15"/>
        </w:numPr>
        <w:spacing w:before="160"/>
        <w:rPr>
          <w:lang w:val="en-GB" w:eastAsia="fr-FR"/>
        </w:rPr>
      </w:pPr>
      <w:r w:rsidRPr="00F4758C">
        <w:rPr>
          <w:lang w:val="en-GB" w:eastAsia="fr-FR"/>
        </w:rPr>
        <w:t xml:space="preserve">Organisations must </w:t>
      </w:r>
      <w:r w:rsidRPr="00F4758C">
        <w:rPr>
          <w:b/>
          <w:bCs/>
          <w:lang w:val="en-GB" w:eastAsia="fr-FR"/>
        </w:rPr>
        <w:t xml:space="preserve">provide information on the accessibility of their products and services </w:t>
      </w:r>
      <w:r w:rsidRPr="00F4758C">
        <w:rPr>
          <w:lang w:val="en-GB" w:eastAsia="fr-FR"/>
        </w:rPr>
        <w:t>in the documentation and via accessible support services (call centres, technical support).</w:t>
      </w:r>
    </w:p>
    <w:p w14:paraId="7E63E73C" w14:textId="38D94853" w:rsidR="006B4CB6" w:rsidRPr="00F4758C" w:rsidRDefault="00A126DB" w:rsidP="006150C0">
      <w:pPr>
        <w:spacing w:before="160"/>
        <w:ind w:left="360"/>
        <w:rPr>
          <w:lang w:val="en-GB" w:eastAsia="fr-FR"/>
        </w:rPr>
      </w:pPr>
      <w:r w:rsidRPr="00F4758C">
        <w:rPr>
          <w:lang w:val="en-GB" w:eastAsia="fr-FR"/>
        </w:rPr>
        <w:t xml:space="preserve">The digital accessibility regime for products and services allows businesses freedom of choice as to the method they use to comply with accessibility requirements. The key is to comply with the framework and technical specifications set out in the Order of 9 October 2023. However, </w:t>
      </w:r>
      <w:r w:rsidR="006B4CB6" w:rsidRPr="00F4758C">
        <w:rPr>
          <w:lang w:val="en-GB" w:eastAsia="fr-FR"/>
        </w:rPr>
        <w:t xml:space="preserve">Article D412-59 of the Consumer Code stipulates that </w:t>
      </w:r>
      <w:r w:rsidR="00BB7747">
        <w:rPr>
          <w:i/>
          <w:iCs/>
          <w:lang w:val="en-GB" w:eastAsia="fr-FR"/>
        </w:rPr>
        <w:t>“</w:t>
      </w:r>
      <w:r w:rsidR="006B4CB6" w:rsidRPr="00F4758C">
        <w:rPr>
          <w:i/>
          <w:iCs/>
          <w:lang w:val="en-GB" w:eastAsia="fr-FR"/>
        </w:rPr>
        <w:t>services that comply with harmonised standards or parts of harmonised standards […] are presumed to comply with the accessibility requirements set out in Article L. 412-13, insofar as those standards or parts of standards cover those requirements</w:t>
      </w:r>
      <w:r w:rsidR="00BB7747">
        <w:rPr>
          <w:lang w:val="en-GB" w:eastAsia="fr-FR"/>
        </w:rPr>
        <w:t>”</w:t>
      </w:r>
      <w:r w:rsidR="006B4CB6" w:rsidRPr="00F4758C">
        <w:rPr>
          <w:lang w:val="en-GB" w:eastAsia="fr-FR"/>
        </w:rPr>
        <w:t>. A presumption of compliance applies to services that comply with a harmonised standard, such as the European standard EN 301 549. The RGAA (General Framework for Improving Accessibility) specifically enables compliance with this harmonised European standard (EN 301 549) to be assessed. Consequently, an organisation can assess its compliance with the RGAA to demonstrate that it meets the requirements.</w:t>
      </w:r>
    </w:p>
    <w:p w14:paraId="216246CC" w14:textId="77777777" w:rsidR="0031621F" w:rsidRPr="0031621F" w:rsidRDefault="0031621F" w:rsidP="0031621F">
      <w:pPr>
        <w:pStyle w:val="Titre3"/>
      </w:pPr>
      <w:bookmarkStart w:id="10" w:name="_Toc230076997"/>
      <w:r w:rsidRPr="0031621F">
        <w:t>Who is affected?</w:t>
      </w:r>
      <w:bookmarkEnd w:id="10"/>
    </w:p>
    <w:p w14:paraId="5242CB90" w14:textId="6367E296" w:rsidR="0031621F" w:rsidRPr="00F4758C" w:rsidRDefault="006673CA" w:rsidP="0031621F">
      <w:pPr>
        <w:spacing w:before="160"/>
        <w:rPr>
          <w:lang w:val="en-GB" w:eastAsia="fr-FR"/>
        </w:rPr>
      </w:pPr>
      <w:r w:rsidRPr="00F4758C">
        <w:rPr>
          <w:lang w:val="en-GB" w:eastAsia="fr-FR"/>
        </w:rPr>
        <w:t>Until 2025</w:t>
      </w:r>
      <w:r w:rsidR="0031621F" w:rsidRPr="00F4758C">
        <w:rPr>
          <w:lang w:val="en-GB" w:eastAsia="fr-FR"/>
        </w:rPr>
        <w:t xml:space="preserve">, only a few </w:t>
      </w:r>
      <w:r w:rsidR="00FB64E5" w:rsidRPr="00F4758C">
        <w:rPr>
          <w:lang w:val="en-GB" w:eastAsia="fr-FR"/>
        </w:rPr>
        <w:t xml:space="preserve">categories of </w:t>
      </w:r>
      <w:r w:rsidR="0031621F" w:rsidRPr="00F4758C">
        <w:rPr>
          <w:lang w:val="en-GB" w:eastAsia="fr-FR"/>
        </w:rPr>
        <w:t>organisations were covered by French legislation on accessibility:</w:t>
      </w:r>
    </w:p>
    <w:p w14:paraId="2B7C9FFE" w14:textId="77777777" w:rsidR="001B765D" w:rsidRPr="00F4758C" w:rsidRDefault="0031621F">
      <w:pPr>
        <w:pStyle w:val="Paragraphedeliste"/>
        <w:numPr>
          <w:ilvl w:val="0"/>
          <w:numId w:val="70"/>
        </w:numPr>
        <w:rPr>
          <w:lang w:val="en-GB"/>
        </w:rPr>
      </w:pPr>
      <w:r w:rsidRPr="00F4758C">
        <w:rPr>
          <w:lang w:val="en-GB"/>
        </w:rPr>
        <w:lastRenderedPageBreak/>
        <w:t>The public sector (government departments, local authorities, etc.)</w:t>
      </w:r>
      <w:r w:rsidR="006673CA" w:rsidRPr="00F4758C">
        <w:rPr>
          <w:lang w:val="en-GB"/>
        </w:rPr>
        <w:t>;</w:t>
      </w:r>
    </w:p>
    <w:p w14:paraId="38C467D3" w14:textId="77777777" w:rsidR="001B765D" w:rsidRDefault="006673CA">
      <w:pPr>
        <w:pStyle w:val="Paragraphedeliste"/>
        <w:numPr>
          <w:ilvl w:val="0"/>
          <w:numId w:val="70"/>
        </w:numPr>
      </w:pPr>
      <w:r>
        <w:t xml:space="preserve">Non-profit organisations entrusted with a </w:t>
      </w:r>
      <w:r w:rsidR="0031621F" w:rsidRPr="0031621F">
        <w:t xml:space="preserve">public interest </w:t>
      </w:r>
      <w:r>
        <w:t xml:space="preserve">mission; </w:t>
      </w:r>
    </w:p>
    <w:p w14:paraId="24796DEA" w14:textId="77777777" w:rsidR="001B765D" w:rsidRPr="00F4758C" w:rsidRDefault="0031621F">
      <w:pPr>
        <w:pStyle w:val="Paragraphedeliste"/>
        <w:numPr>
          <w:ilvl w:val="0"/>
          <w:numId w:val="70"/>
        </w:numPr>
        <w:rPr>
          <w:lang w:val="en-GB"/>
        </w:rPr>
      </w:pPr>
      <w:r w:rsidRPr="00F4758C">
        <w:rPr>
          <w:lang w:val="en-GB"/>
        </w:rPr>
        <w:t>Entities entrusted with a public service mission (public transport, water, energy, etc.);</w:t>
      </w:r>
    </w:p>
    <w:p w14:paraId="35D77C3D" w14:textId="57A9B45E" w:rsidR="0031621F" w:rsidRPr="00F4758C" w:rsidRDefault="0031621F">
      <w:pPr>
        <w:pStyle w:val="Paragraphedeliste"/>
        <w:numPr>
          <w:ilvl w:val="0"/>
          <w:numId w:val="70"/>
        </w:numPr>
        <w:rPr>
          <w:lang w:val="en-GB"/>
        </w:rPr>
      </w:pPr>
      <w:r w:rsidRPr="00F4758C">
        <w:rPr>
          <w:lang w:val="en-GB"/>
        </w:rPr>
        <w:t xml:space="preserve">Private companies with an annual turnover </w:t>
      </w:r>
      <w:r w:rsidR="00677DD3" w:rsidRPr="00F4758C">
        <w:rPr>
          <w:lang w:val="en-GB"/>
        </w:rPr>
        <w:t xml:space="preserve">in France </w:t>
      </w:r>
      <w:r w:rsidRPr="00F4758C">
        <w:rPr>
          <w:lang w:val="en-GB"/>
        </w:rPr>
        <w:t>of 250 million euros or more.</w:t>
      </w:r>
    </w:p>
    <w:p w14:paraId="26C600EF" w14:textId="2D038B5F" w:rsidR="0031621F" w:rsidRPr="00F4758C" w:rsidRDefault="004C66C1" w:rsidP="0031621F">
      <w:pPr>
        <w:spacing w:before="160"/>
        <w:rPr>
          <w:lang w:val="en-GB" w:eastAsia="fr-FR"/>
        </w:rPr>
      </w:pPr>
      <w:r w:rsidRPr="00F4758C">
        <w:rPr>
          <w:lang w:val="en-GB" w:eastAsia="fr-FR"/>
        </w:rPr>
        <w:t xml:space="preserve">Since </w:t>
      </w:r>
      <w:r w:rsidR="006673CA" w:rsidRPr="00F4758C">
        <w:rPr>
          <w:lang w:val="en-GB" w:eastAsia="fr-FR"/>
        </w:rPr>
        <w:t>June</w:t>
      </w:r>
      <w:r w:rsidR="0031621F" w:rsidRPr="00F4758C">
        <w:rPr>
          <w:lang w:val="en-GB" w:eastAsia="fr-FR"/>
        </w:rPr>
        <w:t xml:space="preserve"> 2025, however, </w:t>
      </w:r>
      <w:r w:rsidR="0031621F" w:rsidRPr="00F4758C">
        <w:rPr>
          <w:b/>
          <w:bCs/>
          <w:lang w:val="en-GB" w:eastAsia="fr-FR"/>
        </w:rPr>
        <w:t>the legislator has extended the legal obligation to a few other sectors</w:t>
      </w:r>
      <w:r w:rsidR="00B16EBE" w:rsidRPr="00F4758C">
        <w:rPr>
          <w:b/>
          <w:bCs/>
          <w:lang w:val="en-GB" w:eastAsia="fr-FR"/>
        </w:rPr>
        <w:t xml:space="preserve">, concerning only B2C services </w:t>
      </w:r>
      <w:r w:rsidR="00356F5D" w:rsidRPr="00F4758C">
        <w:rPr>
          <w:lang w:val="en-GB" w:eastAsia="fr-FR"/>
        </w:rPr>
        <w:t>(although B2B relationships may also be indirectly affected</w:t>
      </w:r>
      <w:r w:rsidR="00356F5D">
        <w:rPr>
          <w:rStyle w:val="Appelnotedebasdep"/>
          <w:lang w:eastAsia="fr-FR"/>
        </w:rPr>
        <w:footnoteReference w:id="13"/>
      </w:r>
      <w:r w:rsidR="00356F5D" w:rsidRPr="00F4758C">
        <w:rPr>
          <w:lang w:val="en-GB" w:eastAsia="fr-FR"/>
        </w:rPr>
        <w:t xml:space="preserve"> )</w:t>
      </w:r>
      <w:r w:rsidR="0031621F" w:rsidRPr="00F4758C">
        <w:rPr>
          <w:lang w:val="en-GB" w:eastAsia="fr-FR"/>
        </w:rPr>
        <w:t xml:space="preserve">: </w:t>
      </w:r>
    </w:p>
    <w:p w14:paraId="4828F9B3" w14:textId="10DA5C81" w:rsidR="001B765D" w:rsidRPr="00F4758C" w:rsidRDefault="000506B8">
      <w:pPr>
        <w:pStyle w:val="Paragraphedeliste"/>
        <w:numPr>
          <w:ilvl w:val="0"/>
          <w:numId w:val="71"/>
        </w:numPr>
        <w:rPr>
          <w:lang w:val="en-GB"/>
        </w:rPr>
      </w:pPr>
      <w:r w:rsidRPr="00F4758C">
        <w:rPr>
          <w:lang w:val="en-GB"/>
        </w:rPr>
        <w:t>Banking, credit, investment and payment services;</w:t>
      </w:r>
    </w:p>
    <w:p w14:paraId="76E115B9" w14:textId="77777777" w:rsidR="001B765D" w:rsidRPr="00F4758C" w:rsidRDefault="0031621F">
      <w:pPr>
        <w:pStyle w:val="Paragraphedeliste"/>
        <w:numPr>
          <w:ilvl w:val="0"/>
          <w:numId w:val="71"/>
        </w:numPr>
        <w:rPr>
          <w:lang w:val="en-GB"/>
        </w:rPr>
      </w:pPr>
      <w:r w:rsidRPr="00F4758C">
        <w:rPr>
          <w:lang w:val="en-GB"/>
        </w:rPr>
        <w:t xml:space="preserve">Telephony </w:t>
      </w:r>
      <w:r w:rsidR="000506B8" w:rsidRPr="00F4758C">
        <w:rPr>
          <w:lang w:val="en-GB"/>
        </w:rPr>
        <w:t>and electronic communications services (videoconferencing);</w:t>
      </w:r>
    </w:p>
    <w:p w14:paraId="3EB2F8D2" w14:textId="77777777" w:rsidR="001B765D" w:rsidRDefault="000506B8">
      <w:pPr>
        <w:pStyle w:val="Paragraphedeliste"/>
        <w:numPr>
          <w:ilvl w:val="0"/>
          <w:numId w:val="71"/>
        </w:numPr>
      </w:pPr>
      <w:r>
        <w:t>E-books;</w:t>
      </w:r>
    </w:p>
    <w:p w14:paraId="35403673" w14:textId="77777777" w:rsidR="001B765D" w:rsidRPr="00F4758C" w:rsidRDefault="006673CA">
      <w:pPr>
        <w:pStyle w:val="Paragraphedeliste"/>
        <w:numPr>
          <w:ilvl w:val="0"/>
          <w:numId w:val="71"/>
        </w:numPr>
        <w:rPr>
          <w:lang w:val="en-GB"/>
        </w:rPr>
      </w:pPr>
      <w:r w:rsidRPr="00F4758C">
        <w:rPr>
          <w:lang w:val="en-GB"/>
        </w:rPr>
        <w:t>E-commerce websites and platforms</w:t>
      </w:r>
      <w:r w:rsidR="000506B8" w:rsidRPr="00F4758C">
        <w:rPr>
          <w:lang w:val="en-GB"/>
        </w:rPr>
        <w:t>;</w:t>
      </w:r>
    </w:p>
    <w:p w14:paraId="1A0AC470" w14:textId="77777777" w:rsidR="001B765D" w:rsidRDefault="000506B8">
      <w:pPr>
        <w:pStyle w:val="Paragraphedeliste"/>
        <w:numPr>
          <w:ilvl w:val="0"/>
          <w:numId w:val="71"/>
        </w:numPr>
      </w:pPr>
      <w:r>
        <w:t>Audiovisual media services;</w:t>
      </w:r>
    </w:p>
    <w:p w14:paraId="017772CE" w14:textId="77777777" w:rsidR="001B765D" w:rsidRDefault="000506B8">
      <w:pPr>
        <w:pStyle w:val="Paragraphedeliste"/>
        <w:numPr>
          <w:ilvl w:val="0"/>
          <w:numId w:val="71"/>
        </w:numPr>
      </w:pPr>
      <w:r>
        <w:t>Passenger transport services (websites, mobile apps, self-service terminals, information screens);</w:t>
      </w:r>
    </w:p>
    <w:p w14:paraId="46A7B459" w14:textId="55C4FEFF" w:rsidR="000506B8" w:rsidRDefault="000506B8">
      <w:pPr>
        <w:pStyle w:val="Paragraphedeliste"/>
        <w:numPr>
          <w:ilvl w:val="0"/>
          <w:numId w:val="71"/>
        </w:numPr>
      </w:pPr>
      <w:r>
        <w:t>Emergency services.</w:t>
      </w:r>
    </w:p>
    <w:p w14:paraId="5DF39DDC" w14:textId="27A14200" w:rsidR="00726013" w:rsidRPr="00F4758C" w:rsidRDefault="00DD2D5E" w:rsidP="003803FF">
      <w:pPr>
        <w:rPr>
          <w:lang w:val="en-GB"/>
        </w:rPr>
      </w:pPr>
      <w:r w:rsidRPr="00F4758C">
        <w:rPr>
          <w:b/>
          <w:bCs/>
          <w:lang w:val="en-GB"/>
        </w:rPr>
        <w:t>In all these sectors</w:t>
      </w:r>
      <w:r w:rsidRPr="00F4758C">
        <w:rPr>
          <w:lang w:val="en-GB"/>
        </w:rPr>
        <w:t xml:space="preserve">, </w:t>
      </w:r>
      <w:r w:rsidR="00726013" w:rsidRPr="00F4758C">
        <w:rPr>
          <w:lang w:val="en-GB"/>
        </w:rPr>
        <w:t xml:space="preserve">the rules now apply </w:t>
      </w:r>
      <w:r w:rsidR="00726013" w:rsidRPr="00F4758C">
        <w:rPr>
          <w:b/>
          <w:bCs/>
          <w:lang w:val="en-GB"/>
        </w:rPr>
        <w:t xml:space="preserve">to all businesses </w:t>
      </w:r>
      <w:r w:rsidR="009A3B6A" w:rsidRPr="00F4758C">
        <w:rPr>
          <w:b/>
          <w:bCs/>
          <w:lang w:val="en-GB"/>
        </w:rPr>
        <w:t>marketing products or services on the European market, regardless of the country in which their head office is located</w:t>
      </w:r>
      <w:r w:rsidR="00726013" w:rsidRPr="00F4758C">
        <w:rPr>
          <w:lang w:val="en-GB"/>
        </w:rPr>
        <w:t xml:space="preserve">, with the exception of </w:t>
      </w:r>
      <w:r w:rsidR="00FB64E5" w:rsidRPr="00F4758C">
        <w:rPr>
          <w:lang w:val="en-GB"/>
        </w:rPr>
        <w:t xml:space="preserve">micro-enterprises </w:t>
      </w:r>
      <w:r w:rsidR="00726013" w:rsidRPr="00F4758C">
        <w:rPr>
          <w:lang w:val="en-GB"/>
        </w:rPr>
        <w:t>– that is, those with fewer than 10 employees and a turnover of less than 2 million euros.</w:t>
      </w:r>
      <w:r w:rsidR="00FB64E5" w:rsidRPr="00F4758C">
        <w:rPr>
          <w:lang w:val="en-GB"/>
        </w:rPr>
        <w:t xml:space="preserve"> However</w:t>
      </w:r>
      <w:r w:rsidR="00265395" w:rsidRPr="00F4758C">
        <w:rPr>
          <w:lang w:val="en-GB"/>
        </w:rPr>
        <w:t xml:space="preserve">, </w:t>
      </w:r>
      <w:r w:rsidR="00FB64E5" w:rsidRPr="00F4758C">
        <w:rPr>
          <w:lang w:val="en-GB"/>
        </w:rPr>
        <w:t xml:space="preserve">this </w:t>
      </w:r>
      <w:r w:rsidR="00265395" w:rsidRPr="00F4758C">
        <w:rPr>
          <w:lang w:val="en-GB"/>
        </w:rPr>
        <w:t xml:space="preserve">exemption </w:t>
      </w:r>
      <w:r w:rsidR="00820334" w:rsidRPr="00F4758C">
        <w:rPr>
          <w:lang w:val="en-GB"/>
        </w:rPr>
        <w:t xml:space="preserve">for micro-enterprises </w:t>
      </w:r>
      <w:r w:rsidR="00FB64E5" w:rsidRPr="00F4758C">
        <w:rPr>
          <w:lang w:val="en-GB"/>
        </w:rPr>
        <w:t xml:space="preserve">applies only </w:t>
      </w:r>
      <w:r w:rsidR="00820334" w:rsidRPr="00F4758C">
        <w:rPr>
          <w:lang w:val="en-GB"/>
        </w:rPr>
        <w:t xml:space="preserve">to the provision of </w:t>
      </w:r>
      <w:r w:rsidR="00FB64E5" w:rsidRPr="00F4758C">
        <w:rPr>
          <w:lang w:val="en-GB"/>
        </w:rPr>
        <w:t xml:space="preserve">services </w:t>
      </w:r>
      <w:r w:rsidR="00265395" w:rsidRPr="00F4758C">
        <w:rPr>
          <w:lang w:val="en-GB"/>
        </w:rPr>
        <w:t>falling within the scope of the EAA</w:t>
      </w:r>
      <w:r w:rsidR="00FB64E5" w:rsidRPr="00F4758C">
        <w:rPr>
          <w:lang w:val="en-GB"/>
        </w:rPr>
        <w:t xml:space="preserve">, and not </w:t>
      </w:r>
      <w:r w:rsidR="00265395" w:rsidRPr="00F4758C">
        <w:rPr>
          <w:lang w:val="en-GB"/>
        </w:rPr>
        <w:t xml:space="preserve">to </w:t>
      </w:r>
      <w:r w:rsidR="00FB64E5" w:rsidRPr="00F4758C">
        <w:rPr>
          <w:lang w:val="en-GB"/>
        </w:rPr>
        <w:t xml:space="preserve">products </w:t>
      </w:r>
      <w:r w:rsidR="00265395" w:rsidRPr="00F4758C">
        <w:rPr>
          <w:lang w:val="en-GB"/>
        </w:rPr>
        <w:t>covered by the directive (payment terminals, computers, smartphones, e-readers, etc.).</w:t>
      </w:r>
    </w:p>
    <w:p w14:paraId="65B7114A" w14:textId="41D93976" w:rsidR="0031621F" w:rsidRPr="00F4758C" w:rsidRDefault="0031621F" w:rsidP="0031621F">
      <w:pPr>
        <w:pStyle w:val="Titre3"/>
        <w:rPr>
          <w:lang w:val="en-GB"/>
        </w:rPr>
      </w:pPr>
      <w:bookmarkStart w:id="11" w:name="_Toc230076998"/>
      <w:r w:rsidRPr="00F4758C">
        <w:rPr>
          <w:lang w:val="en-GB"/>
        </w:rPr>
        <w:t xml:space="preserve">What is the timetable for compliance </w:t>
      </w:r>
      <w:r w:rsidR="00677DD3" w:rsidRPr="00F4758C">
        <w:rPr>
          <w:lang w:val="en-GB"/>
        </w:rPr>
        <w:t>with</w:t>
      </w:r>
      <w:r w:rsidRPr="00F4758C">
        <w:rPr>
          <w:lang w:val="en-GB"/>
        </w:rPr>
        <w:t xml:space="preserve"> the EAA?</w:t>
      </w:r>
      <w:bookmarkEnd w:id="11"/>
    </w:p>
    <w:p w14:paraId="3B1F3FE4" w14:textId="214300BE" w:rsidR="0031621F" w:rsidRPr="00F4758C" w:rsidRDefault="0031621F" w:rsidP="0031621F">
      <w:pPr>
        <w:spacing w:before="160"/>
        <w:rPr>
          <w:lang w:val="en-GB" w:eastAsia="fr-FR"/>
        </w:rPr>
      </w:pPr>
      <w:r w:rsidRPr="00F4758C">
        <w:rPr>
          <w:lang w:val="en-GB" w:eastAsia="fr-FR"/>
        </w:rPr>
        <w:t xml:space="preserve">The timetable for compliance </w:t>
      </w:r>
      <w:r w:rsidR="00EE538E" w:rsidRPr="00F4758C">
        <w:rPr>
          <w:lang w:val="en-GB" w:eastAsia="fr-FR"/>
        </w:rPr>
        <w:t xml:space="preserve">with the EAA </w:t>
      </w:r>
      <w:r w:rsidR="00265395" w:rsidRPr="00F4758C">
        <w:rPr>
          <w:lang w:val="en-GB" w:eastAsia="fr-FR"/>
        </w:rPr>
        <w:t xml:space="preserve">is divided into </w:t>
      </w:r>
      <w:r w:rsidRPr="00F4758C">
        <w:rPr>
          <w:lang w:val="en-GB" w:eastAsia="fr-FR"/>
        </w:rPr>
        <w:t xml:space="preserve">two phases: </w:t>
      </w:r>
    </w:p>
    <w:p w14:paraId="65D2B1F9" w14:textId="7C5F44B5" w:rsidR="009E703B" w:rsidRPr="00F4758C" w:rsidRDefault="0031621F" w:rsidP="001C2061">
      <w:pPr>
        <w:pStyle w:val="Titre4"/>
        <w:rPr>
          <w:lang w:val="en-GB"/>
        </w:rPr>
      </w:pPr>
      <w:r w:rsidRPr="00F4758C">
        <w:rPr>
          <w:rStyle w:val="Titre4Car"/>
          <w:b/>
          <w:bCs/>
          <w:i/>
          <w:iCs/>
          <w:lang w:val="en-GB"/>
        </w:rPr>
        <w:t xml:space="preserve">A </w:t>
      </w:r>
      <w:r w:rsidR="00C8198E" w:rsidRPr="00F4758C">
        <w:rPr>
          <w:rStyle w:val="Titre4Car"/>
          <w:b/>
          <w:bCs/>
          <w:i/>
          <w:iCs/>
          <w:lang w:val="en-GB"/>
        </w:rPr>
        <w:t xml:space="preserve">date, </w:t>
      </w:r>
      <w:r w:rsidR="001235AA" w:rsidRPr="00F4758C">
        <w:rPr>
          <w:rStyle w:val="Titre4Car"/>
          <w:b/>
          <w:bCs/>
          <w:i/>
          <w:iCs/>
          <w:lang w:val="en-GB"/>
        </w:rPr>
        <w:t xml:space="preserve">in principle, set </w:t>
      </w:r>
      <w:r w:rsidRPr="00F4758C">
        <w:rPr>
          <w:rStyle w:val="Titre4Car"/>
          <w:b/>
          <w:bCs/>
          <w:i/>
          <w:iCs/>
          <w:lang w:val="en-GB"/>
        </w:rPr>
        <w:t xml:space="preserve">for 28 June 2025  </w:t>
      </w:r>
    </w:p>
    <w:p w14:paraId="3AAD7409" w14:textId="6A8943C3" w:rsidR="00256315" w:rsidRPr="00F4758C" w:rsidRDefault="00B73447" w:rsidP="001C2061">
      <w:pPr>
        <w:rPr>
          <w:lang w:val="en-GB" w:eastAsia="fr-FR"/>
        </w:rPr>
      </w:pPr>
      <w:r w:rsidRPr="00F4758C">
        <w:rPr>
          <w:lang w:val="en-GB" w:eastAsia="fr-FR"/>
        </w:rPr>
        <w:t xml:space="preserve">From this date onwards, products </w:t>
      </w:r>
      <w:r w:rsidR="00691BED" w:rsidRPr="00F4758C">
        <w:rPr>
          <w:lang w:val="en-GB" w:eastAsia="fr-FR"/>
        </w:rPr>
        <w:t xml:space="preserve">placed on the market </w:t>
      </w:r>
      <w:r w:rsidRPr="00F4758C">
        <w:rPr>
          <w:lang w:val="en-GB" w:eastAsia="fr-FR"/>
        </w:rPr>
        <w:t xml:space="preserve">and services </w:t>
      </w:r>
      <w:r w:rsidR="00691BED" w:rsidRPr="00F4758C">
        <w:rPr>
          <w:lang w:val="en-GB" w:eastAsia="fr-FR"/>
        </w:rPr>
        <w:t xml:space="preserve">provided </w:t>
      </w:r>
      <w:r w:rsidRPr="00F4758C">
        <w:rPr>
          <w:lang w:val="en-GB" w:eastAsia="fr-FR"/>
        </w:rPr>
        <w:t>must be accessible</w:t>
      </w:r>
      <w:r w:rsidR="00A948EA" w:rsidRPr="00F4758C">
        <w:rPr>
          <w:lang w:val="en-GB" w:eastAsia="fr-FR"/>
        </w:rPr>
        <w:t xml:space="preserve">. This encompasses all websites, mobile applications and interfaces enabling the provision of a </w:t>
      </w:r>
      <w:r w:rsidR="00256315" w:rsidRPr="00F4758C">
        <w:rPr>
          <w:lang w:val="en-GB" w:eastAsia="fr-FR"/>
        </w:rPr>
        <w:t xml:space="preserve">B2C </w:t>
      </w:r>
      <w:r w:rsidR="00A948EA" w:rsidRPr="00F4758C">
        <w:rPr>
          <w:lang w:val="en-GB" w:eastAsia="fr-FR"/>
        </w:rPr>
        <w:t xml:space="preserve">service. </w:t>
      </w:r>
      <w:r w:rsidR="00A5437B" w:rsidRPr="00F4758C">
        <w:rPr>
          <w:lang w:val="en-GB" w:eastAsia="fr-FR"/>
        </w:rPr>
        <w:t xml:space="preserve"> However, </w:t>
      </w:r>
      <w:r w:rsidR="00256315" w:rsidRPr="00F4758C">
        <w:rPr>
          <w:lang w:val="en-GB" w:eastAsia="fr-FR"/>
        </w:rPr>
        <w:t xml:space="preserve">it </w:t>
      </w:r>
      <w:r w:rsidR="00A5437B" w:rsidRPr="00F4758C">
        <w:rPr>
          <w:lang w:val="en-GB" w:eastAsia="fr-FR"/>
        </w:rPr>
        <w:t xml:space="preserve">is clear from the text of the EAA </w:t>
      </w:r>
      <w:r w:rsidR="00256315" w:rsidRPr="00F4758C">
        <w:rPr>
          <w:lang w:val="en-GB" w:eastAsia="fr-FR"/>
        </w:rPr>
        <w:t xml:space="preserve">that the 28 June 2025 deadline does not apply in exactly the same way </w:t>
      </w:r>
      <w:r w:rsidR="00CD56A2" w:rsidRPr="00F4758C">
        <w:rPr>
          <w:lang w:val="en-GB" w:eastAsia="fr-FR"/>
        </w:rPr>
        <w:t xml:space="preserve">depending on whether it concerns </w:t>
      </w:r>
      <w:r w:rsidR="00256315" w:rsidRPr="00F4758C">
        <w:rPr>
          <w:lang w:val="en-GB" w:eastAsia="fr-FR"/>
        </w:rPr>
        <w:t xml:space="preserve">a product </w:t>
      </w:r>
      <w:r w:rsidR="00A5437B" w:rsidRPr="00F4758C">
        <w:rPr>
          <w:lang w:val="en-GB" w:eastAsia="fr-FR"/>
        </w:rPr>
        <w:t xml:space="preserve">or </w:t>
      </w:r>
      <w:r w:rsidR="00256315" w:rsidRPr="00F4758C">
        <w:rPr>
          <w:lang w:val="en-GB" w:eastAsia="fr-FR"/>
        </w:rPr>
        <w:t xml:space="preserve">a service: </w:t>
      </w:r>
    </w:p>
    <w:p w14:paraId="4E47467E" w14:textId="1323DC91" w:rsidR="00256315" w:rsidRPr="00F4758C" w:rsidRDefault="00256315" w:rsidP="001C2061">
      <w:pPr>
        <w:pStyle w:val="Paragraphedeliste"/>
        <w:numPr>
          <w:ilvl w:val="0"/>
          <w:numId w:val="85"/>
        </w:numPr>
        <w:spacing w:before="160"/>
        <w:rPr>
          <w:lang w:val="en-GB" w:eastAsia="fr-FR"/>
        </w:rPr>
      </w:pPr>
      <w:r w:rsidRPr="00F4758C">
        <w:rPr>
          <w:lang w:val="en-GB" w:eastAsia="fr-FR"/>
        </w:rPr>
        <w:t xml:space="preserve">for products, the text </w:t>
      </w:r>
      <w:r w:rsidR="00CD56A2" w:rsidRPr="00F4758C">
        <w:rPr>
          <w:lang w:val="en-GB" w:eastAsia="fr-FR"/>
        </w:rPr>
        <w:t xml:space="preserve">uses </w:t>
      </w:r>
      <w:r w:rsidRPr="00F4758C">
        <w:rPr>
          <w:lang w:val="en-GB" w:eastAsia="fr-FR"/>
        </w:rPr>
        <w:t xml:space="preserve">the term </w:t>
      </w:r>
      <w:r w:rsidR="00BB7747">
        <w:rPr>
          <w:lang w:val="en-GB" w:eastAsia="fr-FR"/>
        </w:rPr>
        <w:t>“</w:t>
      </w:r>
      <w:r w:rsidRPr="00F4758C">
        <w:rPr>
          <w:lang w:val="en-GB" w:eastAsia="fr-FR"/>
        </w:rPr>
        <w:t>placing on the market</w:t>
      </w:r>
      <w:r w:rsidR="00BB7747">
        <w:rPr>
          <w:lang w:val="en-GB" w:eastAsia="fr-FR"/>
        </w:rPr>
        <w:t>”</w:t>
      </w:r>
      <w:r w:rsidRPr="00F4758C">
        <w:rPr>
          <w:lang w:val="en-GB" w:eastAsia="fr-FR"/>
        </w:rPr>
        <w:t>;</w:t>
      </w:r>
    </w:p>
    <w:p w14:paraId="38E2D8E8" w14:textId="7BFE0EB2" w:rsidR="0031621F" w:rsidRPr="00F4758C" w:rsidRDefault="00256315" w:rsidP="001C2061">
      <w:pPr>
        <w:pStyle w:val="Paragraphedeliste"/>
        <w:numPr>
          <w:ilvl w:val="0"/>
          <w:numId w:val="85"/>
        </w:numPr>
        <w:spacing w:before="160"/>
        <w:rPr>
          <w:lang w:val="en-GB" w:eastAsia="fr-FR"/>
        </w:rPr>
      </w:pPr>
      <w:r w:rsidRPr="00F4758C">
        <w:rPr>
          <w:lang w:val="en-GB" w:eastAsia="fr-FR"/>
        </w:rPr>
        <w:t xml:space="preserve">for services, the text </w:t>
      </w:r>
      <w:r w:rsidR="00CD56A2" w:rsidRPr="00F4758C">
        <w:rPr>
          <w:lang w:val="en-GB" w:eastAsia="fr-FR"/>
        </w:rPr>
        <w:t xml:space="preserve">uses </w:t>
      </w:r>
      <w:r w:rsidRPr="00F4758C">
        <w:rPr>
          <w:lang w:val="en-GB" w:eastAsia="fr-FR"/>
        </w:rPr>
        <w:t xml:space="preserve">the concept of </w:t>
      </w:r>
      <w:r w:rsidR="00BB7747">
        <w:rPr>
          <w:lang w:val="en-GB" w:eastAsia="fr-FR"/>
        </w:rPr>
        <w:t>“</w:t>
      </w:r>
      <w:r w:rsidRPr="00F4758C">
        <w:rPr>
          <w:lang w:val="en-GB" w:eastAsia="fr-FR"/>
        </w:rPr>
        <w:t>provision</w:t>
      </w:r>
      <w:r w:rsidR="00BB7747">
        <w:rPr>
          <w:lang w:val="en-GB" w:eastAsia="fr-FR"/>
        </w:rPr>
        <w:t>”</w:t>
      </w:r>
      <w:r w:rsidRPr="00F4758C">
        <w:rPr>
          <w:lang w:val="en-GB" w:eastAsia="fr-FR"/>
        </w:rPr>
        <w:t xml:space="preserve">.  </w:t>
      </w:r>
    </w:p>
    <w:p w14:paraId="00792F75" w14:textId="169A1EAB" w:rsidR="00256315" w:rsidRPr="00F4758C" w:rsidRDefault="00256315" w:rsidP="001235AA">
      <w:pPr>
        <w:spacing w:before="160"/>
        <w:rPr>
          <w:lang w:val="en-GB" w:eastAsia="fr-FR"/>
        </w:rPr>
      </w:pPr>
      <w:r w:rsidRPr="00F4758C">
        <w:rPr>
          <w:b/>
          <w:bCs/>
          <w:lang w:val="en-GB" w:eastAsia="fr-FR"/>
        </w:rPr>
        <w:t>For products</w:t>
      </w:r>
      <w:r w:rsidRPr="00F4758C">
        <w:rPr>
          <w:lang w:val="en-GB" w:eastAsia="fr-FR"/>
        </w:rPr>
        <w:t xml:space="preserve">, given </w:t>
      </w:r>
      <w:r w:rsidR="00A5437B" w:rsidRPr="00F4758C">
        <w:rPr>
          <w:lang w:val="en-GB" w:eastAsia="fr-FR"/>
        </w:rPr>
        <w:t xml:space="preserve">their </w:t>
      </w:r>
      <w:r w:rsidRPr="00F4758C">
        <w:rPr>
          <w:lang w:val="en-GB" w:eastAsia="fr-FR"/>
        </w:rPr>
        <w:t xml:space="preserve">physical nature, the date of 28 June 2025 allows for a distinction to be made between two </w:t>
      </w:r>
      <w:r w:rsidR="00BB7747">
        <w:rPr>
          <w:lang w:val="en-GB" w:eastAsia="fr-FR"/>
        </w:rPr>
        <w:t>“</w:t>
      </w:r>
      <w:r w:rsidRPr="00F4758C">
        <w:rPr>
          <w:lang w:val="en-GB" w:eastAsia="fr-FR"/>
        </w:rPr>
        <w:t>stock</w:t>
      </w:r>
      <w:r w:rsidR="00BB7747">
        <w:rPr>
          <w:lang w:val="en-GB" w:eastAsia="fr-FR"/>
        </w:rPr>
        <w:t>s”</w:t>
      </w:r>
      <w:r w:rsidRPr="00F4758C">
        <w:rPr>
          <w:lang w:val="en-GB" w:eastAsia="fr-FR"/>
        </w:rPr>
        <w:t xml:space="preserve">. </w:t>
      </w:r>
      <w:r w:rsidR="00A5437B" w:rsidRPr="00F4758C">
        <w:rPr>
          <w:lang w:val="en-GB" w:eastAsia="fr-FR"/>
        </w:rPr>
        <w:t>On the one hand</w:t>
      </w:r>
      <w:r w:rsidRPr="00F4758C">
        <w:rPr>
          <w:lang w:val="en-GB" w:eastAsia="fr-FR"/>
        </w:rPr>
        <w:t xml:space="preserve">, products </w:t>
      </w:r>
      <w:r w:rsidR="00A5437B" w:rsidRPr="00F4758C">
        <w:rPr>
          <w:lang w:val="en-GB" w:eastAsia="fr-FR"/>
        </w:rPr>
        <w:t xml:space="preserve">already </w:t>
      </w:r>
      <w:r w:rsidRPr="00F4758C">
        <w:rPr>
          <w:lang w:val="en-GB" w:eastAsia="fr-FR"/>
        </w:rPr>
        <w:t xml:space="preserve">placed on the market before </w:t>
      </w:r>
      <w:r w:rsidR="00A5437B" w:rsidRPr="00F4758C">
        <w:rPr>
          <w:lang w:val="en-GB" w:eastAsia="fr-FR"/>
        </w:rPr>
        <w:t xml:space="preserve">that date are exempt from any obligation </w:t>
      </w:r>
      <w:r w:rsidR="00AD5507" w:rsidRPr="00F4758C">
        <w:rPr>
          <w:lang w:val="en-GB" w:eastAsia="fr-FR"/>
        </w:rPr>
        <w:t>(</w:t>
      </w:r>
      <w:r w:rsidR="00A5437B" w:rsidRPr="00F4758C">
        <w:rPr>
          <w:lang w:val="en-GB" w:eastAsia="fr-FR"/>
        </w:rPr>
        <w:t xml:space="preserve">by definition, they were already on the market before the standard came </w:t>
      </w:r>
      <w:r w:rsidR="00A5437B" w:rsidRPr="00F4758C">
        <w:rPr>
          <w:lang w:val="en-GB" w:eastAsia="fr-FR"/>
        </w:rPr>
        <w:lastRenderedPageBreak/>
        <w:t xml:space="preserve">into force; they cannot, in principle, therefore be made accessible </w:t>
      </w:r>
      <w:r w:rsidR="00A5437B" w:rsidRPr="001F2368">
        <w:rPr>
          <w:lang w:val="en-GB" w:eastAsia="fr-FR"/>
        </w:rPr>
        <w:t>retrospectively</w:t>
      </w:r>
      <w:r w:rsidR="00AD5507" w:rsidRPr="001F2368">
        <w:rPr>
          <w:lang w:val="en-GB" w:eastAsia="fr-FR"/>
        </w:rPr>
        <w:t>)</w:t>
      </w:r>
      <w:r w:rsidR="00A5437B" w:rsidRPr="00F4758C">
        <w:rPr>
          <w:lang w:val="en-GB" w:eastAsia="fr-FR"/>
        </w:rPr>
        <w:t>.</w:t>
      </w:r>
      <w:r w:rsidR="00AD5507" w:rsidRPr="00F4758C">
        <w:rPr>
          <w:lang w:val="en-GB" w:eastAsia="fr-FR"/>
        </w:rPr>
        <w:t xml:space="preserve"> </w:t>
      </w:r>
      <w:r w:rsidR="00A5437B" w:rsidRPr="00F4758C">
        <w:rPr>
          <w:lang w:val="en-GB" w:eastAsia="fr-FR"/>
        </w:rPr>
        <w:t xml:space="preserve">On the other hand, </w:t>
      </w:r>
      <w:r w:rsidRPr="00F4758C">
        <w:rPr>
          <w:lang w:val="en-GB" w:eastAsia="fr-FR"/>
        </w:rPr>
        <w:t xml:space="preserve">all products placed on the market after that date must comply with accessibility standards. </w:t>
      </w:r>
    </w:p>
    <w:p w14:paraId="3466C406" w14:textId="695C6213" w:rsidR="00256315" w:rsidRPr="00F4758C" w:rsidRDefault="00A5437B" w:rsidP="00C8198E">
      <w:pPr>
        <w:spacing w:before="160"/>
        <w:rPr>
          <w:lang w:val="en-GB" w:eastAsia="fr-FR"/>
        </w:rPr>
      </w:pPr>
      <w:r w:rsidRPr="00F4758C">
        <w:rPr>
          <w:b/>
          <w:bCs/>
          <w:lang w:val="en-GB" w:eastAsia="fr-FR"/>
        </w:rPr>
        <w:t>For services</w:t>
      </w:r>
      <w:r w:rsidRPr="00F4758C">
        <w:rPr>
          <w:lang w:val="en-GB" w:eastAsia="fr-FR"/>
        </w:rPr>
        <w:t xml:space="preserve">, </w:t>
      </w:r>
      <w:r w:rsidR="00CD56A2" w:rsidRPr="00F4758C">
        <w:rPr>
          <w:lang w:val="en-GB" w:eastAsia="fr-FR"/>
        </w:rPr>
        <w:t xml:space="preserve">the concept used is that of a service provision, whether referring to </w:t>
      </w:r>
      <w:r w:rsidR="00256315" w:rsidRPr="00F4758C">
        <w:rPr>
          <w:lang w:val="en-GB" w:eastAsia="fr-FR"/>
        </w:rPr>
        <w:t xml:space="preserve">the service provided </w:t>
      </w:r>
      <w:r w:rsidR="00CD56A2" w:rsidRPr="00F4758C">
        <w:rPr>
          <w:lang w:val="en-GB" w:eastAsia="fr-FR"/>
        </w:rPr>
        <w:t xml:space="preserve">or to </w:t>
      </w:r>
      <w:r w:rsidR="00256315" w:rsidRPr="00F4758C">
        <w:rPr>
          <w:lang w:val="en-GB" w:eastAsia="fr-FR"/>
        </w:rPr>
        <w:t>the activity of providing services. Unlike a product, which exists in physical form, a service cannot be regarded as a stock. At most, one might, metaphorically speaking, regard it as a flow</w:t>
      </w:r>
      <w:r w:rsidR="004B0B1D" w:rsidRPr="00F4758C">
        <w:rPr>
          <w:lang w:val="en-GB" w:eastAsia="fr-FR"/>
        </w:rPr>
        <w:t xml:space="preserve">, </w:t>
      </w:r>
      <w:r w:rsidR="006C3B45" w:rsidRPr="00F4758C">
        <w:rPr>
          <w:lang w:val="en-GB" w:eastAsia="fr-FR"/>
        </w:rPr>
        <w:t xml:space="preserve">provided continuously or at a specific point in time. </w:t>
      </w:r>
      <w:r w:rsidR="004B0B1D" w:rsidRPr="00F4758C">
        <w:rPr>
          <w:lang w:val="en-GB" w:eastAsia="fr-FR"/>
        </w:rPr>
        <w:t xml:space="preserve">Furthermore, </w:t>
      </w:r>
      <w:r w:rsidR="006C3B45" w:rsidRPr="00F4758C">
        <w:rPr>
          <w:lang w:val="en-GB" w:eastAsia="fr-FR"/>
        </w:rPr>
        <w:t xml:space="preserve">a service may be a commercial activity </w:t>
      </w:r>
      <w:r w:rsidR="004B0B1D" w:rsidRPr="00F4758C">
        <w:rPr>
          <w:lang w:val="en-GB" w:eastAsia="fr-FR"/>
        </w:rPr>
        <w:t xml:space="preserve">in its own right </w:t>
      </w:r>
      <w:r w:rsidR="006C3B45" w:rsidRPr="00F4758C">
        <w:rPr>
          <w:lang w:val="en-GB" w:eastAsia="fr-FR"/>
        </w:rPr>
        <w:t>or an ancillary part of a product-related activity.</w:t>
      </w:r>
    </w:p>
    <w:p w14:paraId="63BE6A5B" w14:textId="7FE1BD57" w:rsidR="00256315" w:rsidRPr="00F4758C" w:rsidRDefault="00FA68AD" w:rsidP="00C8198E">
      <w:pPr>
        <w:spacing w:before="160"/>
        <w:rPr>
          <w:lang w:val="en-GB" w:eastAsia="fr-FR"/>
        </w:rPr>
      </w:pPr>
      <w:r w:rsidRPr="00F4758C">
        <w:rPr>
          <w:lang w:val="en-GB" w:eastAsia="fr-FR"/>
        </w:rPr>
        <w:t xml:space="preserve">Thus, </w:t>
      </w:r>
      <w:r w:rsidR="00256315" w:rsidRPr="00F4758C">
        <w:rPr>
          <w:lang w:val="en-GB" w:eastAsia="fr-FR"/>
        </w:rPr>
        <w:t xml:space="preserve">all services provided after 28 June 2025 – that is, services performed after 28 June 2025 – must be provided in an accessible manner. </w:t>
      </w:r>
      <w:r w:rsidRPr="00F4758C">
        <w:rPr>
          <w:lang w:val="en-GB" w:eastAsia="fr-FR"/>
        </w:rPr>
        <w:t>For example</w:t>
      </w:r>
      <w:r w:rsidR="00256315" w:rsidRPr="00F4758C">
        <w:rPr>
          <w:lang w:val="en-GB" w:eastAsia="fr-FR"/>
        </w:rPr>
        <w:t xml:space="preserve">, </w:t>
      </w:r>
      <w:r w:rsidR="00256315" w:rsidRPr="00F4758C">
        <w:rPr>
          <w:lang w:val="en-GB"/>
        </w:rPr>
        <w:t>on the same e-commerce platform, a sale made on 27 June 2025 is not subject to the accessibility requirements, whereas a sale made on 29 June 2025 is subject to the accessibility requirements.</w:t>
      </w:r>
    </w:p>
    <w:p w14:paraId="0CBD5D55" w14:textId="7E20F032" w:rsidR="009E703B" w:rsidRPr="00F4758C" w:rsidRDefault="0031621F" w:rsidP="001C2061">
      <w:pPr>
        <w:pStyle w:val="Titre4"/>
        <w:rPr>
          <w:lang w:val="en-GB" w:eastAsia="fr-FR"/>
        </w:rPr>
      </w:pPr>
      <w:r w:rsidRPr="00F4758C">
        <w:rPr>
          <w:lang w:val="en-GB" w:eastAsia="fr-FR"/>
        </w:rPr>
        <w:t xml:space="preserve">An </w:t>
      </w:r>
      <w:r w:rsidR="00C8198E" w:rsidRPr="00F4758C">
        <w:rPr>
          <w:lang w:val="en-GB" w:eastAsia="fr-FR"/>
        </w:rPr>
        <w:t>exceptional transitional period until</w:t>
      </w:r>
      <w:r w:rsidR="009E703B" w:rsidRPr="00F4758C">
        <w:rPr>
          <w:lang w:val="en-GB" w:eastAsia="fr-FR"/>
        </w:rPr>
        <w:t xml:space="preserve"> 28 June 2030</w:t>
      </w:r>
    </w:p>
    <w:p w14:paraId="15BC808F" w14:textId="431F071F" w:rsidR="002F4C38" w:rsidRPr="00F4758C" w:rsidRDefault="009E703B" w:rsidP="001C2061">
      <w:pPr>
        <w:spacing w:before="160"/>
        <w:rPr>
          <w:lang w:val="en-GB" w:eastAsia="fr-FR"/>
        </w:rPr>
      </w:pPr>
      <w:r w:rsidRPr="00F4758C">
        <w:rPr>
          <w:b/>
          <w:bCs/>
          <w:lang w:val="en-GB" w:eastAsia="fr-FR"/>
        </w:rPr>
        <w:t xml:space="preserve">This date marks </w:t>
      </w:r>
      <w:r w:rsidR="00FA68AD" w:rsidRPr="00F4758C">
        <w:rPr>
          <w:b/>
          <w:bCs/>
          <w:lang w:val="en-GB" w:eastAsia="fr-FR"/>
        </w:rPr>
        <w:t xml:space="preserve">the </w:t>
      </w:r>
      <w:r w:rsidR="00621AAC" w:rsidRPr="00F4758C">
        <w:rPr>
          <w:b/>
          <w:bCs/>
          <w:lang w:val="en-GB" w:eastAsia="fr-FR"/>
        </w:rPr>
        <w:t xml:space="preserve">end </w:t>
      </w:r>
      <w:r w:rsidR="00FA68AD" w:rsidRPr="00F4758C">
        <w:rPr>
          <w:b/>
          <w:bCs/>
          <w:lang w:val="en-GB" w:eastAsia="fr-FR"/>
        </w:rPr>
        <w:t xml:space="preserve">of a </w:t>
      </w:r>
      <w:r w:rsidR="00621AAC" w:rsidRPr="00F4758C">
        <w:rPr>
          <w:b/>
          <w:bCs/>
          <w:lang w:val="en-GB" w:eastAsia="fr-FR"/>
        </w:rPr>
        <w:t xml:space="preserve">period </w:t>
      </w:r>
      <w:r w:rsidR="00FA68AD" w:rsidRPr="00F4758C">
        <w:rPr>
          <w:b/>
          <w:bCs/>
          <w:lang w:val="en-GB" w:eastAsia="fr-FR"/>
        </w:rPr>
        <w:t xml:space="preserve">known as the </w:t>
      </w:r>
      <w:r w:rsidR="00BB7747">
        <w:rPr>
          <w:b/>
          <w:bCs/>
          <w:lang w:val="en-GB" w:eastAsia="fr-FR"/>
        </w:rPr>
        <w:t>“</w:t>
      </w:r>
      <w:r w:rsidR="00621AAC" w:rsidRPr="00F4758C">
        <w:rPr>
          <w:b/>
          <w:bCs/>
          <w:lang w:val="en-GB" w:eastAsia="fr-FR"/>
        </w:rPr>
        <w:t>transitional measure</w:t>
      </w:r>
      <w:r w:rsidR="00BB7747">
        <w:rPr>
          <w:b/>
          <w:bCs/>
          <w:lang w:val="en-GB" w:eastAsia="fr-FR"/>
        </w:rPr>
        <w:t>”</w:t>
      </w:r>
      <w:r w:rsidR="00621AAC" w:rsidRPr="00F4758C">
        <w:rPr>
          <w:b/>
          <w:bCs/>
          <w:lang w:val="en-GB" w:eastAsia="fr-FR"/>
        </w:rPr>
        <w:t xml:space="preserve">, </w:t>
      </w:r>
      <w:r w:rsidRPr="00F4758C">
        <w:rPr>
          <w:lang w:val="en-GB" w:eastAsia="fr-FR"/>
        </w:rPr>
        <w:t xml:space="preserve">which </w:t>
      </w:r>
      <w:r w:rsidR="00B16EBE" w:rsidRPr="00F4758C">
        <w:rPr>
          <w:lang w:val="en-GB" w:eastAsia="fr-FR"/>
        </w:rPr>
        <w:t xml:space="preserve">arises from two exemptions provided for by law. </w:t>
      </w:r>
    </w:p>
    <w:p w14:paraId="59CEDD11" w14:textId="2C081CF2" w:rsidR="00EE538E" w:rsidRPr="00F4758C" w:rsidRDefault="002F4C38" w:rsidP="001C2061">
      <w:pPr>
        <w:numPr>
          <w:ilvl w:val="0"/>
          <w:numId w:val="16"/>
        </w:numPr>
        <w:spacing w:before="160"/>
        <w:rPr>
          <w:lang w:val="en-GB" w:eastAsia="fr-FR"/>
        </w:rPr>
      </w:pPr>
      <w:r w:rsidRPr="00F4758C">
        <w:rPr>
          <w:b/>
          <w:bCs/>
          <w:lang w:val="en-GB" w:eastAsia="fr-FR"/>
        </w:rPr>
        <w:t>Firstly</w:t>
      </w:r>
      <w:r w:rsidR="00B16EBE" w:rsidRPr="00F4758C">
        <w:rPr>
          <w:b/>
          <w:bCs/>
          <w:lang w:val="en-GB" w:eastAsia="fr-FR"/>
        </w:rPr>
        <w:t xml:space="preserve">, </w:t>
      </w:r>
      <w:r w:rsidR="00B16EBE" w:rsidRPr="00F4758C">
        <w:rPr>
          <w:lang w:val="en-GB" w:eastAsia="fr-FR"/>
        </w:rPr>
        <w:t xml:space="preserve">service providers </w:t>
      </w:r>
      <w:r w:rsidRPr="00F4758C">
        <w:rPr>
          <w:lang w:val="en-GB" w:eastAsia="fr-FR"/>
        </w:rPr>
        <w:t xml:space="preserve">will be able, until that date, </w:t>
      </w:r>
      <w:r w:rsidR="00C8198E" w:rsidRPr="00F4758C">
        <w:rPr>
          <w:lang w:val="en-GB" w:eastAsia="fr-FR"/>
        </w:rPr>
        <w:t xml:space="preserve">to </w:t>
      </w:r>
      <w:r w:rsidR="00B16EBE" w:rsidRPr="00F4758C">
        <w:rPr>
          <w:lang w:val="en-GB" w:eastAsia="fr-FR"/>
        </w:rPr>
        <w:t xml:space="preserve">continue using the </w:t>
      </w:r>
      <w:r w:rsidR="00B16EBE" w:rsidRPr="001F2368">
        <w:rPr>
          <w:lang w:val="en-GB" w:eastAsia="fr-FR"/>
        </w:rPr>
        <w:t xml:space="preserve">products </w:t>
      </w:r>
      <w:r w:rsidR="00B16EBE" w:rsidRPr="00F4758C">
        <w:rPr>
          <w:lang w:val="en-GB" w:eastAsia="fr-FR"/>
        </w:rPr>
        <w:t>they were lawfully using prior to 28 June 2025 to provide similar services</w:t>
      </w:r>
      <w:r w:rsidR="00561345" w:rsidRPr="00F4758C">
        <w:rPr>
          <w:lang w:val="en-GB" w:eastAsia="fr-FR"/>
        </w:rPr>
        <w:t xml:space="preserve">. </w:t>
      </w:r>
      <w:r w:rsidR="00EE538E" w:rsidRPr="00F4758C">
        <w:rPr>
          <w:lang w:val="en-GB" w:eastAsia="fr-FR"/>
        </w:rPr>
        <w:t xml:space="preserve">This is because </w:t>
      </w:r>
      <w:r w:rsidR="00621AAC" w:rsidRPr="00F4758C">
        <w:rPr>
          <w:lang w:val="en-GB" w:eastAsia="fr-FR"/>
        </w:rPr>
        <w:t xml:space="preserve">the characteristics of the product used influence </w:t>
      </w:r>
      <w:r w:rsidR="00EE538E" w:rsidRPr="00F4758C">
        <w:rPr>
          <w:lang w:val="en-GB" w:eastAsia="fr-FR"/>
        </w:rPr>
        <w:t>those</w:t>
      </w:r>
      <w:r w:rsidR="00621AAC" w:rsidRPr="00F4758C">
        <w:rPr>
          <w:lang w:val="en-GB" w:eastAsia="fr-FR"/>
        </w:rPr>
        <w:t xml:space="preserve"> of the service provided </w:t>
      </w:r>
      <w:r w:rsidR="00EE538E" w:rsidRPr="00F4758C">
        <w:rPr>
          <w:lang w:val="en-GB" w:eastAsia="fr-FR"/>
        </w:rPr>
        <w:t xml:space="preserve">and determine its </w:t>
      </w:r>
      <w:r w:rsidR="00621AAC" w:rsidRPr="00F4758C">
        <w:rPr>
          <w:lang w:val="en-GB" w:eastAsia="fr-FR"/>
        </w:rPr>
        <w:t xml:space="preserve">accessibility. </w:t>
      </w:r>
      <w:r w:rsidR="001D2EFC" w:rsidRPr="00F4758C">
        <w:rPr>
          <w:lang w:val="en-GB" w:eastAsia="fr-FR"/>
        </w:rPr>
        <w:t xml:space="preserve">Furthermore, this additional period, between 28 June 2025 and 28 June 2030, </w:t>
      </w:r>
      <w:r w:rsidR="00EE538E" w:rsidRPr="00F4758C">
        <w:rPr>
          <w:lang w:val="en-GB" w:eastAsia="fr-FR"/>
        </w:rPr>
        <w:t xml:space="preserve">is intended to </w:t>
      </w:r>
      <w:r w:rsidR="001D2EFC" w:rsidRPr="00F4758C">
        <w:rPr>
          <w:lang w:val="en-GB" w:eastAsia="fr-FR"/>
        </w:rPr>
        <w:t xml:space="preserve">enable </w:t>
      </w:r>
      <w:r w:rsidR="00621AAC" w:rsidRPr="00F4758C">
        <w:rPr>
          <w:lang w:val="en-GB" w:eastAsia="fr-FR"/>
        </w:rPr>
        <w:t xml:space="preserve">service providers </w:t>
      </w:r>
      <w:r w:rsidR="001D2EFC" w:rsidRPr="00F4758C">
        <w:rPr>
          <w:lang w:val="en-GB" w:eastAsia="fr-FR"/>
        </w:rPr>
        <w:t xml:space="preserve">to find an accessible product on the market </w:t>
      </w:r>
      <w:r w:rsidR="001D2EFC" w:rsidRPr="001F2368">
        <w:rPr>
          <w:lang w:val="en-GB" w:eastAsia="fr-FR"/>
        </w:rPr>
        <w:t xml:space="preserve">through </w:t>
      </w:r>
      <w:r w:rsidR="001D2EFC" w:rsidRPr="00F4758C">
        <w:rPr>
          <w:lang w:val="en-GB" w:eastAsia="fr-FR"/>
        </w:rPr>
        <w:t xml:space="preserve">which they can provide an accessible service. </w:t>
      </w:r>
      <w:r w:rsidR="00174CC8" w:rsidRPr="00F4758C">
        <w:rPr>
          <w:lang w:val="en-GB" w:eastAsia="fr-FR"/>
        </w:rPr>
        <w:t xml:space="preserve">A </w:t>
      </w:r>
      <w:r w:rsidR="00EE538E" w:rsidRPr="00F4758C">
        <w:rPr>
          <w:lang w:val="en-GB" w:eastAsia="fr-FR"/>
        </w:rPr>
        <w:t>typical</w:t>
      </w:r>
      <w:r w:rsidR="00174CC8" w:rsidRPr="00F4758C">
        <w:rPr>
          <w:lang w:val="en-GB" w:eastAsia="fr-FR"/>
        </w:rPr>
        <w:t xml:space="preserve"> example is an electronic payment</w:t>
      </w:r>
      <w:r w:rsidR="00EE538E" w:rsidRPr="00F4758C">
        <w:rPr>
          <w:lang w:val="en-GB" w:eastAsia="fr-FR"/>
        </w:rPr>
        <w:t xml:space="preserve"> service</w:t>
      </w:r>
      <w:r w:rsidR="00174CC8" w:rsidRPr="00F4758C">
        <w:rPr>
          <w:lang w:val="en-GB" w:eastAsia="fr-FR"/>
        </w:rPr>
        <w:t xml:space="preserve">. In </w:t>
      </w:r>
      <w:r w:rsidRPr="00F4758C">
        <w:rPr>
          <w:lang w:val="en-GB" w:eastAsia="fr-FR"/>
        </w:rPr>
        <w:t>this example</w:t>
      </w:r>
      <w:r w:rsidR="00174CC8" w:rsidRPr="00F4758C">
        <w:rPr>
          <w:lang w:val="en-GB" w:eastAsia="fr-FR"/>
        </w:rPr>
        <w:t xml:space="preserve">, the service relies on the use of a </w:t>
      </w:r>
      <w:r w:rsidRPr="00F4758C">
        <w:rPr>
          <w:lang w:val="en-GB" w:eastAsia="fr-FR"/>
        </w:rPr>
        <w:t xml:space="preserve">physical </w:t>
      </w:r>
      <w:r w:rsidR="00174CC8" w:rsidRPr="00F4758C">
        <w:rPr>
          <w:lang w:val="en-GB" w:eastAsia="fr-FR"/>
        </w:rPr>
        <w:t xml:space="preserve">product, whether it be electronic payment terminals (EPTs), cash machines, ticket vending machines or self-service check-in kiosks. If the product does not comply with accessibility requirements, the service will not be accessible either. </w:t>
      </w:r>
    </w:p>
    <w:p w14:paraId="3B47CFEE" w14:textId="1A3E00F1" w:rsidR="002F4C38" w:rsidRPr="00F4758C" w:rsidRDefault="00174CC8" w:rsidP="00E644FE">
      <w:pPr>
        <w:spacing w:before="160"/>
        <w:ind w:left="708"/>
        <w:rPr>
          <w:lang w:val="en-GB" w:eastAsia="fr-FR"/>
        </w:rPr>
      </w:pPr>
      <w:r w:rsidRPr="00F4758C">
        <w:rPr>
          <w:lang w:val="en-GB" w:eastAsia="fr-FR"/>
        </w:rPr>
        <w:t xml:space="preserve">Self-service terminals </w:t>
      </w:r>
      <w:r w:rsidR="000B6230" w:rsidRPr="00F4758C">
        <w:rPr>
          <w:lang w:val="en-GB" w:eastAsia="fr-FR"/>
        </w:rPr>
        <w:t xml:space="preserve">are also subject to a specific deadline, </w:t>
      </w:r>
      <w:r w:rsidRPr="00F4758C">
        <w:rPr>
          <w:lang w:val="en-GB" w:eastAsia="fr-FR"/>
        </w:rPr>
        <w:t xml:space="preserve">expressly </w:t>
      </w:r>
      <w:r w:rsidR="000B6230" w:rsidRPr="00F4758C">
        <w:rPr>
          <w:lang w:val="en-GB" w:eastAsia="fr-FR"/>
        </w:rPr>
        <w:t xml:space="preserve">referred </w:t>
      </w:r>
      <w:r w:rsidRPr="00F4758C">
        <w:rPr>
          <w:lang w:val="en-GB" w:eastAsia="fr-FR"/>
        </w:rPr>
        <w:t xml:space="preserve">to in Article 32(2) of the Directive, which, as an exception to the exception, provides that service providers offering services </w:t>
      </w:r>
      <w:r w:rsidRPr="00F4758C">
        <w:rPr>
          <w:i/>
          <w:iCs/>
          <w:lang w:val="en-GB" w:eastAsia="fr-FR"/>
        </w:rPr>
        <w:t xml:space="preserve">via </w:t>
      </w:r>
      <w:r w:rsidR="002F4C38" w:rsidRPr="00F4758C">
        <w:rPr>
          <w:lang w:val="en-GB" w:eastAsia="fr-FR"/>
        </w:rPr>
        <w:t xml:space="preserve">such </w:t>
      </w:r>
      <w:r w:rsidRPr="00F4758C">
        <w:rPr>
          <w:lang w:val="en-GB" w:eastAsia="fr-FR"/>
        </w:rPr>
        <w:t xml:space="preserve">terminals </w:t>
      </w:r>
      <w:r w:rsidR="002F4C38" w:rsidRPr="00F4758C">
        <w:rPr>
          <w:lang w:val="en-GB" w:eastAsia="fr-FR"/>
        </w:rPr>
        <w:t xml:space="preserve">may </w:t>
      </w:r>
      <w:r w:rsidRPr="00F4758C">
        <w:rPr>
          <w:lang w:val="en-GB" w:eastAsia="fr-FR"/>
        </w:rPr>
        <w:t xml:space="preserve">continue to use them lawfully until </w:t>
      </w:r>
      <w:r w:rsidR="00BB7747">
        <w:rPr>
          <w:i/>
          <w:iCs/>
          <w:lang w:val="en-GB" w:eastAsia="fr-FR"/>
        </w:rPr>
        <w:t>“</w:t>
      </w:r>
      <w:r w:rsidRPr="00F4758C">
        <w:rPr>
          <w:i/>
          <w:iCs/>
          <w:lang w:val="en-GB" w:eastAsia="fr-FR"/>
        </w:rPr>
        <w:t>the end of their economically useful life, this period not exceeding twenty years from the date they were put into servic</w:t>
      </w:r>
      <w:r w:rsidR="00BB7747">
        <w:rPr>
          <w:i/>
          <w:iCs/>
          <w:lang w:val="en-GB" w:eastAsia="fr-FR"/>
        </w:rPr>
        <w:t>e”</w:t>
      </w:r>
      <w:r w:rsidR="008133D4">
        <w:rPr>
          <w:rStyle w:val="Appelnotedebasdep"/>
          <w:i/>
          <w:iCs/>
          <w:lang w:eastAsia="fr-FR"/>
        </w:rPr>
        <w:footnoteReference w:id="14"/>
      </w:r>
      <w:r w:rsidRPr="00F4758C">
        <w:rPr>
          <w:i/>
          <w:iCs/>
          <w:lang w:val="en-GB" w:eastAsia="fr-FR"/>
        </w:rPr>
        <w:t xml:space="preserve"> . </w:t>
      </w:r>
    </w:p>
    <w:p w14:paraId="79B83904" w14:textId="7FC1C645" w:rsidR="00B16EBE" w:rsidRPr="00F4758C" w:rsidRDefault="002F4C38" w:rsidP="009E703B">
      <w:pPr>
        <w:numPr>
          <w:ilvl w:val="0"/>
          <w:numId w:val="16"/>
        </w:numPr>
        <w:spacing w:before="160"/>
        <w:rPr>
          <w:b/>
          <w:bCs/>
          <w:lang w:val="en-GB" w:eastAsia="fr-FR"/>
        </w:rPr>
      </w:pPr>
      <w:r w:rsidRPr="00F4758C">
        <w:rPr>
          <w:b/>
          <w:bCs/>
          <w:lang w:val="en-GB" w:eastAsia="fr-FR"/>
        </w:rPr>
        <w:t>Secondly</w:t>
      </w:r>
      <w:r w:rsidR="00107E3C" w:rsidRPr="00F4758C">
        <w:rPr>
          <w:b/>
          <w:bCs/>
          <w:lang w:val="en-GB" w:eastAsia="fr-FR"/>
        </w:rPr>
        <w:t xml:space="preserve">, </w:t>
      </w:r>
      <w:r w:rsidR="00107E3C" w:rsidRPr="00F4758C">
        <w:rPr>
          <w:lang w:val="en-GB" w:eastAsia="fr-FR"/>
        </w:rPr>
        <w:t xml:space="preserve">the derogation </w:t>
      </w:r>
      <w:r w:rsidR="00B73447" w:rsidRPr="00F4758C">
        <w:rPr>
          <w:lang w:val="en-GB" w:eastAsia="fr-FR"/>
        </w:rPr>
        <w:t xml:space="preserve">applies to service contracts concluded before 28 June 2025, which </w:t>
      </w:r>
      <w:r w:rsidRPr="00F4758C">
        <w:rPr>
          <w:lang w:val="en-GB" w:eastAsia="fr-FR"/>
        </w:rPr>
        <w:t xml:space="preserve">may </w:t>
      </w:r>
      <w:r w:rsidR="00B73447" w:rsidRPr="00F4758C">
        <w:rPr>
          <w:lang w:val="en-GB" w:eastAsia="fr-FR"/>
        </w:rPr>
        <w:t>be performed without modification until their expiry, and at the latest until</w:t>
      </w:r>
      <w:r w:rsidR="00AF068F" w:rsidRPr="00F4758C">
        <w:rPr>
          <w:lang w:val="en-GB" w:eastAsia="fr-FR"/>
        </w:rPr>
        <w:t xml:space="preserve"> 28 June 2030</w:t>
      </w:r>
      <w:r w:rsidR="00B16EBE" w:rsidRPr="000B6230">
        <w:rPr>
          <w:rStyle w:val="Appelnotedebasdep"/>
          <w:lang w:eastAsia="fr-FR"/>
        </w:rPr>
        <w:footnoteReference w:id="15"/>
      </w:r>
      <w:r w:rsidR="000B6230" w:rsidRPr="00F4758C">
        <w:rPr>
          <w:lang w:val="en-GB" w:eastAsia="fr-FR"/>
        </w:rPr>
        <w:t xml:space="preserve"> .</w:t>
      </w:r>
      <w:r w:rsidR="00107E3C" w:rsidRPr="00F4758C">
        <w:rPr>
          <w:lang w:val="en-GB" w:eastAsia="fr-FR"/>
        </w:rPr>
        <w:t xml:space="preserve"> This exception applies </w:t>
      </w:r>
      <w:r w:rsidR="001C2061" w:rsidRPr="00F4758C">
        <w:rPr>
          <w:lang w:val="en-GB" w:eastAsia="fr-FR"/>
        </w:rPr>
        <w:t xml:space="preserve">to </w:t>
      </w:r>
      <w:r w:rsidR="00107E3C" w:rsidRPr="00F4758C">
        <w:rPr>
          <w:lang w:val="en-GB" w:eastAsia="fr-FR"/>
        </w:rPr>
        <w:t>services provided on an ongoing basis</w:t>
      </w:r>
      <w:r w:rsidR="001C2061" w:rsidRPr="00F4758C">
        <w:rPr>
          <w:lang w:val="en-GB" w:eastAsia="fr-FR"/>
        </w:rPr>
        <w:t xml:space="preserve">, rather than on an ad hoc basis, </w:t>
      </w:r>
      <w:r w:rsidR="00107E3C" w:rsidRPr="00F4758C">
        <w:rPr>
          <w:lang w:val="en-GB" w:eastAsia="fr-FR"/>
        </w:rPr>
        <w:t xml:space="preserve">under a contract concluded before the date on which the Directive came into force. </w:t>
      </w:r>
      <w:r w:rsidR="000B6230" w:rsidRPr="000738EC">
        <w:rPr>
          <w:lang w:val="en-GB" w:eastAsia="fr-FR"/>
        </w:rPr>
        <w:t>For example,</w:t>
      </w:r>
      <w:r w:rsidR="000B6230" w:rsidRPr="00F4758C">
        <w:rPr>
          <w:lang w:val="en-GB" w:eastAsia="fr-FR"/>
        </w:rPr>
        <w:t xml:space="preserve"> if a subscription contract for the production of a daily newsletter was concluded before 28 June 2025, the newsletter may continue to be distributed without complying with </w:t>
      </w:r>
      <w:r w:rsidR="000B6230" w:rsidRPr="00F4758C">
        <w:rPr>
          <w:lang w:val="en-GB" w:eastAsia="fr-FR"/>
        </w:rPr>
        <w:lastRenderedPageBreak/>
        <w:t>the accessibility criteria after that date, until the end of the contract (no later than 28 June 2030</w:t>
      </w:r>
      <w:r w:rsidR="00820334" w:rsidRPr="00F4758C">
        <w:rPr>
          <w:lang w:val="en-GB" w:eastAsia="fr-FR"/>
        </w:rPr>
        <w:t>).</w:t>
      </w:r>
    </w:p>
    <w:p w14:paraId="5C37271B" w14:textId="1BBE9FD4" w:rsidR="002650C5" w:rsidRPr="00F4758C" w:rsidRDefault="00B16EBE" w:rsidP="002650C5">
      <w:pPr>
        <w:spacing w:before="160"/>
        <w:rPr>
          <w:lang w:val="en-GB" w:eastAsia="fr-FR"/>
        </w:rPr>
      </w:pPr>
      <w:r w:rsidRPr="00F4758C">
        <w:rPr>
          <w:lang w:val="en-GB" w:eastAsia="fr-FR"/>
        </w:rPr>
        <w:t xml:space="preserve">It is </w:t>
      </w:r>
      <w:r w:rsidR="00174CC8" w:rsidRPr="00F4758C">
        <w:rPr>
          <w:lang w:val="en-GB" w:eastAsia="fr-FR"/>
        </w:rPr>
        <w:t xml:space="preserve">important to emphasise that </w:t>
      </w:r>
      <w:r w:rsidR="00174CC8" w:rsidRPr="00F4758C">
        <w:rPr>
          <w:b/>
          <w:bCs/>
          <w:lang w:val="en-GB" w:eastAsia="fr-FR"/>
        </w:rPr>
        <w:t xml:space="preserve">services provided without the intermediary of a physical product </w:t>
      </w:r>
      <w:r w:rsidR="00174CC8" w:rsidRPr="00F4758C">
        <w:rPr>
          <w:lang w:val="en-GB" w:eastAsia="fr-FR"/>
        </w:rPr>
        <w:t xml:space="preserve">between the service provider and the consumer are not eligible for the extended deadline until 28 June 2030. This applies to online services characterised by an entirely digital activity, carried out remotely via digital interfaces, such as a website or a mobile app. </w:t>
      </w:r>
      <w:r w:rsidR="00A948EA" w:rsidRPr="00F4758C">
        <w:rPr>
          <w:lang w:val="en-GB" w:eastAsia="fr-FR"/>
        </w:rPr>
        <w:t xml:space="preserve">The only exemption concerning services </w:t>
      </w:r>
      <w:r w:rsidR="001C2061" w:rsidRPr="00F4758C">
        <w:rPr>
          <w:lang w:val="en-GB" w:eastAsia="fr-FR"/>
        </w:rPr>
        <w:t xml:space="preserve">applies to </w:t>
      </w:r>
      <w:r w:rsidR="00A948EA" w:rsidRPr="00F4758C">
        <w:rPr>
          <w:lang w:val="en-GB" w:eastAsia="fr-FR"/>
        </w:rPr>
        <w:t xml:space="preserve">archives: thus, the accessibility requirement does not apply to </w:t>
      </w:r>
      <w:r w:rsidR="00262FAF">
        <w:rPr>
          <w:i/>
          <w:iCs/>
          <w:lang w:val="en-GB" w:eastAsia="fr-FR"/>
        </w:rPr>
        <w:t>“</w:t>
      </w:r>
      <w:r w:rsidR="00A948EA" w:rsidRPr="00F4758C">
        <w:rPr>
          <w:i/>
          <w:iCs/>
          <w:lang w:val="en-GB" w:eastAsia="fr-FR"/>
        </w:rPr>
        <w:t xml:space="preserve">the content of websites and mobile applications that are considered to be archives, namely those that only display content which is not updated or modified after 28 June </w:t>
      </w:r>
      <w:r w:rsidR="00A948EA" w:rsidRPr="001F2368">
        <w:rPr>
          <w:i/>
          <w:iCs/>
          <w:lang w:val="en-GB" w:eastAsia="fr-FR"/>
        </w:rPr>
        <w:t>2025</w:t>
      </w:r>
      <w:r w:rsidR="00262FAF">
        <w:rPr>
          <w:lang w:val="en-GB" w:eastAsia="fr-FR"/>
        </w:rPr>
        <w:t>”</w:t>
      </w:r>
      <w:r w:rsidR="00256315" w:rsidRPr="00851394">
        <w:rPr>
          <w:rStyle w:val="Appelnotedebasdep"/>
          <w:lang w:eastAsia="fr-FR"/>
        </w:rPr>
        <w:footnoteReference w:id="16"/>
      </w:r>
      <w:r w:rsidR="00256315" w:rsidRPr="00F4758C">
        <w:rPr>
          <w:lang w:val="en-GB" w:eastAsia="fr-FR"/>
        </w:rPr>
        <w:t xml:space="preserve"> . </w:t>
      </w:r>
    </w:p>
    <w:p w14:paraId="38E2B868" w14:textId="17E713C3" w:rsidR="00B16EBE" w:rsidRPr="00F4758C" w:rsidRDefault="002650C5" w:rsidP="002650C5">
      <w:pPr>
        <w:spacing w:before="160"/>
        <w:rPr>
          <w:lang w:val="en-GB" w:eastAsia="fr-FR"/>
        </w:rPr>
      </w:pPr>
      <w:r w:rsidRPr="00F4758C">
        <w:rPr>
          <w:lang w:val="en-GB" w:eastAsia="fr-FR"/>
        </w:rPr>
        <w:t xml:space="preserve">It should also be noted that </w:t>
      </w:r>
      <w:r w:rsidRPr="00F4758C">
        <w:rPr>
          <w:b/>
          <w:bCs/>
          <w:lang w:val="en-GB" w:eastAsia="fr-FR"/>
        </w:rPr>
        <w:t xml:space="preserve">bringing a website </w:t>
      </w:r>
      <w:r w:rsidR="001C2061" w:rsidRPr="00F4758C">
        <w:rPr>
          <w:b/>
          <w:bCs/>
          <w:lang w:val="en-GB" w:eastAsia="fr-FR"/>
        </w:rPr>
        <w:t xml:space="preserve">or </w:t>
      </w:r>
      <w:r w:rsidRPr="00F4758C">
        <w:rPr>
          <w:b/>
          <w:bCs/>
          <w:lang w:val="en-GB" w:eastAsia="fr-FR"/>
        </w:rPr>
        <w:t xml:space="preserve">mobile application into compliance </w:t>
      </w:r>
      <w:r w:rsidRPr="00F4758C">
        <w:rPr>
          <w:lang w:val="en-GB" w:eastAsia="fr-FR"/>
        </w:rPr>
        <w:t xml:space="preserve">does not depend on conditions beyond the service provider’s control, as is the case for products placed on the market, and </w:t>
      </w:r>
      <w:r w:rsidR="001C2061" w:rsidRPr="00F4758C">
        <w:rPr>
          <w:lang w:val="en-GB" w:eastAsia="fr-FR"/>
        </w:rPr>
        <w:t xml:space="preserve">that they </w:t>
      </w:r>
      <w:r w:rsidRPr="00F4758C">
        <w:rPr>
          <w:lang w:val="en-GB" w:eastAsia="fr-FR"/>
        </w:rPr>
        <w:t xml:space="preserve">are </w:t>
      </w:r>
      <w:r w:rsidR="001C2061" w:rsidRPr="00F4758C">
        <w:rPr>
          <w:lang w:val="en-GB" w:eastAsia="fr-FR"/>
        </w:rPr>
        <w:t>therefore</w:t>
      </w:r>
      <w:r w:rsidRPr="00F4758C">
        <w:rPr>
          <w:lang w:val="en-GB" w:eastAsia="fr-FR"/>
        </w:rPr>
        <w:t xml:space="preserve"> not eligible for the additional transitional period until 2030. In this regard, it is worth recalling the case law of the Court of Cassation, which holds that a </w:t>
      </w:r>
      <w:r w:rsidRPr="00F4758C">
        <w:rPr>
          <w:b/>
          <w:bCs/>
          <w:lang w:val="en-GB" w:eastAsia="fr-FR"/>
        </w:rPr>
        <w:t>contract for the design of a bespoke website is not a contract of sale</w:t>
      </w:r>
      <w:r w:rsidRPr="00F4758C">
        <w:rPr>
          <w:lang w:val="en-GB" w:eastAsia="fr-FR"/>
        </w:rPr>
        <w:t>, since it does not involve the transfer of ownership of movable property (Court of Cassation, 1st Civil Chamber, 28 May 2026, No. 25-14.507).</w:t>
      </w:r>
    </w:p>
    <w:p w14:paraId="79CB7EEC" w14:textId="1E4BEFA6" w:rsidR="00A57F0E" w:rsidRPr="00F4758C" w:rsidRDefault="00A948EA" w:rsidP="00A948EA">
      <w:pPr>
        <w:spacing w:before="160"/>
        <w:rPr>
          <w:lang w:val="en-GB" w:eastAsia="fr-FR"/>
        </w:rPr>
      </w:pPr>
      <w:r w:rsidRPr="00F4758C">
        <w:rPr>
          <w:lang w:val="en-GB" w:eastAsia="fr-FR"/>
        </w:rPr>
        <w:t xml:space="preserve">Finally, according to Article 14 of the Directive (transposed into Articles L. 412-13 and D. 412-60 of the Consumer Code), there </w:t>
      </w:r>
      <w:r w:rsidRPr="00F4758C">
        <w:rPr>
          <w:b/>
          <w:bCs/>
          <w:lang w:val="en-GB" w:eastAsia="fr-FR"/>
        </w:rPr>
        <w:t xml:space="preserve">is a possibility of an exemption for </w:t>
      </w:r>
      <w:r w:rsidR="00BB7747">
        <w:rPr>
          <w:b/>
          <w:bCs/>
          <w:lang w:val="en-GB" w:eastAsia="fr-FR"/>
        </w:rPr>
        <w:t>“</w:t>
      </w:r>
      <w:r w:rsidRPr="00F4758C">
        <w:rPr>
          <w:b/>
          <w:bCs/>
          <w:lang w:val="en-GB" w:eastAsia="fr-FR"/>
        </w:rPr>
        <w:t xml:space="preserve">fundamental </w:t>
      </w:r>
      <w:r w:rsidR="00A57F0E" w:rsidRPr="00F4758C">
        <w:rPr>
          <w:b/>
          <w:bCs/>
          <w:lang w:val="en-GB" w:eastAsia="fr-FR"/>
        </w:rPr>
        <w:t xml:space="preserve">changes </w:t>
      </w:r>
      <w:r w:rsidRPr="00F4758C">
        <w:rPr>
          <w:b/>
          <w:bCs/>
          <w:lang w:val="en-GB" w:eastAsia="fr-FR"/>
        </w:rPr>
        <w:t xml:space="preserve">and a disproportionate </w:t>
      </w:r>
      <w:r w:rsidRPr="00F4758C">
        <w:rPr>
          <w:lang w:val="en-GB" w:eastAsia="fr-FR"/>
        </w:rPr>
        <w:t>burden</w:t>
      </w:r>
      <w:r w:rsidR="00BB7747">
        <w:rPr>
          <w:lang w:val="en-GB" w:eastAsia="fr-FR"/>
        </w:rPr>
        <w:t>”</w:t>
      </w:r>
      <w:r w:rsidR="001C2061" w:rsidRPr="00F4758C">
        <w:rPr>
          <w:lang w:val="en-GB" w:eastAsia="fr-FR"/>
        </w:rPr>
        <w:t>, as follows</w:t>
      </w:r>
      <w:r w:rsidRPr="00F4758C">
        <w:rPr>
          <w:lang w:val="en-GB" w:eastAsia="fr-FR"/>
        </w:rPr>
        <w:t xml:space="preserve">: </w:t>
      </w:r>
    </w:p>
    <w:p w14:paraId="3F5B6EA6" w14:textId="63625700" w:rsidR="00A57F0E" w:rsidRPr="00F4758C" w:rsidRDefault="00BB7747" w:rsidP="00A948EA">
      <w:pPr>
        <w:spacing w:before="160"/>
        <w:rPr>
          <w:i/>
          <w:iCs/>
          <w:lang w:val="en-GB" w:eastAsia="fr-FR"/>
        </w:rPr>
      </w:pPr>
      <w:r>
        <w:rPr>
          <w:i/>
          <w:iCs/>
          <w:lang w:val="en-GB" w:eastAsia="fr-FR"/>
        </w:rPr>
        <w:t>“</w:t>
      </w:r>
      <w:r w:rsidR="00A948EA" w:rsidRPr="00F4758C">
        <w:rPr>
          <w:i/>
          <w:iCs/>
          <w:lang w:val="en-GB" w:eastAsia="fr-FR"/>
        </w:rPr>
        <w:t>The accessibility requirements referred to in Article 4 apply only insofar as compliance:</w:t>
      </w:r>
    </w:p>
    <w:p w14:paraId="4C4341F6" w14:textId="02973025" w:rsidR="00A57F0E" w:rsidRPr="00F4758C" w:rsidRDefault="00A948EA" w:rsidP="00E644FE">
      <w:pPr>
        <w:pStyle w:val="Paragraphedeliste"/>
        <w:numPr>
          <w:ilvl w:val="0"/>
          <w:numId w:val="84"/>
        </w:numPr>
        <w:spacing w:before="160"/>
        <w:rPr>
          <w:i/>
          <w:iCs/>
          <w:lang w:val="en-GB" w:eastAsia="fr-FR"/>
        </w:rPr>
      </w:pPr>
      <w:r w:rsidRPr="00F4758C">
        <w:rPr>
          <w:i/>
          <w:iCs/>
          <w:lang w:val="en-GB" w:eastAsia="fr-FR"/>
        </w:rPr>
        <w:t xml:space="preserve">does not require a significant modification of a product or service that results in a fundamental change to its nature; </w:t>
      </w:r>
    </w:p>
    <w:p w14:paraId="76C95124" w14:textId="64902342" w:rsidR="00A948EA" w:rsidRPr="00F4758C" w:rsidRDefault="00A948EA" w:rsidP="00E644FE">
      <w:pPr>
        <w:pStyle w:val="Paragraphedeliste"/>
        <w:numPr>
          <w:ilvl w:val="0"/>
          <w:numId w:val="84"/>
        </w:numPr>
        <w:spacing w:before="160"/>
        <w:rPr>
          <w:lang w:val="en-GB" w:eastAsia="fr-FR"/>
        </w:rPr>
      </w:pPr>
      <w:r w:rsidRPr="00F4758C">
        <w:rPr>
          <w:i/>
          <w:iCs/>
          <w:lang w:val="en-GB" w:eastAsia="fr-FR"/>
        </w:rPr>
        <w:t>does not impose a disproportionate burden on the economic operators concerned</w:t>
      </w:r>
      <w:r w:rsidRPr="00F4758C">
        <w:rPr>
          <w:lang w:val="en-GB" w:eastAsia="fr-FR"/>
        </w:rPr>
        <w:t>.”</w:t>
      </w:r>
    </w:p>
    <w:p w14:paraId="282CE8DF" w14:textId="2FF0C552" w:rsidR="0031621F" w:rsidRPr="0031621F" w:rsidRDefault="009329EC" w:rsidP="0069716E">
      <w:pPr>
        <w:pStyle w:val="Titre3"/>
      </w:pPr>
      <w:bookmarkStart w:id="12" w:name="_Toc230076999"/>
      <w:r>
        <w:t xml:space="preserve">Sanctions </w:t>
      </w:r>
      <w:bookmarkEnd w:id="12"/>
      <w:r w:rsidR="0031621F" w:rsidRPr="0031621F">
        <w:t xml:space="preserve"> </w:t>
      </w:r>
    </w:p>
    <w:p w14:paraId="409EF10E" w14:textId="454E1446" w:rsidR="002C1CC8" w:rsidRPr="00F4758C" w:rsidRDefault="008D7E35" w:rsidP="0031621F">
      <w:pPr>
        <w:spacing w:before="160"/>
        <w:rPr>
          <w:lang w:val="en-GB" w:eastAsia="fr-FR"/>
        </w:rPr>
      </w:pPr>
      <w:r w:rsidRPr="00F4758C">
        <w:rPr>
          <w:lang w:val="en-GB" w:eastAsia="fr-FR"/>
        </w:rPr>
        <w:t xml:space="preserve">At </w:t>
      </w:r>
      <w:r w:rsidR="002C1CC8" w:rsidRPr="00F4758C">
        <w:rPr>
          <w:lang w:val="en-GB" w:eastAsia="fr-FR"/>
        </w:rPr>
        <w:t xml:space="preserve">the French level, under the 2005 </w:t>
      </w:r>
      <w:r w:rsidR="0077061A" w:rsidRPr="0077061A">
        <w:rPr>
          <w:lang w:val="en-GB" w:eastAsia="fr-FR"/>
        </w:rPr>
        <w:t>Law on Equal Rights and Opportunities, Participation and Citizenship of Persons with Disabilities</w:t>
      </w:r>
      <w:r w:rsidR="00BB7747">
        <w:rPr>
          <w:lang w:val="en-GB" w:eastAsia="fr-FR"/>
        </w:rPr>
        <w:t xml:space="preserve"> </w:t>
      </w:r>
      <w:r w:rsidR="002C1CC8" w:rsidRPr="00F4758C">
        <w:rPr>
          <w:lang w:val="en-GB" w:eastAsia="fr-FR"/>
        </w:rPr>
        <w:t xml:space="preserve">and the Order of 6 September 2023, </w:t>
      </w:r>
      <w:r w:rsidR="0031621F" w:rsidRPr="00F4758C">
        <w:rPr>
          <w:lang w:val="en-GB" w:eastAsia="fr-FR"/>
        </w:rPr>
        <w:t xml:space="preserve">failure to publish </w:t>
      </w:r>
      <w:r w:rsidR="00FC093D" w:rsidRPr="00F4758C">
        <w:rPr>
          <w:lang w:val="en-GB" w:eastAsia="fr-FR"/>
        </w:rPr>
        <w:t xml:space="preserve">an accessibility statement </w:t>
      </w:r>
      <w:r w:rsidR="0031621F" w:rsidRPr="00F4758C">
        <w:rPr>
          <w:lang w:val="en-GB" w:eastAsia="fr-FR"/>
        </w:rPr>
        <w:t xml:space="preserve">may be penalised with a fine of €25,000 </w:t>
      </w:r>
      <w:r w:rsidR="00FC093D" w:rsidRPr="00F4758C">
        <w:rPr>
          <w:lang w:val="en-GB" w:eastAsia="fr-FR"/>
        </w:rPr>
        <w:t xml:space="preserve">per website </w:t>
      </w:r>
      <w:r w:rsidR="00677DD3" w:rsidRPr="00F4758C">
        <w:rPr>
          <w:lang w:val="en-GB" w:eastAsia="fr-FR"/>
        </w:rPr>
        <w:t xml:space="preserve">and up to €50,000 for </w:t>
      </w:r>
      <w:r w:rsidR="0031621F" w:rsidRPr="00F4758C">
        <w:rPr>
          <w:lang w:val="en-GB" w:eastAsia="fr-FR"/>
        </w:rPr>
        <w:t xml:space="preserve">non-compliance </w:t>
      </w:r>
      <w:r w:rsidR="00FC093D" w:rsidRPr="00F4758C">
        <w:rPr>
          <w:lang w:val="en-GB" w:eastAsia="fr-FR"/>
        </w:rPr>
        <w:t>with the regulations</w:t>
      </w:r>
      <w:r w:rsidR="00677DD3" w:rsidRPr="00F4758C">
        <w:rPr>
          <w:lang w:val="en-GB" w:eastAsia="fr-FR"/>
        </w:rPr>
        <w:t xml:space="preserve">. </w:t>
      </w:r>
    </w:p>
    <w:p w14:paraId="5DEE8176" w14:textId="74F05FA5" w:rsidR="0031621F" w:rsidRPr="00F4758C" w:rsidRDefault="00677DD3" w:rsidP="0031621F">
      <w:pPr>
        <w:spacing w:before="160"/>
        <w:rPr>
          <w:lang w:val="en-GB" w:eastAsia="fr-FR"/>
        </w:rPr>
      </w:pPr>
      <w:r w:rsidRPr="00F4758C">
        <w:rPr>
          <w:lang w:val="en-GB" w:eastAsia="fr-FR"/>
        </w:rPr>
        <w:t>In addition</w:t>
      </w:r>
      <w:r w:rsidR="0031621F" w:rsidRPr="00F4758C">
        <w:rPr>
          <w:lang w:val="en-GB" w:eastAsia="fr-FR"/>
        </w:rPr>
        <w:t xml:space="preserve">, </w:t>
      </w:r>
      <w:r w:rsidRPr="00F4758C">
        <w:rPr>
          <w:lang w:val="en-GB" w:eastAsia="fr-FR"/>
        </w:rPr>
        <w:t>since</w:t>
      </w:r>
      <w:r w:rsidR="0031621F" w:rsidRPr="00F4758C">
        <w:rPr>
          <w:lang w:val="en-GB" w:eastAsia="fr-FR"/>
        </w:rPr>
        <w:t xml:space="preserve"> 2025, specific penalties </w:t>
      </w:r>
      <w:r w:rsidR="002C4736" w:rsidRPr="00F4758C">
        <w:rPr>
          <w:lang w:val="en-GB" w:eastAsia="fr-FR"/>
        </w:rPr>
        <w:t xml:space="preserve">defined by the Member States have been </w:t>
      </w:r>
      <w:r w:rsidR="00ED2BEC" w:rsidRPr="00F4758C">
        <w:rPr>
          <w:lang w:val="en-GB" w:eastAsia="fr-FR"/>
        </w:rPr>
        <w:t>in place</w:t>
      </w:r>
      <w:r w:rsidR="00B16EBE" w:rsidRPr="00F4758C">
        <w:rPr>
          <w:lang w:val="en-GB" w:eastAsia="fr-FR"/>
        </w:rPr>
        <w:t xml:space="preserve">, </w:t>
      </w:r>
      <w:r w:rsidR="002C4736" w:rsidRPr="00F4758C">
        <w:rPr>
          <w:lang w:val="en-GB" w:eastAsia="fr-FR"/>
        </w:rPr>
        <w:t xml:space="preserve">including </w:t>
      </w:r>
      <w:r w:rsidR="0031621F" w:rsidRPr="00F4758C">
        <w:rPr>
          <w:lang w:val="en-GB" w:eastAsia="fr-FR"/>
        </w:rPr>
        <w:t>the risk of withdrawal from the European market</w:t>
      </w:r>
      <w:r w:rsidR="00B16EBE" w:rsidRPr="00F4758C">
        <w:rPr>
          <w:lang w:val="en-GB" w:eastAsia="fr-FR"/>
        </w:rPr>
        <w:t xml:space="preserve">, </w:t>
      </w:r>
      <w:r w:rsidR="002C1CC8" w:rsidRPr="00F4758C">
        <w:rPr>
          <w:lang w:val="en-GB" w:eastAsia="fr-FR"/>
        </w:rPr>
        <w:t xml:space="preserve">following </w:t>
      </w:r>
      <w:r w:rsidR="008D7E35" w:rsidRPr="00F4758C">
        <w:rPr>
          <w:lang w:val="en-GB" w:eastAsia="fr-FR"/>
        </w:rPr>
        <w:t xml:space="preserve">the transposition </w:t>
      </w:r>
      <w:r w:rsidR="002C1CC8" w:rsidRPr="00F4758C">
        <w:rPr>
          <w:lang w:val="en-GB" w:eastAsia="fr-FR"/>
        </w:rPr>
        <w:t xml:space="preserve">in France </w:t>
      </w:r>
      <w:r w:rsidR="008D7E35" w:rsidRPr="00F4758C">
        <w:rPr>
          <w:lang w:val="en-GB" w:eastAsia="fr-FR"/>
        </w:rPr>
        <w:t xml:space="preserve">of </w:t>
      </w:r>
      <w:r w:rsidR="008D7E35" w:rsidRPr="001F2368">
        <w:rPr>
          <w:lang w:val="en-GB" w:eastAsia="fr-FR"/>
        </w:rPr>
        <w:t xml:space="preserve">the </w:t>
      </w:r>
      <w:r w:rsidR="008D7E35" w:rsidRPr="00146BDE">
        <w:rPr>
          <w:lang w:val="en-GB" w:eastAsia="fr-FR"/>
        </w:rPr>
        <w:t>European Accessibility Act</w:t>
      </w:r>
      <w:r w:rsidR="008D7E35" w:rsidRPr="00F4758C">
        <w:rPr>
          <w:i/>
          <w:iCs/>
          <w:lang w:val="en-GB" w:eastAsia="fr-FR"/>
        </w:rPr>
        <w:t xml:space="preserve"> </w:t>
      </w:r>
      <w:r w:rsidR="008D7E35" w:rsidRPr="00F4758C">
        <w:rPr>
          <w:lang w:val="en-GB" w:eastAsia="fr-FR"/>
        </w:rPr>
        <w:t xml:space="preserve">(EAA) </w:t>
      </w:r>
      <w:r w:rsidR="002C1CC8" w:rsidRPr="00F4758C">
        <w:rPr>
          <w:lang w:val="en-GB" w:eastAsia="fr-FR"/>
        </w:rPr>
        <w:t xml:space="preserve">by the </w:t>
      </w:r>
      <w:r w:rsidR="00BB7747">
        <w:rPr>
          <w:lang w:val="en-GB" w:eastAsia="fr-FR"/>
        </w:rPr>
        <w:t>law</w:t>
      </w:r>
      <w:r w:rsidR="002C1CC8" w:rsidRPr="00F4758C">
        <w:rPr>
          <w:lang w:val="en-GB" w:eastAsia="fr-FR"/>
        </w:rPr>
        <w:t xml:space="preserve"> of 9 March 2023</w:t>
      </w:r>
      <w:r w:rsidR="008D7E35" w:rsidRPr="00F4758C">
        <w:rPr>
          <w:lang w:val="en-GB" w:eastAsia="fr-FR"/>
        </w:rPr>
        <w:t xml:space="preserve">, </w:t>
      </w:r>
      <w:r w:rsidR="00ED2BEC" w:rsidRPr="00F4758C">
        <w:rPr>
          <w:lang w:val="en-GB" w:eastAsia="fr-FR"/>
        </w:rPr>
        <w:t>which came into force on 28 June 2025</w:t>
      </w:r>
      <w:r w:rsidR="002C1CC8" w:rsidRPr="00F4758C">
        <w:rPr>
          <w:lang w:val="en-GB" w:eastAsia="fr-FR"/>
        </w:rPr>
        <w:t>.</w:t>
      </w:r>
    </w:p>
    <w:p w14:paraId="21E96C87" w14:textId="5C30DFF2" w:rsidR="0031621F" w:rsidRPr="00F4758C" w:rsidRDefault="0031621F" w:rsidP="0031621F">
      <w:pPr>
        <w:spacing w:before="160"/>
        <w:rPr>
          <w:lang w:val="en-GB" w:eastAsia="fr-FR"/>
        </w:rPr>
      </w:pPr>
      <w:r w:rsidRPr="00F4758C">
        <w:rPr>
          <w:lang w:val="en-GB" w:eastAsia="fr-FR"/>
        </w:rPr>
        <w:t xml:space="preserve">Inspections and sanctions </w:t>
      </w:r>
      <w:r w:rsidR="00677DD3" w:rsidRPr="00F4758C">
        <w:rPr>
          <w:lang w:val="en-GB" w:eastAsia="fr-FR"/>
        </w:rPr>
        <w:t xml:space="preserve">are </w:t>
      </w:r>
      <w:r w:rsidRPr="00F4758C">
        <w:rPr>
          <w:lang w:val="en-GB" w:eastAsia="fr-FR"/>
        </w:rPr>
        <w:t xml:space="preserve">overseen by the </w:t>
      </w:r>
      <w:r w:rsidRPr="00F4758C">
        <w:rPr>
          <w:b/>
          <w:bCs/>
          <w:lang w:val="en-GB" w:eastAsia="fr-FR"/>
        </w:rPr>
        <w:t xml:space="preserve">DGCCRF </w:t>
      </w:r>
      <w:r w:rsidRPr="00F4758C">
        <w:rPr>
          <w:lang w:val="en-GB" w:eastAsia="fr-FR"/>
        </w:rPr>
        <w:t>(Directorate-General</w:t>
      </w:r>
      <w:r w:rsidR="00BB7747">
        <w:rPr>
          <w:lang w:val="en-GB" w:eastAsia="fr-FR"/>
        </w:rPr>
        <w:t xml:space="preserve"> </w:t>
      </w:r>
      <w:r w:rsidRPr="00F4758C">
        <w:rPr>
          <w:lang w:val="en-GB" w:eastAsia="fr-FR"/>
        </w:rPr>
        <w:t xml:space="preserve">for Competition, Consumer Affairs and Fraud Control), a cross-sectoral supervisory authority with jurisdiction over all products and services covered by the European directive, with the exception of e-books. As part of these remit, </w:t>
      </w:r>
      <w:r w:rsidR="00A14735" w:rsidRPr="00F4758C">
        <w:rPr>
          <w:lang w:val="en-GB" w:eastAsia="fr-FR"/>
        </w:rPr>
        <w:t xml:space="preserve">five </w:t>
      </w:r>
      <w:r w:rsidRPr="00F4758C">
        <w:rPr>
          <w:lang w:val="en-GB" w:eastAsia="fr-FR"/>
        </w:rPr>
        <w:t xml:space="preserve">other new supervisory authorities </w:t>
      </w:r>
      <w:r w:rsidR="00677DD3" w:rsidRPr="00F4758C">
        <w:rPr>
          <w:lang w:val="en-GB" w:eastAsia="fr-FR"/>
        </w:rPr>
        <w:t xml:space="preserve">have been </w:t>
      </w:r>
      <w:r w:rsidRPr="00F4758C">
        <w:rPr>
          <w:lang w:val="en-GB" w:eastAsia="fr-FR"/>
        </w:rPr>
        <w:t xml:space="preserve">empowered </w:t>
      </w:r>
      <w:r w:rsidR="00677DD3" w:rsidRPr="00F4758C">
        <w:rPr>
          <w:lang w:val="en-GB" w:eastAsia="fr-FR"/>
        </w:rPr>
        <w:t xml:space="preserve">since 2025 </w:t>
      </w:r>
      <w:r w:rsidRPr="00F4758C">
        <w:rPr>
          <w:lang w:val="en-GB" w:eastAsia="fr-FR"/>
        </w:rPr>
        <w:t xml:space="preserve">to monitor organisations’ progress towards accessibility: </w:t>
      </w:r>
    </w:p>
    <w:p w14:paraId="12F536A9" w14:textId="77777777" w:rsidR="0031621F" w:rsidRPr="00F4758C" w:rsidRDefault="0031621F">
      <w:pPr>
        <w:pStyle w:val="Paragraphedeliste"/>
        <w:numPr>
          <w:ilvl w:val="0"/>
          <w:numId w:val="11"/>
        </w:numPr>
        <w:rPr>
          <w:lang w:val="en-GB"/>
        </w:rPr>
      </w:pPr>
      <w:r w:rsidRPr="00F4758C">
        <w:rPr>
          <w:b/>
          <w:bCs/>
          <w:lang w:val="en-GB"/>
        </w:rPr>
        <w:lastRenderedPageBreak/>
        <w:t xml:space="preserve">ARCEP </w:t>
      </w:r>
      <w:r w:rsidRPr="00F4758C">
        <w:rPr>
          <w:lang w:val="en-GB"/>
        </w:rPr>
        <w:t>(Regulatory Authority for Electronic Communications, Postal Services and Press Distribution) for online communication services;</w:t>
      </w:r>
    </w:p>
    <w:p w14:paraId="53812296" w14:textId="4637630D" w:rsidR="0031621F" w:rsidRPr="00F4758C" w:rsidRDefault="0031621F">
      <w:pPr>
        <w:pStyle w:val="Paragraphedeliste"/>
        <w:numPr>
          <w:ilvl w:val="0"/>
          <w:numId w:val="11"/>
        </w:numPr>
        <w:rPr>
          <w:lang w:val="en-GB"/>
        </w:rPr>
      </w:pPr>
      <w:r w:rsidRPr="00F4758C">
        <w:rPr>
          <w:b/>
          <w:bCs/>
          <w:lang w:val="en-GB"/>
        </w:rPr>
        <w:t xml:space="preserve">The ACPR </w:t>
      </w:r>
      <w:r w:rsidRPr="00F4758C">
        <w:rPr>
          <w:lang w:val="en-GB"/>
        </w:rPr>
        <w:t xml:space="preserve">(Prudential Supervision and Resolution Authority) </w:t>
      </w:r>
      <w:r w:rsidR="00A14735" w:rsidRPr="00F4758C">
        <w:rPr>
          <w:lang w:val="en-GB"/>
        </w:rPr>
        <w:t xml:space="preserve">and </w:t>
      </w:r>
      <w:r w:rsidRPr="00F4758C">
        <w:rPr>
          <w:b/>
          <w:bCs/>
          <w:lang w:val="en-GB"/>
        </w:rPr>
        <w:t xml:space="preserve">the AMF </w:t>
      </w:r>
      <w:r w:rsidRPr="00F4758C">
        <w:rPr>
          <w:lang w:val="en-GB"/>
        </w:rPr>
        <w:t>(Financial Markets Authority) for banking services;</w:t>
      </w:r>
    </w:p>
    <w:p w14:paraId="1C18B90C" w14:textId="519D02A9" w:rsidR="0031621F" w:rsidRPr="00F4758C" w:rsidRDefault="0031621F">
      <w:pPr>
        <w:pStyle w:val="Paragraphedeliste"/>
        <w:numPr>
          <w:ilvl w:val="0"/>
          <w:numId w:val="11"/>
        </w:numPr>
        <w:rPr>
          <w:lang w:val="en-GB"/>
        </w:rPr>
      </w:pPr>
      <w:r w:rsidRPr="00F4758C">
        <w:rPr>
          <w:lang w:val="en-GB"/>
        </w:rPr>
        <w:t xml:space="preserve">The </w:t>
      </w:r>
      <w:r w:rsidRPr="00F4758C">
        <w:rPr>
          <w:b/>
          <w:bCs/>
          <w:lang w:val="en-GB"/>
        </w:rPr>
        <w:t xml:space="preserve">Banque de France, </w:t>
      </w:r>
      <w:r w:rsidRPr="00F4758C">
        <w:rPr>
          <w:lang w:val="en-GB"/>
        </w:rPr>
        <w:t>concerning the accessibility of payment methods</w:t>
      </w:r>
      <w:r w:rsidR="00A14735" w:rsidRPr="00F4758C">
        <w:rPr>
          <w:lang w:val="en-GB"/>
        </w:rPr>
        <w:t xml:space="preserve">, identification methods, </w:t>
      </w:r>
      <w:r w:rsidR="00733FC9" w:rsidRPr="00F4758C">
        <w:rPr>
          <w:lang w:val="en-GB"/>
        </w:rPr>
        <w:t>electronic</w:t>
      </w:r>
      <w:r w:rsidR="00A14735" w:rsidRPr="00F4758C">
        <w:rPr>
          <w:lang w:val="en-GB"/>
        </w:rPr>
        <w:t xml:space="preserve"> signatures, etc.</w:t>
      </w:r>
      <w:r w:rsidR="00FC093D" w:rsidRPr="00F4758C">
        <w:rPr>
          <w:lang w:val="en-GB"/>
        </w:rPr>
        <w:t>;</w:t>
      </w:r>
    </w:p>
    <w:p w14:paraId="761561E9" w14:textId="48220CFD" w:rsidR="00726013" w:rsidRPr="00F4758C" w:rsidRDefault="00726013">
      <w:pPr>
        <w:pStyle w:val="Paragraphedeliste"/>
        <w:numPr>
          <w:ilvl w:val="0"/>
          <w:numId w:val="11"/>
        </w:numPr>
        <w:rPr>
          <w:lang w:val="en-GB"/>
        </w:rPr>
      </w:pPr>
      <w:r w:rsidRPr="00F4758C">
        <w:rPr>
          <w:b/>
          <w:bCs/>
          <w:lang w:val="en-GB"/>
        </w:rPr>
        <w:t xml:space="preserve">ARCOM </w:t>
      </w:r>
      <w:r w:rsidR="00A14735" w:rsidRPr="00F4758C">
        <w:rPr>
          <w:lang w:val="en-GB"/>
        </w:rPr>
        <w:t>(the Regulatory Authority for Audiovisual and Digital Communications)</w:t>
      </w:r>
      <w:r w:rsidR="001B765D" w:rsidRPr="00F4758C">
        <w:rPr>
          <w:lang w:val="en-GB"/>
        </w:rPr>
        <w:t xml:space="preserve">, </w:t>
      </w:r>
      <w:r w:rsidRPr="00F4758C">
        <w:rPr>
          <w:lang w:val="en-GB"/>
        </w:rPr>
        <w:t xml:space="preserve">which is authorised to oversee </w:t>
      </w:r>
      <w:r w:rsidR="00FC093D" w:rsidRPr="00F4758C">
        <w:rPr>
          <w:lang w:val="en-GB"/>
        </w:rPr>
        <w:t>digital services (</w:t>
      </w:r>
      <w:r w:rsidRPr="00F4758C">
        <w:rPr>
          <w:lang w:val="en-GB"/>
        </w:rPr>
        <w:t>websites</w:t>
      </w:r>
      <w:r w:rsidR="00FC093D" w:rsidRPr="00F4758C">
        <w:rPr>
          <w:lang w:val="en-GB"/>
        </w:rPr>
        <w:t xml:space="preserve">, mobile apps, intranets, etc.). </w:t>
      </w:r>
    </w:p>
    <w:p w14:paraId="24BD9CE1" w14:textId="3442E7C8" w:rsidR="00800C72" w:rsidRPr="00F4758C" w:rsidRDefault="00800C72" w:rsidP="0031621F">
      <w:pPr>
        <w:spacing w:before="160"/>
        <w:rPr>
          <w:lang w:val="en-GB" w:eastAsia="fr-FR"/>
        </w:rPr>
      </w:pPr>
      <w:r w:rsidRPr="00F4758C">
        <w:rPr>
          <w:lang w:val="en-GB" w:eastAsia="fr-FR"/>
        </w:rPr>
        <w:t xml:space="preserve">Furthermore, Article D412-57 of the Consumer Code stipulates that </w:t>
      </w:r>
      <w:r w:rsidR="00BB7747">
        <w:rPr>
          <w:i/>
          <w:iCs/>
          <w:lang w:val="en-GB" w:eastAsia="fr-FR"/>
        </w:rPr>
        <w:t>“</w:t>
      </w:r>
      <w:r w:rsidRPr="00F4758C">
        <w:rPr>
          <w:i/>
          <w:iCs/>
          <w:lang w:val="en-GB" w:eastAsia="fr-FR"/>
        </w:rPr>
        <w:t>in the event of non-compliance of the service, service providers shall take the necessary corrective measures to bring it into compliance with the applicable accessibility requirements. Furthermore, where the service does not comply with the applicable accessibility requirements, service providers shall immediately inform the market surveillance and enforcement authorities of the Member States in which they provide the service, providing details, in particular, of the non-compliance and of any corrective measures taken</w:t>
      </w:r>
      <w:r w:rsidRPr="00F4758C">
        <w:rPr>
          <w:lang w:val="en-GB" w:eastAsia="fr-FR"/>
        </w:rPr>
        <w:t xml:space="preserve">”. To meet this requirement, the DGCCRF has, since November 2025, implemented an online procedure </w:t>
      </w:r>
      <w:r w:rsidR="001C2061" w:rsidRPr="00F4758C">
        <w:rPr>
          <w:lang w:val="en-GB" w:eastAsia="fr-FR"/>
        </w:rPr>
        <w:t xml:space="preserve">for </w:t>
      </w:r>
      <w:r w:rsidRPr="00F4758C">
        <w:rPr>
          <w:lang w:val="en-GB" w:eastAsia="fr-FR"/>
        </w:rPr>
        <w:t>reporting non-compliance with digital accessibility obligations or for claiming an exemption from such obligations:</w:t>
      </w:r>
      <w:r>
        <w:rPr>
          <w:rStyle w:val="Appelnotedebasdep"/>
          <w:lang w:eastAsia="fr-FR"/>
        </w:rPr>
        <w:footnoteReference w:id="17"/>
      </w:r>
      <w:r w:rsidRPr="00F4758C">
        <w:rPr>
          <w:lang w:val="en-GB" w:eastAsia="fr-FR"/>
        </w:rPr>
        <w:t xml:space="preserve"> .</w:t>
      </w:r>
    </w:p>
    <w:p w14:paraId="7B7FD20E" w14:textId="3B565242" w:rsidR="0031621F" w:rsidRPr="00F4758C" w:rsidRDefault="0031621F" w:rsidP="0031621F">
      <w:pPr>
        <w:spacing w:before="160"/>
        <w:rPr>
          <w:lang w:val="en-GB" w:eastAsia="fr-FR"/>
        </w:rPr>
      </w:pPr>
      <w:r w:rsidRPr="00F4758C">
        <w:rPr>
          <w:lang w:val="en-GB" w:eastAsia="fr-FR"/>
        </w:rPr>
        <w:t xml:space="preserve">Compliance with </w:t>
      </w:r>
      <w:r w:rsidR="00677DD3" w:rsidRPr="00F4758C">
        <w:rPr>
          <w:lang w:val="en-GB" w:eastAsia="fr-FR"/>
        </w:rPr>
        <w:t>digital accessibility</w:t>
      </w:r>
      <w:r w:rsidRPr="00F4758C">
        <w:rPr>
          <w:lang w:val="en-GB" w:eastAsia="fr-FR"/>
        </w:rPr>
        <w:t xml:space="preserve"> requirements is also closely monitored by certain organisations, such as the French Federation of the Blind and its </w:t>
      </w:r>
      <w:r w:rsidR="00262FAF">
        <w:rPr>
          <w:lang w:val="en-GB" w:eastAsia="fr-FR"/>
        </w:rPr>
        <w:t>“</w:t>
      </w:r>
      <w:r w:rsidRPr="00F4758C">
        <w:rPr>
          <w:lang w:val="en-GB" w:eastAsia="fr-FR"/>
        </w:rPr>
        <w:t>observatory on compliance with digital accessibility obligations</w:t>
      </w:r>
      <w:r w:rsidR="00262FAF">
        <w:rPr>
          <w:lang w:val="en-GB" w:eastAsia="fr-FR"/>
        </w:rPr>
        <w:t>”</w:t>
      </w:r>
      <w:r w:rsidR="0069716E">
        <w:rPr>
          <w:rStyle w:val="Appelnotedebasdep"/>
          <w:lang w:eastAsia="fr-FR"/>
        </w:rPr>
        <w:footnoteReference w:id="18"/>
      </w:r>
      <w:r w:rsidRPr="00F4758C">
        <w:rPr>
          <w:lang w:val="en-GB" w:eastAsia="fr-FR"/>
        </w:rPr>
        <w:t xml:space="preserve"> .  </w:t>
      </w:r>
    </w:p>
    <w:p w14:paraId="71AA54F9" w14:textId="2131960B" w:rsidR="0031621F" w:rsidRPr="00F4758C" w:rsidRDefault="0031621F" w:rsidP="0031621F">
      <w:pPr>
        <w:spacing w:before="160"/>
        <w:rPr>
          <w:lang w:val="en-GB" w:eastAsia="fr-FR"/>
        </w:rPr>
      </w:pPr>
      <w:r w:rsidRPr="00F4758C">
        <w:rPr>
          <w:lang w:val="en-GB" w:eastAsia="fr-FR"/>
        </w:rPr>
        <w:t xml:space="preserve">Once again, in regulatory matters, </w:t>
      </w:r>
      <w:r w:rsidRPr="00F4758C">
        <w:rPr>
          <w:b/>
          <w:bCs/>
          <w:lang w:val="en-GB" w:eastAsia="fr-FR"/>
        </w:rPr>
        <w:t xml:space="preserve">the European Union exerts a normative influence on the market </w:t>
      </w:r>
      <w:r w:rsidR="003803FF" w:rsidRPr="00F4758C">
        <w:rPr>
          <w:lang w:val="en-GB" w:eastAsia="fr-FR"/>
        </w:rPr>
        <w:t>(</w:t>
      </w:r>
      <w:r w:rsidRPr="00F4758C">
        <w:rPr>
          <w:lang w:val="en-GB" w:eastAsia="fr-FR"/>
        </w:rPr>
        <w:t xml:space="preserve">often referred to as </w:t>
      </w:r>
      <w:r w:rsidRPr="00262FAF">
        <w:rPr>
          <w:lang w:val="en-GB" w:eastAsia="fr-FR"/>
        </w:rPr>
        <w:t>the</w:t>
      </w:r>
      <w:r w:rsidR="00262FAF">
        <w:rPr>
          <w:lang w:val="en-GB" w:eastAsia="fr-FR"/>
        </w:rPr>
        <w:t xml:space="preserve"> </w:t>
      </w:r>
      <w:r w:rsidR="00262FAF" w:rsidRPr="00262FAF">
        <w:rPr>
          <w:lang w:val="en-GB" w:eastAsia="fr-FR"/>
        </w:rPr>
        <w:t>”</w:t>
      </w:r>
      <w:r w:rsidRPr="00262FAF">
        <w:rPr>
          <w:lang w:val="en-GB" w:eastAsia="fr-FR"/>
        </w:rPr>
        <w:t>Brussels effect</w:t>
      </w:r>
      <w:r w:rsidR="00262FAF" w:rsidRPr="00262FAF">
        <w:rPr>
          <w:lang w:val="en-GB" w:eastAsia="fr-FR"/>
        </w:rPr>
        <w:t>”</w:t>
      </w:r>
      <w:r w:rsidR="003803FF" w:rsidRPr="00262FAF">
        <w:rPr>
          <w:lang w:val="en-GB" w:eastAsia="fr-FR"/>
        </w:rPr>
        <w:t>)</w:t>
      </w:r>
      <w:r w:rsidRPr="00262FAF">
        <w:rPr>
          <w:lang w:val="en-GB" w:eastAsia="fr-FR"/>
        </w:rPr>
        <w:t xml:space="preserve">: </w:t>
      </w:r>
      <w:r w:rsidRPr="00F4758C">
        <w:rPr>
          <w:lang w:val="en-GB" w:eastAsia="fr-FR"/>
        </w:rPr>
        <w:t xml:space="preserve">any international company selling its products or services in the EU will </w:t>
      </w:r>
      <w:r w:rsidR="00677DD3" w:rsidRPr="00F4758C">
        <w:rPr>
          <w:lang w:val="en-GB" w:eastAsia="fr-FR"/>
        </w:rPr>
        <w:t>also</w:t>
      </w:r>
      <w:r w:rsidRPr="00F4758C">
        <w:rPr>
          <w:lang w:val="en-GB" w:eastAsia="fr-FR"/>
        </w:rPr>
        <w:t xml:space="preserve"> have to comply with these accessibility requirements. </w:t>
      </w:r>
      <w:r w:rsidR="00677DD3" w:rsidRPr="00F4758C">
        <w:rPr>
          <w:lang w:val="en-GB" w:eastAsia="fr-FR"/>
        </w:rPr>
        <w:t>As a result</w:t>
      </w:r>
      <w:r w:rsidRPr="00F4758C">
        <w:rPr>
          <w:lang w:val="en-GB" w:eastAsia="fr-FR"/>
        </w:rPr>
        <w:t>, digital accessibility transcends the legal framework alone to become a fundamental economic and strategic performance issue for large organisations.</w:t>
      </w:r>
    </w:p>
    <w:p w14:paraId="7D1B4DE0" w14:textId="39FBD233" w:rsidR="00851394" w:rsidRPr="0031621F" w:rsidRDefault="00851394" w:rsidP="00851394">
      <w:pPr>
        <w:spacing w:before="160"/>
        <w:rPr>
          <w:lang w:eastAsia="fr-FR"/>
        </w:rPr>
      </w:pPr>
      <w:r w:rsidRPr="00F4758C">
        <w:rPr>
          <w:lang w:val="en-GB" w:eastAsia="fr-FR"/>
        </w:rPr>
        <w:t xml:space="preserve">In conclusion, it is crucial for organisations to implement a comprehensive roll-out strategy for their digital accessibility compliance. </w:t>
      </w:r>
      <w:r>
        <w:rPr>
          <w:lang w:eastAsia="fr-FR"/>
        </w:rPr>
        <w:t xml:space="preserve">To do so, they must:  </w:t>
      </w:r>
    </w:p>
    <w:p w14:paraId="1B878D0D" w14:textId="52B2579E" w:rsidR="00851394" w:rsidRPr="00F4758C" w:rsidRDefault="00851394" w:rsidP="00851394">
      <w:pPr>
        <w:numPr>
          <w:ilvl w:val="0"/>
          <w:numId w:val="17"/>
        </w:numPr>
        <w:ind w:left="714" w:hanging="357"/>
        <w:contextualSpacing/>
        <w:rPr>
          <w:lang w:val="en-GB" w:eastAsia="fr-FR"/>
        </w:rPr>
      </w:pPr>
      <w:r w:rsidRPr="00F4758C">
        <w:rPr>
          <w:b/>
          <w:bCs/>
          <w:lang w:val="en-GB" w:eastAsia="fr-FR"/>
        </w:rPr>
        <w:t xml:space="preserve">Prioritise new developments </w:t>
      </w:r>
      <w:r w:rsidRPr="00F4758C">
        <w:rPr>
          <w:lang w:val="en-GB" w:eastAsia="fr-FR"/>
        </w:rPr>
        <w:t>to ensure they meet the requirements from the outset (</w:t>
      </w:r>
      <w:r w:rsidR="00BB7747">
        <w:rPr>
          <w:i/>
          <w:iCs/>
          <w:lang w:val="en-GB" w:eastAsia="fr-FR"/>
        </w:rPr>
        <w:t>“</w:t>
      </w:r>
      <w:r w:rsidRPr="00BB7747">
        <w:rPr>
          <w:lang w:val="en-GB" w:eastAsia="fr-FR"/>
        </w:rPr>
        <w:t>accessibility by design</w:t>
      </w:r>
      <w:r w:rsidR="00BB7747">
        <w:rPr>
          <w:lang w:val="en-GB" w:eastAsia="fr-FR"/>
        </w:rPr>
        <w:t>”</w:t>
      </w:r>
      <w:r w:rsidRPr="00F4758C">
        <w:rPr>
          <w:lang w:val="en-GB" w:eastAsia="fr-FR"/>
        </w:rPr>
        <w:t xml:space="preserve"> approach).</w:t>
      </w:r>
    </w:p>
    <w:p w14:paraId="3A3AFD2C" w14:textId="138F3C85" w:rsidR="00851394" w:rsidRPr="00F4758C" w:rsidRDefault="00851394" w:rsidP="00851394">
      <w:pPr>
        <w:numPr>
          <w:ilvl w:val="0"/>
          <w:numId w:val="17"/>
        </w:numPr>
        <w:ind w:left="714" w:hanging="357"/>
        <w:contextualSpacing/>
        <w:rPr>
          <w:lang w:val="en-GB" w:eastAsia="fr-FR"/>
        </w:rPr>
      </w:pPr>
      <w:r w:rsidRPr="00F4758C">
        <w:rPr>
          <w:b/>
          <w:bCs/>
          <w:lang w:val="en-GB" w:eastAsia="fr-FR"/>
        </w:rPr>
        <w:t xml:space="preserve">Assess and plan for the compliance </w:t>
      </w:r>
      <w:r w:rsidRPr="00F4758C">
        <w:rPr>
          <w:lang w:val="en-GB" w:eastAsia="fr-FR"/>
        </w:rPr>
        <w:t xml:space="preserve">of all the services they provide, prioritising </w:t>
      </w:r>
      <w:r w:rsidRPr="00F4758C">
        <w:rPr>
          <w:b/>
          <w:bCs/>
          <w:lang w:val="en-GB" w:eastAsia="fr-FR"/>
        </w:rPr>
        <w:t xml:space="preserve">the most critical or most widely used </w:t>
      </w:r>
      <w:r w:rsidRPr="00F4758C">
        <w:rPr>
          <w:lang w:val="en-GB" w:eastAsia="fr-FR"/>
        </w:rPr>
        <w:t>services.</w:t>
      </w:r>
    </w:p>
    <w:p w14:paraId="5CA2659C" w14:textId="5F475148" w:rsidR="00851394" w:rsidRPr="00F4758C" w:rsidRDefault="00851394" w:rsidP="0057739F">
      <w:pPr>
        <w:numPr>
          <w:ilvl w:val="0"/>
          <w:numId w:val="17"/>
        </w:numPr>
        <w:ind w:left="714" w:hanging="357"/>
        <w:contextualSpacing/>
        <w:rPr>
          <w:lang w:val="en-GB" w:eastAsia="fr-FR"/>
        </w:rPr>
      </w:pPr>
      <w:r w:rsidRPr="00F4758C">
        <w:rPr>
          <w:b/>
          <w:bCs/>
          <w:lang w:val="en-GB" w:eastAsia="fr-FR"/>
        </w:rPr>
        <w:t xml:space="preserve">Integrate accessibility into </w:t>
      </w:r>
      <w:r w:rsidRPr="00F4758C">
        <w:rPr>
          <w:lang w:val="en-GB" w:eastAsia="fr-FR"/>
        </w:rPr>
        <w:t xml:space="preserve">business </w:t>
      </w:r>
      <w:r w:rsidRPr="00F4758C">
        <w:rPr>
          <w:b/>
          <w:bCs/>
          <w:lang w:val="en-GB" w:eastAsia="fr-FR"/>
        </w:rPr>
        <w:t>processes</w:t>
      </w:r>
      <w:r w:rsidRPr="00F4758C">
        <w:rPr>
          <w:lang w:val="en-GB" w:eastAsia="fr-FR"/>
        </w:rPr>
        <w:t xml:space="preserve">, </w:t>
      </w:r>
      <w:r w:rsidRPr="00F4758C">
        <w:rPr>
          <w:b/>
          <w:bCs/>
          <w:lang w:val="en-GB" w:eastAsia="fr-FR"/>
        </w:rPr>
        <w:t xml:space="preserve">CSR policies </w:t>
      </w:r>
      <w:r w:rsidRPr="00F4758C">
        <w:rPr>
          <w:lang w:val="en-GB" w:eastAsia="fr-FR"/>
        </w:rPr>
        <w:t>and investment</w:t>
      </w:r>
      <w:r w:rsidRPr="00F4758C">
        <w:rPr>
          <w:b/>
          <w:bCs/>
          <w:lang w:val="en-GB" w:eastAsia="fr-FR"/>
        </w:rPr>
        <w:t xml:space="preserve"> budgets </w:t>
      </w:r>
      <w:r w:rsidRPr="00F4758C">
        <w:rPr>
          <w:lang w:val="en-GB" w:eastAsia="fr-FR"/>
        </w:rPr>
        <w:t>to ensure the sustainability of the approach.</w:t>
      </w:r>
    </w:p>
    <w:p w14:paraId="2E8AD842" w14:textId="77777777" w:rsidR="0031621F" w:rsidRPr="00356F5D" w:rsidRDefault="0031621F" w:rsidP="0031621F">
      <w:pPr>
        <w:pStyle w:val="Titre2"/>
        <w:rPr>
          <w:lang w:val="fr-FR"/>
        </w:rPr>
      </w:pPr>
      <w:bookmarkStart w:id="13" w:name="_Toc230077000"/>
      <w:r w:rsidRPr="00356F5D">
        <w:rPr>
          <w:lang w:val="fr-FR"/>
        </w:rPr>
        <w:lastRenderedPageBreak/>
        <w:t>A strategic and economic challenge</w:t>
      </w:r>
      <w:bookmarkEnd w:id="13"/>
      <w:r w:rsidRPr="00356F5D">
        <w:rPr>
          <w:lang w:val="fr-FR"/>
        </w:rPr>
        <w:t xml:space="preserve"> </w:t>
      </w:r>
    </w:p>
    <w:p w14:paraId="1F9722F0" w14:textId="686FE458" w:rsidR="0031621F" w:rsidRPr="00F4758C" w:rsidRDefault="00DD269E" w:rsidP="0031621F">
      <w:pPr>
        <w:spacing w:before="160"/>
        <w:rPr>
          <w:lang w:val="en-GB" w:eastAsia="fr-FR"/>
        </w:rPr>
      </w:pPr>
      <w:r w:rsidRPr="00F4758C">
        <w:rPr>
          <w:lang w:val="en-GB" w:eastAsia="fr-FR"/>
        </w:rPr>
        <w:t xml:space="preserve">Digital accessibility is still too often viewed solely through the lens of budgetary constraints. </w:t>
      </w:r>
      <w:r w:rsidR="004501B0" w:rsidRPr="00F4758C">
        <w:rPr>
          <w:lang w:val="en-GB" w:eastAsia="fr-FR"/>
        </w:rPr>
        <w:t xml:space="preserve">Yet </w:t>
      </w:r>
      <w:r w:rsidR="00A14735" w:rsidRPr="00F4758C">
        <w:rPr>
          <w:lang w:val="en-GB" w:eastAsia="fr-FR"/>
        </w:rPr>
        <w:t xml:space="preserve">it would benefit from being reassessed as a strategic investment, capable of generating </w:t>
      </w:r>
      <w:r w:rsidR="00B5346E" w:rsidRPr="00F4758C">
        <w:rPr>
          <w:lang w:val="en-GB" w:eastAsia="fr-FR"/>
        </w:rPr>
        <w:t>tangible</w:t>
      </w:r>
      <w:r w:rsidR="00A14735" w:rsidRPr="00F4758C">
        <w:rPr>
          <w:lang w:val="en-GB" w:eastAsia="fr-FR"/>
        </w:rPr>
        <w:t xml:space="preserve"> economic gains</w:t>
      </w:r>
      <w:r w:rsidR="004501B0" w:rsidRPr="00F4758C">
        <w:rPr>
          <w:lang w:val="en-GB" w:eastAsia="fr-FR"/>
        </w:rPr>
        <w:t>.</w:t>
      </w:r>
    </w:p>
    <w:p w14:paraId="04240531" w14:textId="1789DED9" w:rsidR="0031621F" w:rsidRPr="00F4758C" w:rsidRDefault="0031621F" w:rsidP="0031621F">
      <w:pPr>
        <w:spacing w:before="160"/>
        <w:rPr>
          <w:lang w:val="en-GB" w:eastAsia="fr-FR"/>
        </w:rPr>
      </w:pPr>
      <w:r w:rsidRPr="00F4758C">
        <w:rPr>
          <w:lang w:val="en-GB" w:eastAsia="fr-FR"/>
        </w:rPr>
        <w:t>As one working group participant pointed out</w:t>
      </w:r>
      <w:r w:rsidR="00677DD3" w:rsidRPr="00F4758C">
        <w:rPr>
          <w:lang w:val="en-GB" w:eastAsia="fr-FR"/>
        </w:rPr>
        <w:t xml:space="preserve">: </w:t>
      </w:r>
      <w:r w:rsidRPr="00F4758C">
        <w:rPr>
          <w:i/>
          <w:iCs/>
          <w:lang w:val="en-GB" w:eastAsia="fr-FR"/>
        </w:rPr>
        <w:t>“Admittedly, we have an idea of the cost of making things accessible, but do we have any idea of the cost of a lack of accessibility?</w:t>
      </w:r>
      <w:r w:rsidRPr="00F4758C">
        <w:rPr>
          <w:lang w:val="en-GB" w:eastAsia="fr-FR"/>
        </w:rPr>
        <w:t xml:space="preserve">” Indeed, a lack of accessibility potentially represents a </w:t>
      </w:r>
      <w:r w:rsidRPr="00F4758C">
        <w:rPr>
          <w:b/>
          <w:bCs/>
          <w:lang w:val="en-GB" w:eastAsia="fr-FR"/>
        </w:rPr>
        <w:t>significant loss of customers</w:t>
      </w:r>
      <w:r w:rsidRPr="00F4758C">
        <w:rPr>
          <w:lang w:val="en-GB" w:eastAsia="fr-FR"/>
        </w:rPr>
        <w:t xml:space="preserve">, estimated </w:t>
      </w:r>
      <w:r w:rsidR="00645E8E" w:rsidRPr="00F4758C">
        <w:rPr>
          <w:lang w:val="en-GB" w:eastAsia="fr-FR"/>
        </w:rPr>
        <w:t xml:space="preserve">– in the specific case of one </w:t>
      </w:r>
      <w:r w:rsidR="00677DD3" w:rsidRPr="00F4758C">
        <w:rPr>
          <w:lang w:val="en-GB" w:eastAsia="fr-FR"/>
        </w:rPr>
        <w:t xml:space="preserve">participating company </w:t>
      </w:r>
      <w:r w:rsidR="00645E8E" w:rsidRPr="00F4758C">
        <w:rPr>
          <w:lang w:val="en-GB" w:eastAsia="fr-FR"/>
        </w:rPr>
        <w:t xml:space="preserve">– </w:t>
      </w:r>
      <w:r w:rsidRPr="00F4758C">
        <w:rPr>
          <w:lang w:val="en-GB" w:eastAsia="fr-FR"/>
        </w:rPr>
        <w:t xml:space="preserve">at 20 per cent of digital service users. People with disabilities, as well as their families and carers, favour platforms that offer them a more usable experience. Accessibility therefore makes it possible to tap into this </w:t>
      </w:r>
      <w:r w:rsidR="00BB7747">
        <w:rPr>
          <w:lang w:val="en-GB" w:eastAsia="fr-FR"/>
        </w:rPr>
        <w:t>“</w:t>
      </w:r>
      <w:r w:rsidRPr="00F4758C">
        <w:rPr>
          <w:lang w:val="en-GB" w:eastAsia="fr-FR"/>
        </w:rPr>
        <w:t>hidden market</w:t>
      </w:r>
      <w:r w:rsidR="00BB7747">
        <w:rPr>
          <w:lang w:val="en-GB" w:eastAsia="fr-FR"/>
        </w:rPr>
        <w:t>”</w:t>
      </w:r>
      <w:r w:rsidRPr="00F4758C">
        <w:rPr>
          <w:lang w:val="en-GB" w:eastAsia="fr-FR"/>
        </w:rPr>
        <w:t xml:space="preserve"> and build loyalty amongst a significant proportion of the population. </w:t>
      </w:r>
    </w:p>
    <w:p w14:paraId="74E7DE85" w14:textId="652B84EA" w:rsidR="0031621F" w:rsidRPr="00F4758C" w:rsidRDefault="0031621F" w:rsidP="0031621F">
      <w:pPr>
        <w:spacing w:before="160"/>
        <w:rPr>
          <w:lang w:val="en-GB" w:eastAsia="fr-FR"/>
        </w:rPr>
      </w:pPr>
      <w:r w:rsidRPr="00F4758C">
        <w:rPr>
          <w:lang w:val="en-GB" w:eastAsia="fr-FR"/>
        </w:rPr>
        <w:t xml:space="preserve">Digital accessibility also necessitates the application of best design practices (clean code, logical structures, clear navigation). Accessible websites often benefit from a lighter </w:t>
      </w:r>
      <w:r w:rsidR="007256CE" w:rsidRPr="00F4758C">
        <w:rPr>
          <w:lang w:val="en-GB" w:eastAsia="fr-FR"/>
        </w:rPr>
        <w:t xml:space="preserve">and more resilient </w:t>
      </w:r>
      <w:r w:rsidRPr="00F4758C">
        <w:rPr>
          <w:lang w:val="en-GB" w:eastAsia="fr-FR"/>
        </w:rPr>
        <w:t>technical architecture</w:t>
      </w:r>
      <w:r w:rsidR="007256CE" w:rsidRPr="00F4758C">
        <w:rPr>
          <w:lang w:val="en-GB" w:eastAsia="fr-FR"/>
        </w:rPr>
        <w:t xml:space="preserve">, </w:t>
      </w:r>
      <w:r w:rsidRPr="00F4758C">
        <w:rPr>
          <w:lang w:val="en-GB" w:eastAsia="fr-FR"/>
        </w:rPr>
        <w:t xml:space="preserve">as </w:t>
      </w:r>
      <w:r w:rsidRPr="00F4758C">
        <w:rPr>
          <w:b/>
          <w:bCs/>
          <w:lang w:val="en-GB" w:eastAsia="fr-FR"/>
        </w:rPr>
        <w:t>performance optimisation – a recurring theme in eco-design guidelines (RGESN</w:t>
      </w:r>
      <w:r w:rsidR="00B32060">
        <w:rPr>
          <w:rStyle w:val="Appelnotedebasdep"/>
          <w:b/>
          <w:bCs/>
          <w:lang w:val="en-GB" w:eastAsia="fr-FR"/>
        </w:rPr>
        <w:footnoteReference w:id="19"/>
      </w:r>
      <w:r w:rsidRPr="00F4758C">
        <w:rPr>
          <w:b/>
          <w:bCs/>
          <w:lang w:val="en-GB" w:eastAsia="fr-FR"/>
        </w:rPr>
        <w:t>) – is a requirement shared with accessibility</w:t>
      </w:r>
      <w:r w:rsidRPr="00F4758C">
        <w:rPr>
          <w:lang w:val="en-GB" w:eastAsia="fr-FR"/>
        </w:rPr>
        <w:t xml:space="preserve">. These improvements benefit </w:t>
      </w:r>
      <w:r w:rsidRPr="001F2368">
        <w:rPr>
          <w:lang w:val="en-GB" w:eastAsia="fr-FR"/>
        </w:rPr>
        <w:t xml:space="preserve">all </w:t>
      </w:r>
      <w:r w:rsidRPr="00F4758C">
        <w:rPr>
          <w:lang w:val="en-GB" w:eastAsia="fr-FR"/>
        </w:rPr>
        <w:t xml:space="preserve">users, including those with slow connections </w:t>
      </w:r>
      <w:r w:rsidR="00EB4E49" w:rsidRPr="00F4758C">
        <w:rPr>
          <w:lang w:val="en-GB" w:eastAsia="fr-FR"/>
        </w:rPr>
        <w:t xml:space="preserve">or </w:t>
      </w:r>
      <w:r w:rsidR="001B765D" w:rsidRPr="00F4758C">
        <w:rPr>
          <w:lang w:val="en-GB" w:eastAsia="fr-FR"/>
        </w:rPr>
        <w:t xml:space="preserve">using </w:t>
      </w:r>
      <w:r w:rsidRPr="00F4758C">
        <w:rPr>
          <w:lang w:val="en-GB" w:eastAsia="fr-FR"/>
        </w:rPr>
        <w:t xml:space="preserve">older devices, thereby enhancing customer retention and satisfaction. Furthermore, accessibility requirements (correct use of semantic tags, heading hierarchy, and alt text for images) are directly linked to </w:t>
      </w:r>
      <w:r w:rsidRPr="00F4758C">
        <w:rPr>
          <w:b/>
          <w:bCs/>
          <w:lang w:val="en-GB" w:eastAsia="fr-FR"/>
        </w:rPr>
        <w:t>search engines’ quality and relevance criteria</w:t>
      </w:r>
      <w:r w:rsidRPr="00F4758C">
        <w:rPr>
          <w:lang w:val="en-GB" w:eastAsia="fr-FR"/>
        </w:rPr>
        <w:t xml:space="preserve">, </w:t>
      </w:r>
      <w:r w:rsidR="00EB4E49" w:rsidRPr="00F4758C">
        <w:rPr>
          <w:lang w:val="en-GB" w:eastAsia="fr-FR"/>
        </w:rPr>
        <w:t xml:space="preserve">and result </w:t>
      </w:r>
      <w:r w:rsidRPr="00F4758C">
        <w:rPr>
          <w:lang w:val="en-GB" w:eastAsia="fr-FR"/>
        </w:rPr>
        <w:t>in better search engine optimisation (SEO) for accessible websites.</w:t>
      </w:r>
    </w:p>
    <w:p w14:paraId="7E509D95" w14:textId="28342970" w:rsidR="0031621F" w:rsidRPr="00F4758C" w:rsidRDefault="0031621F" w:rsidP="0031621F">
      <w:pPr>
        <w:spacing w:before="160"/>
        <w:rPr>
          <w:lang w:val="en-GB" w:eastAsia="fr-FR"/>
        </w:rPr>
      </w:pPr>
      <w:r w:rsidRPr="00F4758C">
        <w:rPr>
          <w:lang w:val="en-GB" w:eastAsia="fr-FR"/>
        </w:rPr>
        <w:t xml:space="preserve">Finally, compliance with digital accessibility standards, both internally and externally, strengthens the company’s image, its consistency with its CSR strategy and its credibility with stakeholders. </w:t>
      </w:r>
    </w:p>
    <w:p w14:paraId="75BA5456" w14:textId="243266E1" w:rsidR="0031621F" w:rsidRPr="00F4758C" w:rsidRDefault="0031621F" w:rsidP="0031621F">
      <w:pPr>
        <w:spacing w:before="160"/>
        <w:rPr>
          <w:lang w:val="en-GB" w:eastAsia="fr-FR"/>
        </w:rPr>
      </w:pPr>
      <w:r w:rsidRPr="00F4758C">
        <w:rPr>
          <w:lang w:val="en-GB" w:eastAsia="fr-FR"/>
        </w:rPr>
        <w:t>Beyond simply meeting legal obligations, digital accessibility can therefore be seen as a strategic performance driver. It helps to expand the potential customer base, reduce the legal risks associated with non-compliance, optimise the</w:t>
      </w:r>
      <w:r w:rsidR="00EB4E49" w:rsidRPr="00F4758C">
        <w:rPr>
          <w:lang w:val="en-GB" w:eastAsia="fr-FR"/>
        </w:rPr>
        <w:t xml:space="preserve"> efficiency</w:t>
      </w:r>
      <w:r w:rsidRPr="00F4758C">
        <w:rPr>
          <w:lang w:val="en-GB" w:eastAsia="fr-FR"/>
        </w:rPr>
        <w:t xml:space="preserve">, quality and usability of digital services for all users, and safeguard the reputation </w:t>
      </w:r>
      <w:r w:rsidR="00EB4E49" w:rsidRPr="00F4758C">
        <w:rPr>
          <w:lang w:val="en-GB" w:eastAsia="fr-FR"/>
        </w:rPr>
        <w:t>of the company or public authority</w:t>
      </w:r>
      <w:r w:rsidRPr="00F4758C">
        <w:rPr>
          <w:lang w:val="en-GB" w:eastAsia="fr-FR"/>
        </w:rPr>
        <w:t xml:space="preserve">. </w:t>
      </w:r>
    </w:p>
    <w:p w14:paraId="7F356BEC" w14:textId="77777777" w:rsidR="004111F2" w:rsidRPr="00DE3AAD" w:rsidRDefault="004111F2" w:rsidP="004111F2">
      <w:pPr>
        <w:pStyle w:val="Titre2"/>
        <w:rPr>
          <w:lang w:val="fr-FR"/>
        </w:rPr>
      </w:pPr>
      <w:bookmarkStart w:id="14" w:name="_Toc230077001"/>
      <w:r w:rsidRPr="00DE3AAD">
        <w:rPr>
          <w:lang w:val="fr-FR"/>
        </w:rPr>
        <w:t>Current situation in large organisations</w:t>
      </w:r>
      <w:bookmarkEnd w:id="14"/>
      <w:r w:rsidRPr="00DE3AAD">
        <w:rPr>
          <w:lang w:val="fr-FR"/>
        </w:rPr>
        <w:t xml:space="preserve"> </w:t>
      </w:r>
    </w:p>
    <w:p w14:paraId="1E88C764" w14:textId="5C11CEDB" w:rsidR="004111F2" w:rsidRPr="00F4758C" w:rsidRDefault="00B32060" w:rsidP="004111F2">
      <w:pPr>
        <w:spacing w:before="160"/>
        <w:rPr>
          <w:lang w:val="en-GB" w:eastAsia="fr-FR"/>
        </w:rPr>
      </w:pPr>
      <w:r w:rsidRPr="00B32060">
        <w:rPr>
          <w:lang w:val="en-GB" w:eastAsia="fr-FR"/>
        </w:rPr>
        <w:t xml:space="preserve">While most organisations do not separate the subject of </w:t>
      </w:r>
      <w:r w:rsidRPr="00B32060">
        <w:rPr>
          <w:b/>
          <w:bCs/>
          <w:lang w:val="en-GB" w:eastAsia="fr-FR"/>
        </w:rPr>
        <w:t>accessibility</w:t>
      </w:r>
      <w:r w:rsidRPr="00B32060">
        <w:rPr>
          <w:lang w:val="en-GB" w:eastAsia="fr-FR"/>
        </w:rPr>
        <w:t xml:space="preserve"> from that of </w:t>
      </w:r>
      <w:r w:rsidRPr="00B32060">
        <w:rPr>
          <w:b/>
          <w:bCs/>
          <w:lang w:val="en-GB" w:eastAsia="fr-FR"/>
        </w:rPr>
        <w:t>inclusion</w:t>
      </w:r>
      <w:r w:rsidRPr="00B32060">
        <w:rPr>
          <w:lang w:val="en-GB" w:eastAsia="fr-FR"/>
        </w:rPr>
        <w:t>, some consider themselves more mature on accessibility as such than on inclusion, which moreover encompasses issues such as digital divides, digital illiteracy and information overload. This subject of digital inclusion is nonetheless essential: the digital divide is a societal issue that goes beyond the strict regulatory framework (around 20% of the population is in digital "fragility"</w:t>
      </w:r>
      <w:r w:rsidR="00EA2E36">
        <w:rPr>
          <w:rStyle w:val="Appelnotedebasdep"/>
          <w:lang w:eastAsia="fr-FR"/>
        </w:rPr>
        <w:footnoteReference w:id="20"/>
      </w:r>
      <w:r w:rsidR="00EA2E36" w:rsidRPr="00F4758C">
        <w:rPr>
          <w:lang w:val="en-GB" w:eastAsia="fr-FR"/>
        </w:rPr>
        <w:t xml:space="preserve"> )</w:t>
      </w:r>
      <w:r w:rsidR="004111F2" w:rsidRPr="00F4758C">
        <w:rPr>
          <w:lang w:val="en-GB" w:eastAsia="fr-FR"/>
        </w:rPr>
        <w:t xml:space="preserve">. </w:t>
      </w:r>
    </w:p>
    <w:p w14:paraId="71FAABFB" w14:textId="4E8D5C0F" w:rsidR="004111F2" w:rsidRPr="00F4758C" w:rsidRDefault="004111F2" w:rsidP="004111F2">
      <w:pPr>
        <w:spacing w:before="160"/>
        <w:rPr>
          <w:lang w:val="en-GB" w:eastAsia="fr-FR"/>
        </w:rPr>
      </w:pPr>
      <w:r w:rsidRPr="00F4758C">
        <w:rPr>
          <w:b/>
          <w:bCs/>
          <w:lang w:val="en-GB" w:eastAsia="fr-FR"/>
        </w:rPr>
        <w:t xml:space="preserve">Accessibility is </w:t>
      </w:r>
      <w:r w:rsidR="00EA2E36" w:rsidRPr="00F4758C">
        <w:rPr>
          <w:b/>
          <w:bCs/>
          <w:lang w:val="en-GB" w:eastAsia="fr-FR"/>
        </w:rPr>
        <w:t xml:space="preserve">therefore </w:t>
      </w:r>
      <w:r w:rsidRPr="00F4758C">
        <w:rPr>
          <w:b/>
          <w:bCs/>
          <w:lang w:val="en-GB" w:eastAsia="fr-FR"/>
        </w:rPr>
        <w:t>part of an inclusion policy</w:t>
      </w:r>
      <w:r w:rsidRPr="00F4758C">
        <w:rPr>
          <w:lang w:val="en-GB" w:eastAsia="fr-FR"/>
        </w:rPr>
        <w:t xml:space="preserve">, </w:t>
      </w:r>
      <w:r w:rsidR="00EA2E36" w:rsidRPr="00F4758C">
        <w:rPr>
          <w:lang w:val="en-GB" w:eastAsia="fr-FR"/>
        </w:rPr>
        <w:t xml:space="preserve">which </w:t>
      </w:r>
      <w:r w:rsidRPr="00F4758C">
        <w:rPr>
          <w:lang w:val="en-GB" w:eastAsia="fr-FR"/>
        </w:rPr>
        <w:t xml:space="preserve">helps to strengthen support networks within organisations. Furthermore, </w:t>
      </w:r>
      <w:r w:rsidR="007256CE" w:rsidRPr="00F4758C">
        <w:rPr>
          <w:b/>
          <w:bCs/>
          <w:lang w:val="en-GB" w:eastAsia="fr-FR"/>
        </w:rPr>
        <w:t xml:space="preserve">having staff with disabilities </w:t>
      </w:r>
      <w:r w:rsidR="00D17B94" w:rsidRPr="00F4758C">
        <w:rPr>
          <w:b/>
          <w:bCs/>
          <w:lang w:val="en-GB" w:eastAsia="fr-FR"/>
        </w:rPr>
        <w:t xml:space="preserve">within </w:t>
      </w:r>
      <w:r w:rsidR="007256CE" w:rsidRPr="00F4758C">
        <w:rPr>
          <w:b/>
          <w:bCs/>
          <w:lang w:val="en-GB" w:eastAsia="fr-FR"/>
        </w:rPr>
        <w:t>the</w:t>
      </w:r>
      <w:r w:rsidR="00D17B94" w:rsidRPr="00F4758C">
        <w:rPr>
          <w:b/>
          <w:bCs/>
          <w:lang w:val="en-GB" w:eastAsia="fr-FR"/>
        </w:rPr>
        <w:t xml:space="preserve"> organisation </w:t>
      </w:r>
      <w:r w:rsidRPr="00F4758C">
        <w:rPr>
          <w:b/>
          <w:bCs/>
          <w:lang w:val="en-GB" w:eastAsia="fr-FR"/>
        </w:rPr>
        <w:t xml:space="preserve">raises </w:t>
      </w:r>
      <w:r w:rsidRPr="00F4758C">
        <w:rPr>
          <w:b/>
          <w:bCs/>
          <w:lang w:val="en-GB" w:eastAsia="fr-FR"/>
        </w:rPr>
        <w:lastRenderedPageBreak/>
        <w:t xml:space="preserve">awareness </w:t>
      </w:r>
      <w:r w:rsidR="00EA2E36" w:rsidRPr="00F4758C">
        <w:rPr>
          <w:b/>
          <w:bCs/>
          <w:lang w:val="en-GB" w:eastAsia="fr-FR"/>
        </w:rPr>
        <w:t xml:space="preserve">of the difficulties </w:t>
      </w:r>
      <w:r w:rsidRPr="00F4758C">
        <w:rPr>
          <w:b/>
          <w:bCs/>
          <w:lang w:val="en-GB" w:eastAsia="fr-FR"/>
        </w:rPr>
        <w:t xml:space="preserve">faced </w:t>
      </w:r>
      <w:r w:rsidRPr="00F4758C">
        <w:rPr>
          <w:lang w:val="en-GB" w:eastAsia="fr-FR"/>
        </w:rPr>
        <w:t xml:space="preserve">and thus facilitates the implementation of </w:t>
      </w:r>
      <w:r w:rsidR="00EA2E36" w:rsidRPr="00F4758C">
        <w:rPr>
          <w:lang w:val="en-GB" w:eastAsia="fr-FR"/>
        </w:rPr>
        <w:t>measures to improve accessibility</w:t>
      </w:r>
      <w:r w:rsidRPr="00F4758C">
        <w:rPr>
          <w:lang w:val="en-GB" w:eastAsia="fr-FR"/>
        </w:rPr>
        <w:t xml:space="preserve">. Indeed, it is often necessary to have experienced these issues </w:t>
      </w:r>
      <w:r w:rsidR="007256CE" w:rsidRPr="00F4758C">
        <w:rPr>
          <w:lang w:val="en-GB" w:eastAsia="fr-FR"/>
        </w:rPr>
        <w:t xml:space="preserve">first-hand within one’s own organisation </w:t>
      </w:r>
      <w:r w:rsidRPr="00F4758C">
        <w:rPr>
          <w:lang w:val="en-GB" w:eastAsia="fr-FR"/>
        </w:rPr>
        <w:t xml:space="preserve">in order to </w:t>
      </w:r>
      <w:r w:rsidR="007256CE" w:rsidRPr="00F4758C">
        <w:rPr>
          <w:lang w:val="en-GB" w:eastAsia="fr-FR"/>
        </w:rPr>
        <w:t xml:space="preserve">apply them </w:t>
      </w:r>
      <w:r w:rsidRPr="00F4758C">
        <w:rPr>
          <w:lang w:val="en-GB" w:eastAsia="fr-FR"/>
        </w:rPr>
        <w:t>effectively externally.</w:t>
      </w:r>
    </w:p>
    <w:p w14:paraId="34E8649C" w14:textId="65368D28" w:rsidR="00186503" w:rsidRDefault="00EA2E36" w:rsidP="00186503">
      <w:pPr>
        <w:spacing w:before="160"/>
        <w:rPr>
          <w:lang w:eastAsia="fr-FR"/>
        </w:rPr>
      </w:pPr>
      <w:r w:rsidRPr="00F4758C">
        <w:rPr>
          <w:lang w:val="en-GB" w:eastAsia="fr-FR"/>
        </w:rPr>
        <w:t xml:space="preserve">Today, </w:t>
      </w:r>
      <w:r w:rsidR="004111F2" w:rsidRPr="00F4758C">
        <w:rPr>
          <w:lang w:val="en-GB" w:eastAsia="fr-FR"/>
        </w:rPr>
        <w:t xml:space="preserve">the recurring challenges that large organisations face in integrating digital accessibility </w:t>
      </w:r>
      <w:r w:rsidRPr="00F4758C">
        <w:rPr>
          <w:lang w:val="en-GB" w:eastAsia="fr-FR"/>
        </w:rPr>
        <w:t>mainly</w:t>
      </w:r>
      <w:r w:rsidR="004111F2" w:rsidRPr="00F4758C">
        <w:rPr>
          <w:lang w:val="en-GB" w:eastAsia="fr-FR"/>
        </w:rPr>
        <w:t xml:space="preserve"> concern governance, fostering a culture of accessibility within teams, and operational management. </w:t>
      </w:r>
      <w:r w:rsidR="00186503" w:rsidRPr="00F4758C">
        <w:rPr>
          <w:lang w:val="en-GB" w:eastAsia="fr-FR"/>
        </w:rPr>
        <w:t xml:space="preserve">Indeed, despite a regulatory framework that is now well-established, the majority of organisations have not yet integrated digital accessibility as an operational standard. </w:t>
      </w:r>
      <w:r w:rsidR="00186503">
        <w:rPr>
          <w:lang w:eastAsia="fr-FR"/>
        </w:rPr>
        <w:t>Several structural limitations persist:</w:t>
      </w:r>
    </w:p>
    <w:p w14:paraId="52687B54" w14:textId="77777777" w:rsidR="00186503" w:rsidRPr="00F4758C" w:rsidRDefault="00186503">
      <w:pPr>
        <w:pStyle w:val="Paragraphedeliste"/>
        <w:numPr>
          <w:ilvl w:val="0"/>
          <w:numId w:val="65"/>
        </w:numPr>
        <w:spacing w:before="160"/>
        <w:rPr>
          <w:lang w:val="en-GB" w:eastAsia="fr-FR"/>
        </w:rPr>
      </w:pPr>
      <w:r w:rsidRPr="00F4758C">
        <w:rPr>
          <w:lang w:val="en-GB" w:eastAsia="fr-FR"/>
        </w:rPr>
        <w:t>an approach focused on documentary compliance rather than actual usage;</w:t>
      </w:r>
    </w:p>
    <w:p w14:paraId="0D502A5F" w14:textId="77777777" w:rsidR="00186503" w:rsidRPr="00F4758C" w:rsidRDefault="00186503">
      <w:pPr>
        <w:pStyle w:val="Paragraphedeliste"/>
        <w:numPr>
          <w:ilvl w:val="0"/>
          <w:numId w:val="65"/>
        </w:numPr>
        <w:spacing w:before="160"/>
        <w:rPr>
          <w:lang w:val="en-GB" w:eastAsia="fr-FR"/>
        </w:rPr>
      </w:pPr>
      <w:r w:rsidRPr="00F4758C">
        <w:rPr>
          <w:lang w:val="en-GB" w:eastAsia="fr-FR"/>
        </w:rPr>
        <w:t>an over-reliance on automated tools;</w:t>
      </w:r>
    </w:p>
    <w:p w14:paraId="47645FB5" w14:textId="77777777" w:rsidR="00186503" w:rsidRPr="00F4758C" w:rsidRDefault="00186503">
      <w:pPr>
        <w:pStyle w:val="Paragraphedeliste"/>
        <w:numPr>
          <w:ilvl w:val="0"/>
          <w:numId w:val="65"/>
        </w:numPr>
        <w:spacing w:before="160"/>
        <w:rPr>
          <w:lang w:val="en-GB" w:eastAsia="fr-FR"/>
        </w:rPr>
      </w:pPr>
      <w:r w:rsidRPr="00F4758C">
        <w:rPr>
          <w:lang w:val="en-GB" w:eastAsia="fr-FR"/>
        </w:rPr>
        <w:t>insufficient involvement of users with disabilities in projects;</w:t>
      </w:r>
    </w:p>
    <w:p w14:paraId="38A4B33F" w14:textId="2327C2AE" w:rsidR="004111F2" w:rsidRPr="00F4758C" w:rsidRDefault="00186503">
      <w:pPr>
        <w:pStyle w:val="Paragraphedeliste"/>
        <w:numPr>
          <w:ilvl w:val="0"/>
          <w:numId w:val="65"/>
        </w:numPr>
        <w:spacing w:before="160"/>
        <w:rPr>
          <w:lang w:val="en-GB" w:eastAsia="fr-FR"/>
        </w:rPr>
      </w:pPr>
      <w:r w:rsidRPr="00F4758C">
        <w:rPr>
          <w:lang w:val="en-GB" w:eastAsia="fr-FR"/>
        </w:rPr>
        <w:t xml:space="preserve">difficulty in managing large-scale </w:t>
      </w:r>
      <w:r w:rsidRPr="001F2368">
        <w:rPr>
          <w:lang w:val="en-GB" w:eastAsia="fr-FR"/>
        </w:rPr>
        <w:t>legacy</w:t>
      </w:r>
      <w:r w:rsidRPr="00F4758C">
        <w:rPr>
          <w:lang w:val="en-GB" w:eastAsia="fr-FR"/>
        </w:rPr>
        <w:t xml:space="preserve"> systems.</w:t>
      </w:r>
    </w:p>
    <w:p w14:paraId="0067652F" w14:textId="6F1F6652" w:rsidR="004111F2" w:rsidRPr="004111F2" w:rsidRDefault="004111F2" w:rsidP="004111F2">
      <w:pPr>
        <w:pStyle w:val="Titre3"/>
        <w:rPr>
          <w:rFonts w:cstheme="minorBidi"/>
          <w:sz w:val="22"/>
          <w:szCs w:val="22"/>
        </w:rPr>
      </w:pPr>
      <w:bookmarkStart w:id="15" w:name="_Toc230077002"/>
      <w:r w:rsidRPr="004111F2">
        <w:t>Governance and business transformation</w:t>
      </w:r>
      <w:bookmarkEnd w:id="15"/>
    </w:p>
    <w:p w14:paraId="45546970" w14:textId="4B3D0BFC" w:rsidR="004111F2" w:rsidRPr="00F4758C" w:rsidRDefault="004111F2" w:rsidP="004111F2">
      <w:pPr>
        <w:spacing w:before="160"/>
        <w:rPr>
          <w:lang w:val="en-GB" w:eastAsia="fr-FR"/>
        </w:rPr>
      </w:pPr>
      <w:r w:rsidRPr="00F4758C">
        <w:rPr>
          <w:lang w:val="en-GB" w:eastAsia="fr-FR"/>
        </w:rPr>
        <w:t xml:space="preserve">Whilst the scale of the shift towards accessibility standards is similar to the transition to the GDPR, the appointment of a digital accessibility lead to spearhead the project is not yet </w:t>
      </w:r>
      <w:r w:rsidR="00D17B94" w:rsidRPr="00F4758C">
        <w:rPr>
          <w:lang w:val="en-GB" w:eastAsia="fr-FR"/>
        </w:rPr>
        <w:t>standard practice</w:t>
      </w:r>
      <w:r w:rsidRPr="00F4758C">
        <w:rPr>
          <w:lang w:val="en-GB" w:eastAsia="fr-FR"/>
        </w:rPr>
        <w:t xml:space="preserve">, nor is </w:t>
      </w:r>
      <w:r w:rsidR="007256CE" w:rsidRPr="00F4758C">
        <w:rPr>
          <w:lang w:val="en-GB" w:eastAsia="fr-FR"/>
        </w:rPr>
        <w:t xml:space="preserve">the establishment </w:t>
      </w:r>
      <w:r w:rsidRPr="00F4758C">
        <w:rPr>
          <w:lang w:val="en-GB" w:eastAsia="fr-FR"/>
        </w:rPr>
        <w:t xml:space="preserve">of dedicated </w:t>
      </w:r>
      <w:r w:rsidRPr="001F2368">
        <w:rPr>
          <w:lang w:val="en-GB" w:eastAsia="fr-FR"/>
        </w:rPr>
        <w:t>funding</w:t>
      </w:r>
      <w:r w:rsidRPr="00F4758C">
        <w:rPr>
          <w:lang w:val="en-GB" w:eastAsia="fr-FR"/>
        </w:rPr>
        <w:t>. However, the establishment of a structured governance framework – through the allocation of responsibilities, coordinated and integrated monitoring, and a dedicated budget – appears essential. These issues are all the more crucial given the need to engage non-digital business</w:t>
      </w:r>
      <w:r w:rsidR="007256CE" w:rsidRPr="00F4758C">
        <w:rPr>
          <w:lang w:val="en-GB" w:eastAsia="fr-FR"/>
        </w:rPr>
        <w:t xml:space="preserve"> departments</w:t>
      </w:r>
      <w:r w:rsidRPr="00F4758C">
        <w:rPr>
          <w:lang w:val="en-GB" w:eastAsia="fr-FR"/>
        </w:rPr>
        <w:t>, which must also take accessibility considerations into account right from the design stage of their projects.</w:t>
      </w:r>
    </w:p>
    <w:p w14:paraId="525DBCE3" w14:textId="5E4F8CF7" w:rsidR="004111F2" w:rsidRPr="00F4758C" w:rsidRDefault="004111F2" w:rsidP="004111F2">
      <w:pPr>
        <w:spacing w:before="160"/>
        <w:rPr>
          <w:lang w:val="en-GB" w:eastAsia="fr-FR"/>
        </w:rPr>
      </w:pPr>
      <w:r w:rsidRPr="00F4758C">
        <w:rPr>
          <w:lang w:val="en-GB" w:eastAsia="fr-FR"/>
        </w:rPr>
        <w:t xml:space="preserve">One organisation reports having set up a </w:t>
      </w:r>
      <w:r w:rsidR="00BB7747">
        <w:rPr>
          <w:lang w:val="en-GB" w:eastAsia="fr-FR"/>
        </w:rPr>
        <w:t>“</w:t>
      </w:r>
      <w:r w:rsidRPr="00F4758C">
        <w:rPr>
          <w:lang w:val="en-GB" w:eastAsia="fr-FR"/>
        </w:rPr>
        <w:t>digital responsibility</w:t>
      </w:r>
      <w:r w:rsidR="00BB7747">
        <w:rPr>
          <w:lang w:val="en-GB" w:eastAsia="fr-FR"/>
        </w:rPr>
        <w:t>”</w:t>
      </w:r>
      <w:r w:rsidRPr="00F4758C">
        <w:rPr>
          <w:lang w:val="en-GB" w:eastAsia="fr-FR"/>
        </w:rPr>
        <w:t xml:space="preserve"> committee dedicated exclusively to digital accessibility (comprising representatives from HR, communications, corporate social responsibility, procurement and </w:t>
      </w:r>
      <w:r w:rsidR="00BF71DE" w:rsidRPr="00F4758C">
        <w:rPr>
          <w:lang w:val="en-GB" w:eastAsia="fr-FR"/>
        </w:rPr>
        <w:t>senior management</w:t>
      </w:r>
      <w:r w:rsidRPr="00F4758C">
        <w:rPr>
          <w:lang w:val="en-GB" w:eastAsia="fr-FR"/>
        </w:rPr>
        <w:t>) to involve as many stakeholders as possible, make decisions and secure the necessary budget.</w:t>
      </w:r>
    </w:p>
    <w:p w14:paraId="3DC1ABB8" w14:textId="46B40B13" w:rsidR="00C14F66" w:rsidRPr="00F4758C" w:rsidRDefault="004111F2" w:rsidP="004111F2">
      <w:pPr>
        <w:spacing w:before="160"/>
        <w:rPr>
          <w:lang w:val="en-GB" w:eastAsia="fr-FR"/>
        </w:rPr>
      </w:pPr>
      <w:r w:rsidRPr="00F4758C">
        <w:rPr>
          <w:lang w:val="en-GB" w:eastAsia="fr-FR"/>
        </w:rPr>
        <w:t xml:space="preserve">A tripartite arrangement (or </w:t>
      </w:r>
      <w:r w:rsidRPr="001F2368">
        <w:rPr>
          <w:lang w:val="en-GB" w:eastAsia="fr-FR"/>
        </w:rPr>
        <w:t>co-sponsorship</w:t>
      </w:r>
      <w:r w:rsidRPr="00F4758C">
        <w:rPr>
          <w:lang w:val="en-GB" w:eastAsia="fr-FR"/>
        </w:rPr>
        <w:t xml:space="preserve">) between the compliance, CSR and </w:t>
      </w:r>
      <w:r w:rsidR="004501B0" w:rsidRPr="00F4758C">
        <w:rPr>
          <w:lang w:val="en-GB" w:eastAsia="fr-FR"/>
        </w:rPr>
        <w:t xml:space="preserve">digital departments </w:t>
      </w:r>
      <w:r w:rsidRPr="00F4758C">
        <w:rPr>
          <w:lang w:val="en-GB" w:eastAsia="fr-FR"/>
        </w:rPr>
        <w:t xml:space="preserve">appears particularly effective in ensuring that accessibility is embedded in the day-to-day operations of business units and across the organisation’s practices. Furthermore, in an international context, this governance structure must extend its scope to the entire value chain, in particular by ensuring that suppliers and service providers also comply with digital accessibility standards. </w:t>
      </w:r>
    </w:p>
    <w:p w14:paraId="34D0163F" w14:textId="77777777" w:rsidR="004111F2" w:rsidRPr="00F4758C" w:rsidRDefault="004111F2" w:rsidP="004111F2">
      <w:pPr>
        <w:pStyle w:val="Titre3"/>
        <w:rPr>
          <w:lang w:val="en-GB"/>
        </w:rPr>
      </w:pPr>
      <w:bookmarkStart w:id="16" w:name="_Toc230077003"/>
      <w:r w:rsidRPr="00F4758C">
        <w:rPr>
          <w:lang w:val="en-GB"/>
        </w:rPr>
        <w:t>Training and awareness-raising for teams</w:t>
      </w:r>
      <w:bookmarkEnd w:id="16"/>
      <w:r w:rsidRPr="00F4758C">
        <w:rPr>
          <w:lang w:val="en-GB"/>
        </w:rPr>
        <w:t xml:space="preserve"> </w:t>
      </w:r>
    </w:p>
    <w:p w14:paraId="2DF22D61" w14:textId="2A9D2DA5" w:rsidR="004111F2" w:rsidRPr="00F4758C" w:rsidRDefault="004111F2" w:rsidP="004111F2">
      <w:pPr>
        <w:spacing w:before="160"/>
        <w:rPr>
          <w:lang w:val="en-GB" w:eastAsia="fr-FR"/>
        </w:rPr>
      </w:pPr>
      <w:r w:rsidRPr="00F4758C">
        <w:rPr>
          <w:lang w:val="en-GB" w:eastAsia="fr-FR"/>
        </w:rPr>
        <w:t>Whilst training the teams directly involved (developers, designers) is a common first step, the aim must be to instil a culture of accessibility amongst all staff. This involves creating and distributing operational guides and implementing training programmes tailored to different roles.</w:t>
      </w:r>
    </w:p>
    <w:p w14:paraId="3EC3A872" w14:textId="29775989" w:rsidR="004111F2" w:rsidRPr="00F4758C" w:rsidRDefault="004111F2" w:rsidP="004111F2">
      <w:pPr>
        <w:spacing w:before="160"/>
        <w:rPr>
          <w:lang w:val="en-GB" w:eastAsia="fr-FR"/>
        </w:rPr>
      </w:pPr>
      <w:r w:rsidRPr="00F4758C">
        <w:rPr>
          <w:lang w:val="en-GB" w:eastAsia="fr-FR"/>
        </w:rPr>
        <w:t xml:space="preserve">One of the major obstacles </w:t>
      </w:r>
      <w:r w:rsidR="00DD269E" w:rsidRPr="00F4758C">
        <w:rPr>
          <w:lang w:val="en-GB" w:eastAsia="fr-FR"/>
        </w:rPr>
        <w:t xml:space="preserve">highlighted by participants </w:t>
      </w:r>
      <w:r w:rsidRPr="00F4758C">
        <w:rPr>
          <w:lang w:val="en-GB" w:eastAsia="fr-FR"/>
        </w:rPr>
        <w:t xml:space="preserve">is the difficulty in selecting and identifying digital services companies (DSCs) that </w:t>
      </w:r>
      <w:r w:rsidR="00DC68BC" w:rsidRPr="00F4758C">
        <w:rPr>
          <w:lang w:val="en-GB" w:eastAsia="fr-FR"/>
        </w:rPr>
        <w:t xml:space="preserve">are </w:t>
      </w:r>
      <w:r w:rsidRPr="00F4758C">
        <w:rPr>
          <w:lang w:val="en-GB" w:eastAsia="fr-FR"/>
        </w:rPr>
        <w:t xml:space="preserve">genuinely trained and qualified to work on accessibility issues. </w:t>
      </w:r>
      <w:r w:rsidR="00481DA2" w:rsidRPr="00F4758C">
        <w:rPr>
          <w:lang w:val="en-GB" w:eastAsia="fr-FR"/>
        </w:rPr>
        <w:t>The accessibility of services provided, integrated or deployed by DSCs must, as with in-house developments, be subject to a third-party audit.</w:t>
      </w:r>
    </w:p>
    <w:p w14:paraId="7321FED1" w14:textId="1BBB10B4" w:rsidR="004111F2" w:rsidRPr="00F4758C" w:rsidRDefault="004111F2" w:rsidP="004111F2">
      <w:pPr>
        <w:spacing w:before="160"/>
        <w:rPr>
          <w:lang w:val="en-GB" w:eastAsia="fr-FR"/>
        </w:rPr>
      </w:pPr>
      <w:r w:rsidRPr="00F4758C">
        <w:rPr>
          <w:lang w:val="en-GB" w:eastAsia="fr-FR"/>
        </w:rPr>
        <w:lastRenderedPageBreak/>
        <w:t>Motivating teams and recognising their progress are key to kick-starting and sustaining momentum.</w:t>
      </w:r>
      <w:r w:rsidR="00186503" w:rsidRPr="00F4758C">
        <w:rPr>
          <w:lang w:val="en-GB" w:eastAsia="fr-FR"/>
        </w:rPr>
        <w:t xml:space="preserve"> In this regard, </w:t>
      </w:r>
      <w:r w:rsidR="00401C48" w:rsidRPr="00F4758C">
        <w:rPr>
          <w:lang w:val="en-GB" w:eastAsia="fr-FR"/>
        </w:rPr>
        <w:t>compliance scores must be handled with care: labelling a result as insufficient for a website achieving 70 to 80 per cent compliance risks demotivating teams, whereas such a level actually represents a solid</w:t>
      </w:r>
      <w:r w:rsidR="004420A6" w:rsidRPr="00F4758C">
        <w:rPr>
          <w:lang w:val="en-GB" w:eastAsia="fr-FR"/>
        </w:rPr>
        <w:t xml:space="preserve">, albeit intermediate, </w:t>
      </w:r>
      <w:r w:rsidR="00401C48" w:rsidRPr="00F4758C">
        <w:rPr>
          <w:lang w:val="en-GB" w:eastAsia="fr-FR"/>
        </w:rPr>
        <w:t xml:space="preserve">performance. </w:t>
      </w:r>
      <w:r w:rsidRPr="00F4758C">
        <w:rPr>
          <w:lang w:val="en-GB" w:eastAsia="fr-FR"/>
        </w:rPr>
        <w:t>It is far more beneficial and constructive to emphasise progress and continuous improvement.</w:t>
      </w:r>
    </w:p>
    <w:p w14:paraId="032F315D" w14:textId="57C4A4AF" w:rsidR="004111F2" w:rsidRPr="00F4758C" w:rsidRDefault="004111F2" w:rsidP="004420A6">
      <w:pPr>
        <w:spacing w:before="160"/>
        <w:rPr>
          <w:lang w:val="en-GB" w:eastAsia="fr-FR"/>
        </w:rPr>
      </w:pPr>
      <w:r w:rsidRPr="00F4758C">
        <w:rPr>
          <w:lang w:val="en-GB" w:eastAsia="fr-FR"/>
        </w:rPr>
        <w:t xml:space="preserve">The issue of cultural embedding must, in fact, be seen as </w:t>
      </w:r>
      <w:r w:rsidR="00DC68BC" w:rsidRPr="00F4758C">
        <w:rPr>
          <w:lang w:val="en-GB" w:eastAsia="fr-FR"/>
        </w:rPr>
        <w:t xml:space="preserve">an </w:t>
      </w:r>
      <w:r w:rsidRPr="00F4758C">
        <w:rPr>
          <w:lang w:val="en-GB" w:eastAsia="fr-FR"/>
        </w:rPr>
        <w:t>ongoing process: indeed,</w:t>
      </w:r>
      <w:r w:rsidR="004C2DE0">
        <w:rPr>
          <w:lang w:val="en-GB" w:eastAsia="fr-FR"/>
        </w:rPr>
        <w:t xml:space="preserve"> </w:t>
      </w:r>
      <w:r w:rsidR="004C2DE0" w:rsidRPr="004C2DE0">
        <w:rPr>
          <w:lang w:val="en-GB" w:eastAsia="fr-FR"/>
        </w:rPr>
        <w:t xml:space="preserve">a </w:t>
      </w:r>
      <w:r w:rsidR="004C2DE0">
        <w:rPr>
          <w:lang w:val="en-GB" w:eastAsia="fr-FR"/>
        </w:rPr>
        <w:t>web</w:t>
      </w:r>
      <w:r w:rsidR="004C2DE0" w:rsidRPr="004C2DE0">
        <w:rPr>
          <w:lang w:val="en-GB" w:eastAsia="fr-FR"/>
        </w:rPr>
        <w:t>site respecting accessibility criteria</w:t>
      </w:r>
      <w:r w:rsidRPr="00F4758C">
        <w:rPr>
          <w:lang w:val="en-GB" w:eastAsia="fr-FR"/>
        </w:rPr>
        <w:t xml:space="preserve"> </w:t>
      </w:r>
      <w:r w:rsidR="004C2DE0">
        <w:rPr>
          <w:lang w:val="en-GB" w:eastAsia="fr-FR"/>
        </w:rPr>
        <w:t>at</w:t>
      </w:r>
      <w:r w:rsidRPr="00F4758C">
        <w:rPr>
          <w:lang w:val="en-GB" w:eastAsia="fr-FR"/>
        </w:rPr>
        <w:t xml:space="preserve"> </w:t>
      </w:r>
      <w:r w:rsidR="00B32060">
        <w:rPr>
          <w:lang w:val="en-GB" w:eastAsia="fr-FR"/>
        </w:rPr>
        <w:t>a given point in time</w:t>
      </w:r>
      <w:r w:rsidRPr="00F4758C">
        <w:rPr>
          <w:lang w:val="en-GB" w:eastAsia="fr-FR"/>
        </w:rPr>
        <w:t xml:space="preserve"> can quickly deteriorate if new untrained developers work on it without knowledge of these criteria</w:t>
      </w:r>
      <w:r w:rsidR="004420A6" w:rsidRPr="00F4758C">
        <w:rPr>
          <w:lang w:val="en-GB" w:eastAsia="fr-FR"/>
        </w:rPr>
        <w:t>, or if contributors who update the site on a day-to-day basis fail to describe images or use appropriate colour contrasts</w:t>
      </w:r>
      <w:r w:rsidRPr="00F4758C">
        <w:rPr>
          <w:lang w:val="en-GB" w:eastAsia="fr-FR"/>
        </w:rPr>
        <w:t xml:space="preserve">. Long-term cultural embedding and the implementation of verification processes help to establish digital accessibility as an ongoing process. Proactive communication about successes </w:t>
      </w:r>
      <w:r w:rsidR="00DD269E" w:rsidRPr="00F4758C">
        <w:rPr>
          <w:lang w:val="en-GB" w:eastAsia="fr-FR"/>
        </w:rPr>
        <w:t>(</w:t>
      </w:r>
      <w:r w:rsidR="00883BF7" w:rsidRPr="00F4758C">
        <w:rPr>
          <w:lang w:val="en-GB" w:eastAsia="fr-FR"/>
        </w:rPr>
        <w:t xml:space="preserve">or </w:t>
      </w:r>
      <w:r w:rsidR="004C2DE0">
        <w:rPr>
          <w:lang w:val="en-GB" w:eastAsia="fr-FR"/>
        </w:rPr>
        <w:t>“</w:t>
      </w:r>
      <w:r w:rsidRPr="00F4758C">
        <w:rPr>
          <w:lang w:val="en-GB" w:eastAsia="fr-FR"/>
        </w:rPr>
        <w:t>access-washing</w:t>
      </w:r>
      <w:r w:rsidR="004C2DE0">
        <w:rPr>
          <w:lang w:val="en-GB" w:eastAsia="fr-FR"/>
        </w:rPr>
        <w:t>”</w:t>
      </w:r>
      <w:r w:rsidRPr="00F4758C">
        <w:rPr>
          <w:lang w:val="en-GB" w:eastAsia="fr-FR"/>
        </w:rPr>
        <w:t xml:space="preserve"> in a positive sense</w:t>
      </w:r>
      <w:r w:rsidR="00DD269E" w:rsidRPr="00F4758C">
        <w:rPr>
          <w:lang w:val="en-GB" w:eastAsia="fr-FR"/>
        </w:rPr>
        <w:t>)</w:t>
      </w:r>
      <w:r w:rsidRPr="00F4758C">
        <w:rPr>
          <w:lang w:val="en-GB" w:eastAsia="fr-FR"/>
        </w:rPr>
        <w:t>, when applications achieve a high level of compliance, can also boost internal engagement.</w:t>
      </w:r>
    </w:p>
    <w:p w14:paraId="69391CF4" w14:textId="77777777" w:rsidR="004111F2" w:rsidRPr="004111F2" w:rsidRDefault="004111F2" w:rsidP="004111F2">
      <w:pPr>
        <w:pStyle w:val="Titre3"/>
      </w:pPr>
      <w:bookmarkStart w:id="17" w:name="_Toc230077004"/>
      <w:r w:rsidRPr="004111F2">
        <w:t>Management and tools</w:t>
      </w:r>
      <w:bookmarkEnd w:id="17"/>
    </w:p>
    <w:p w14:paraId="4F18A670" w14:textId="1824F6FA" w:rsidR="004111F2" w:rsidRPr="00F4758C" w:rsidRDefault="004111F2" w:rsidP="004111F2">
      <w:pPr>
        <w:spacing w:before="160"/>
        <w:rPr>
          <w:lang w:val="en-GB" w:eastAsia="fr-FR"/>
        </w:rPr>
      </w:pPr>
      <w:r w:rsidRPr="00F4758C">
        <w:rPr>
          <w:lang w:val="en-GB" w:eastAsia="fr-FR"/>
        </w:rPr>
        <w:t xml:space="preserve">To successfully implement these changes, it is necessary to put in place effective governance and even dedicated tools. Teams need a governance dashboard that allows </w:t>
      </w:r>
      <w:r w:rsidR="00D17B94" w:rsidRPr="00F4758C">
        <w:rPr>
          <w:lang w:val="en-GB" w:eastAsia="fr-FR"/>
        </w:rPr>
        <w:t>them to</w:t>
      </w:r>
      <w:r w:rsidRPr="00F4758C">
        <w:rPr>
          <w:lang w:val="en-GB" w:eastAsia="fr-FR"/>
        </w:rPr>
        <w:t xml:space="preserve"> quickly visualise the compliance status of their projects, identify which fixes to prioritise, and finally provide an analysis of the </w:t>
      </w:r>
      <w:r w:rsidR="004C2DE0">
        <w:rPr>
          <w:lang w:val="en-GB" w:eastAsia="fr-FR"/>
        </w:rPr>
        <w:t>“</w:t>
      </w:r>
      <w:r w:rsidRPr="00F4758C">
        <w:rPr>
          <w:lang w:val="en-GB" w:eastAsia="fr-FR"/>
        </w:rPr>
        <w:t>ROI</w:t>
      </w:r>
      <w:r w:rsidR="004C2DE0">
        <w:rPr>
          <w:lang w:val="en-GB" w:eastAsia="fr-FR"/>
        </w:rPr>
        <w:t>”</w:t>
      </w:r>
      <w:r w:rsidR="00B517DA" w:rsidRPr="00F4758C">
        <w:rPr>
          <w:lang w:val="en-GB" w:eastAsia="fr-FR"/>
        </w:rPr>
        <w:t xml:space="preserve"> (reduction in support tickets, lower costs of late rectification, improved completion rates, etc.)</w:t>
      </w:r>
      <w:r w:rsidRPr="00F4758C">
        <w:rPr>
          <w:lang w:val="en-GB" w:eastAsia="fr-FR"/>
        </w:rPr>
        <w:t>, highlighting the remaining costs of achieving compliance against the costs of inaction (fines, loss of customers, damage to reputation, etc.).</w:t>
      </w:r>
    </w:p>
    <w:p w14:paraId="0EC31E4C" w14:textId="75AE3930" w:rsidR="008734FD" w:rsidRPr="00F4758C" w:rsidRDefault="008734FD" w:rsidP="004111F2">
      <w:pPr>
        <w:spacing w:before="160"/>
        <w:rPr>
          <w:lang w:val="en-GB" w:eastAsia="fr-FR"/>
        </w:rPr>
      </w:pPr>
      <w:r w:rsidRPr="00F4758C">
        <w:rPr>
          <w:lang w:val="en-GB" w:eastAsia="fr-FR"/>
        </w:rPr>
        <w:t>The</w:t>
      </w:r>
      <w:r w:rsidR="004111F2" w:rsidRPr="00F4758C">
        <w:rPr>
          <w:lang w:val="en-GB" w:eastAsia="fr-FR"/>
        </w:rPr>
        <w:t xml:space="preserve"> integration </w:t>
      </w:r>
      <w:r w:rsidR="00883BF7" w:rsidRPr="00F4758C">
        <w:rPr>
          <w:lang w:val="en-GB" w:eastAsia="fr-FR"/>
        </w:rPr>
        <w:t xml:space="preserve">of an </w:t>
      </w:r>
      <w:r w:rsidR="004111F2" w:rsidRPr="00F4758C">
        <w:rPr>
          <w:lang w:val="en-GB" w:eastAsia="fr-FR"/>
        </w:rPr>
        <w:t xml:space="preserve">accessibility framework such as the </w:t>
      </w:r>
      <w:r w:rsidR="003124AA">
        <w:rPr>
          <w:lang w:val="en-GB" w:eastAsia="fr-FR"/>
        </w:rPr>
        <w:t>“</w:t>
      </w:r>
      <w:r w:rsidR="004111F2" w:rsidRPr="00F4758C">
        <w:rPr>
          <w:lang w:val="en-GB" w:eastAsia="fr-FR"/>
        </w:rPr>
        <w:t>RGAA</w:t>
      </w:r>
      <w:r w:rsidR="003124AA">
        <w:rPr>
          <w:lang w:val="en-GB" w:eastAsia="fr-FR"/>
        </w:rPr>
        <w:t>”</w:t>
      </w:r>
      <w:r w:rsidR="004111F2" w:rsidRPr="00F4758C">
        <w:rPr>
          <w:lang w:val="en-GB" w:eastAsia="fr-FR"/>
        </w:rPr>
        <w:t xml:space="preserve"> (</w:t>
      </w:r>
      <w:r w:rsidR="00B32060" w:rsidRPr="00B32060">
        <w:rPr>
          <w:lang w:val="en-GB" w:eastAsia="fr-FR"/>
        </w:rPr>
        <w:t>France's</w:t>
      </w:r>
      <w:r w:rsidR="00B32060">
        <w:rPr>
          <w:lang w:val="en-GB" w:eastAsia="fr-FR"/>
        </w:rPr>
        <w:t xml:space="preserve"> </w:t>
      </w:r>
      <w:r w:rsidR="004111F2" w:rsidRPr="00F4758C">
        <w:rPr>
          <w:lang w:val="en-GB" w:eastAsia="fr-FR"/>
        </w:rPr>
        <w:t>General Framework for Improving Accessibility)</w:t>
      </w:r>
      <w:r w:rsidR="00481DA2" w:rsidRPr="00F4758C">
        <w:rPr>
          <w:lang w:val="en-GB" w:eastAsia="fr-FR"/>
        </w:rPr>
        <w:t xml:space="preserve">, or the </w:t>
      </w:r>
      <w:r w:rsidR="003124AA">
        <w:rPr>
          <w:lang w:val="en-GB" w:eastAsia="fr-FR"/>
        </w:rPr>
        <w:t>“</w:t>
      </w:r>
      <w:r w:rsidR="00481DA2" w:rsidRPr="00F4758C">
        <w:rPr>
          <w:lang w:val="en-GB" w:eastAsia="fr-FR"/>
        </w:rPr>
        <w:t>RAAM</w:t>
      </w:r>
      <w:r w:rsidR="003124AA">
        <w:rPr>
          <w:lang w:val="en-GB" w:eastAsia="fr-FR"/>
        </w:rPr>
        <w:t>”</w:t>
      </w:r>
      <w:r w:rsidR="004501B0" w:rsidRPr="00F4758C">
        <w:rPr>
          <w:lang w:val="en-GB" w:eastAsia="fr-FR"/>
        </w:rPr>
        <w:t xml:space="preserve">(Mobile Applications Accessibility Framework) </w:t>
      </w:r>
      <w:r w:rsidR="00481DA2" w:rsidRPr="00F4758C">
        <w:rPr>
          <w:lang w:val="en-GB" w:eastAsia="fr-FR"/>
        </w:rPr>
        <w:t xml:space="preserve">for mobile applications, </w:t>
      </w:r>
      <w:r w:rsidR="004111F2" w:rsidRPr="00F4758C">
        <w:rPr>
          <w:lang w:val="en-GB" w:eastAsia="fr-FR"/>
        </w:rPr>
        <w:t xml:space="preserve">must take place as early </w:t>
      </w:r>
      <w:r w:rsidR="00883BF7" w:rsidRPr="00F4758C">
        <w:rPr>
          <w:lang w:val="en-GB" w:eastAsia="fr-FR"/>
        </w:rPr>
        <w:t xml:space="preserve">as possible </w:t>
      </w:r>
      <w:r w:rsidR="004111F2" w:rsidRPr="00F4758C">
        <w:rPr>
          <w:lang w:val="en-GB" w:eastAsia="fr-FR"/>
        </w:rPr>
        <w:t xml:space="preserve">in the project lifecycle. This requires ongoing awareness-raising and training for developers. </w:t>
      </w:r>
      <w:r w:rsidRPr="00F4758C">
        <w:rPr>
          <w:lang w:val="en-GB" w:eastAsia="fr-FR"/>
        </w:rPr>
        <w:t xml:space="preserve">It is particularly important to remain vigilant regarding the claims made by </w:t>
      </w:r>
      <w:r w:rsidR="004111F2" w:rsidRPr="00F4758C">
        <w:rPr>
          <w:lang w:val="en-GB" w:eastAsia="fr-FR"/>
        </w:rPr>
        <w:t xml:space="preserve">certain tools </w:t>
      </w:r>
      <w:r w:rsidR="00D17B94" w:rsidRPr="00F4758C">
        <w:rPr>
          <w:lang w:val="en-GB" w:eastAsia="fr-FR"/>
        </w:rPr>
        <w:t xml:space="preserve">purporting </w:t>
      </w:r>
      <w:r w:rsidRPr="00F4758C">
        <w:rPr>
          <w:lang w:val="en-GB" w:eastAsia="fr-FR"/>
        </w:rPr>
        <w:t xml:space="preserve">to automatically monitor and assess whether IT projects comply with digital accessibility criteria. </w:t>
      </w:r>
      <w:r w:rsidR="004111F2" w:rsidRPr="00F4758C">
        <w:rPr>
          <w:lang w:val="en-GB" w:eastAsia="fr-FR"/>
        </w:rPr>
        <w:t xml:space="preserve">Organisations warn that there is no such thing as a </w:t>
      </w:r>
      <w:r w:rsidR="00262FAF">
        <w:rPr>
          <w:lang w:val="en-GB" w:eastAsia="fr-FR"/>
        </w:rPr>
        <w:t>“</w:t>
      </w:r>
      <w:r w:rsidR="004111F2" w:rsidRPr="00F4758C">
        <w:rPr>
          <w:lang w:val="en-GB" w:eastAsia="fr-FR"/>
        </w:rPr>
        <w:t>miracle tool</w:t>
      </w:r>
      <w:r w:rsidR="00262FAF">
        <w:rPr>
          <w:lang w:val="en-GB" w:eastAsia="fr-FR"/>
        </w:rPr>
        <w:t>”</w:t>
      </w:r>
      <w:r w:rsidR="004111F2" w:rsidRPr="00F4758C">
        <w:rPr>
          <w:lang w:val="en-GB" w:eastAsia="fr-FR"/>
        </w:rPr>
        <w:t xml:space="preserve"> and </w:t>
      </w:r>
      <w:r w:rsidRPr="00F4758C">
        <w:rPr>
          <w:lang w:val="en-GB" w:eastAsia="fr-FR"/>
        </w:rPr>
        <w:t xml:space="preserve">that </w:t>
      </w:r>
      <w:r w:rsidR="00804DE1" w:rsidRPr="00F4758C">
        <w:rPr>
          <w:lang w:val="en-GB" w:eastAsia="fr-FR"/>
        </w:rPr>
        <w:t xml:space="preserve">using them </w:t>
      </w:r>
      <w:r w:rsidRPr="00F4758C">
        <w:rPr>
          <w:lang w:val="en-GB" w:eastAsia="fr-FR"/>
        </w:rPr>
        <w:t xml:space="preserve">without a proper framework and support </w:t>
      </w:r>
      <w:r w:rsidR="007256CE" w:rsidRPr="00F4758C">
        <w:rPr>
          <w:lang w:val="en-GB" w:eastAsia="fr-FR"/>
        </w:rPr>
        <w:t xml:space="preserve">can be counterproductive and create a false sense of legal certainty. Indeed, these </w:t>
      </w:r>
      <w:r w:rsidR="004C2DE0">
        <w:rPr>
          <w:lang w:val="en-GB" w:eastAsia="fr-FR"/>
        </w:rPr>
        <w:t>“</w:t>
      </w:r>
      <w:r w:rsidR="007256CE" w:rsidRPr="00F4758C">
        <w:rPr>
          <w:lang w:val="en-GB" w:eastAsia="fr-FR"/>
        </w:rPr>
        <w:t>overlay</w:t>
      </w:r>
      <w:r w:rsidR="004C2DE0">
        <w:rPr>
          <w:lang w:val="en-GB" w:eastAsia="fr-FR"/>
        </w:rPr>
        <w:t>”</w:t>
      </w:r>
      <w:r w:rsidR="007256CE" w:rsidRPr="00F4758C">
        <w:rPr>
          <w:lang w:val="en-GB" w:eastAsia="fr-FR"/>
        </w:rPr>
        <w:t xml:space="preserve"> tools are often technical </w:t>
      </w:r>
      <w:r w:rsidR="004C2DE0">
        <w:rPr>
          <w:lang w:val="en-GB" w:eastAsia="fr-FR"/>
        </w:rPr>
        <w:t>c</w:t>
      </w:r>
      <w:r w:rsidR="007256CE" w:rsidRPr="00F4758C">
        <w:rPr>
          <w:lang w:val="en-GB" w:eastAsia="fr-FR"/>
        </w:rPr>
        <w:t xml:space="preserve">osmetic fixes that apply changes at a superficial level rather than at the source code level. Furthermore, they can interfere with assistive technologies by altering </w:t>
      </w:r>
      <w:r w:rsidR="004501B0" w:rsidRPr="00F4758C">
        <w:rPr>
          <w:lang w:val="en-GB" w:eastAsia="fr-FR"/>
        </w:rPr>
        <w:t xml:space="preserve">certain </w:t>
      </w:r>
      <w:r w:rsidR="007256CE" w:rsidRPr="00F4758C">
        <w:rPr>
          <w:lang w:val="en-GB" w:eastAsia="fr-FR"/>
        </w:rPr>
        <w:t>settings.</w:t>
      </w: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8734FD" w:rsidRPr="00C43137" w14:paraId="507D249A" w14:textId="77777777" w:rsidTr="00072B81">
        <w:trPr>
          <w:jc w:val="center"/>
        </w:trPr>
        <w:tc>
          <w:tcPr>
            <w:tcW w:w="9047" w:type="dxa"/>
            <w:tcBorders>
              <w:left w:val="single" w:sz="18" w:space="0" w:color="155E48"/>
            </w:tcBorders>
            <w:shd w:val="clear" w:color="auto" w:fill="F2F2F2" w:themeFill="background1" w:themeFillShade="F2"/>
          </w:tcPr>
          <w:p w14:paraId="03636B29" w14:textId="3A9C6A4F" w:rsidR="008734FD" w:rsidRPr="00F4758C" w:rsidRDefault="00681E5D" w:rsidP="00E00CED">
            <w:pPr>
              <w:pStyle w:val="TitreEncart"/>
              <w:rPr>
                <w:lang w:val="en-GB"/>
              </w:rPr>
            </w:pPr>
            <w:bookmarkStart w:id="18" w:name="_Toc230257723"/>
            <w:bookmarkStart w:id="19" w:name="_Toc226477438"/>
            <w:r w:rsidRPr="00F4758C">
              <w:rPr>
                <w:lang w:val="en-GB"/>
              </w:rPr>
              <w:lastRenderedPageBreak/>
              <w:t xml:space="preserve">Case Study: </w:t>
            </w:r>
            <w:r w:rsidR="008734FD" w:rsidRPr="00F4758C">
              <w:rPr>
                <w:lang w:val="en-GB"/>
              </w:rPr>
              <w:t>ENEDIS</w:t>
            </w:r>
            <w:bookmarkEnd w:id="18"/>
          </w:p>
          <w:p w14:paraId="1812AA8F" w14:textId="77777777" w:rsidR="008734FD" w:rsidRPr="00F4758C" w:rsidRDefault="008734FD" w:rsidP="0033608D">
            <w:pPr>
              <w:pStyle w:val="TitreencartREX"/>
              <w:rPr>
                <w:lang w:val="en-GB"/>
              </w:rPr>
            </w:pPr>
            <w:r w:rsidRPr="00F4758C">
              <w:rPr>
                <w:lang w:val="en-GB"/>
              </w:rPr>
              <w:t>Digital accessibility management at Enedis</w:t>
            </w:r>
            <w:bookmarkEnd w:id="19"/>
          </w:p>
          <w:p w14:paraId="1F25FF4D" w14:textId="77777777" w:rsidR="008734FD" w:rsidRPr="00F4758C" w:rsidRDefault="008734FD">
            <w:pPr>
              <w:pStyle w:val="Paragraphedeliste"/>
              <w:numPr>
                <w:ilvl w:val="0"/>
                <w:numId w:val="60"/>
              </w:numPr>
              <w:rPr>
                <w:b/>
                <w:bCs/>
                <w:lang w:val="en-GB"/>
              </w:rPr>
            </w:pPr>
            <w:r w:rsidRPr="00F4758C">
              <w:rPr>
                <w:b/>
                <w:bCs/>
                <w:lang w:val="en-GB"/>
              </w:rPr>
              <w:t xml:space="preserve">Presentation of Enedis’ Responsible Digital Programme </w:t>
            </w:r>
          </w:p>
          <w:p w14:paraId="0FBFEE2A" w14:textId="3EBE5EE7" w:rsidR="008734FD" w:rsidRPr="00F4758C" w:rsidRDefault="00262FAF" w:rsidP="00E00CED">
            <w:pPr>
              <w:rPr>
                <w:lang w:val="en-GB"/>
              </w:rPr>
            </w:pPr>
            <w:r>
              <w:rPr>
                <w:lang w:val="en-GB"/>
              </w:rPr>
              <w:t>“</w:t>
            </w:r>
            <w:r w:rsidR="008734FD" w:rsidRPr="00F4758C">
              <w:rPr>
                <w:lang w:val="en-GB"/>
              </w:rPr>
              <w:t>The Responsible Digital Programme embodies Enedis</w:t>
            </w:r>
            <w:r w:rsidR="004C2DE0">
              <w:rPr>
                <w:lang w:val="en-GB"/>
              </w:rPr>
              <w:t>’</w:t>
            </w:r>
            <w:r w:rsidR="008734FD" w:rsidRPr="00F4758C">
              <w:rPr>
                <w:lang w:val="en-GB"/>
              </w:rPr>
              <w:t xml:space="preserve"> vision for Responsible Digital. It sets the course for Responsible Digital transformation by 2027, building on a high level of maturity stemming from a commitment </w:t>
            </w:r>
            <w:r w:rsidR="004C66C1" w:rsidRPr="00F4758C">
              <w:rPr>
                <w:lang w:val="en-GB"/>
              </w:rPr>
              <w:t xml:space="preserve">made </w:t>
            </w:r>
            <w:r w:rsidR="008734FD" w:rsidRPr="00F4758C">
              <w:rPr>
                <w:lang w:val="en-GB"/>
              </w:rPr>
              <w:t>in 2018.</w:t>
            </w:r>
          </w:p>
          <w:p w14:paraId="512075C8" w14:textId="69F0A23D" w:rsidR="008734FD" w:rsidRPr="00F4758C" w:rsidRDefault="008734FD" w:rsidP="00E00CED">
            <w:pPr>
              <w:rPr>
                <w:lang w:val="en-GB"/>
              </w:rPr>
            </w:pPr>
            <w:r w:rsidRPr="00F4758C">
              <w:rPr>
                <w:lang w:val="en-GB"/>
              </w:rPr>
              <w:t xml:space="preserve">The Responsible Digital Programme </w:t>
            </w:r>
            <w:r w:rsidR="00733FC9" w:rsidRPr="00F4758C">
              <w:rPr>
                <w:lang w:val="en-GB"/>
              </w:rPr>
              <w:t>(</w:t>
            </w:r>
            <w:r w:rsidR="00A25D43">
              <w:rPr>
                <w:lang w:val="en-GB"/>
              </w:rPr>
              <w:t>RDP</w:t>
            </w:r>
            <w:r w:rsidR="00733FC9" w:rsidRPr="00F4758C">
              <w:rPr>
                <w:lang w:val="en-GB"/>
              </w:rPr>
              <w:t xml:space="preserve">) </w:t>
            </w:r>
            <w:r w:rsidRPr="00F4758C">
              <w:rPr>
                <w:lang w:val="en-GB"/>
              </w:rPr>
              <w:t xml:space="preserve">is derived from the CSR policy: the </w:t>
            </w:r>
            <w:r w:rsidR="004C2DE0">
              <w:rPr>
                <w:lang w:val="en-GB"/>
              </w:rPr>
              <w:t>“</w:t>
            </w:r>
            <w:r w:rsidR="00A25D43">
              <w:rPr>
                <w:lang w:val="en-GB"/>
              </w:rPr>
              <w:t>RDP</w:t>
            </w:r>
            <w:r w:rsidR="004C2DE0">
              <w:rPr>
                <w:lang w:val="en-GB"/>
              </w:rPr>
              <w:t>”</w:t>
            </w:r>
            <w:r w:rsidRPr="00F4758C">
              <w:rPr>
                <w:lang w:val="en-GB"/>
              </w:rPr>
              <w:t xml:space="preserve"> is structured around the three pillars of CSR and meets Enedis’</w:t>
            </w:r>
            <w:r w:rsidR="004C2DE0">
              <w:rPr>
                <w:lang w:val="en-GB"/>
              </w:rPr>
              <w:t xml:space="preserve"> </w:t>
            </w:r>
            <w:r w:rsidRPr="00F4758C">
              <w:rPr>
                <w:lang w:val="en-GB"/>
              </w:rPr>
              <w:t>mission-based corporate objectives. The cross-cutting foundation ensures the roll-out and embedding of transformations internally, as well as the promotion of Responsible Digital initiatives externally.</w:t>
            </w:r>
          </w:p>
          <w:p w14:paraId="65536028" w14:textId="58E6155C" w:rsidR="008734FD" w:rsidRPr="00F4758C" w:rsidRDefault="008734FD" w:rsidP="00E00CED">
            <w:pPr>
              <w:rPr>
                <w:lang w:val="en-GB"/>
              </w:rPr>
            </w:pPr>
            <w:r w:rsidRPr="00F4758C">
              <w:rPr>
                <w:lang w:val="en-GB"/>
              </w:rPr>
              <w:t xml:space="preserve">More specifically, the digital accessibility initiative falls within the </w:t>
            </w:r>
            <w:r w:rsidR="004C2DE0">
              <w:rPr>
                <w:lang w:val="en-GB"/>
              </w:rPr>
              <w:t>“</w:t>
            </w:r>
            <w:r w:rsidRPr="00F4758C">
              <w:rPr>
                <w:lang w:val="en-GB"/>
              </w:rPr>
              <w:t>For Women and Men</w:t>
            </w:r>
            <w:r w:rsidR="004C2DE0">
              <w:rPr>
                <w:lang w:val="en-GB"/>
              </w:rPr>
              <w:t>”</w:t>
            </w:r>
            <w:r w:rsidRPr="00F4758C">
              <w:rPr>
                <w:lang w:val="en-GB"/>
              </w:rPr>
              <w:t xml:space="preserve"> pillar of the Responsible Digital Programme, under the responsibility of the digital accessibility lead.</w:t>
            </w:r>
          </w:p>
          <w:p w14:paraId="4A9CCAF4" w14:textId="77777777" w:rsidR="008734FD" w:rsidRPr="00F4758C" w:rsidRDefault="008734FD">
            <w:pPr>
              <w:pStyle w:val="Paragraphedeliste"/>
              <w:numPr>
                <w:ilvl w:val="0"/>
                <w:numId w:val="60"/>
              </w:numPr>
              <w:rPr>
                <w:b/>
                <w:bCs/>
                <w:lang w:val="en-GB"/>
              </w:rPr>
            </w:pPr>
            <w:r w:rsidRPr="00F4758C">
              <w:rPr>
                <w:b/>
                <w:bCs/>
                <w:lang w:val="en-GB"/>
              </w:rPr>
              <w:t>Digital accessibility commitments as part of the Responsible Digital certification</w:t>
            </w:r>
          </w:p>
          <w:p w14:paraId="7C22C61B" w14:textId="77777777" w:rsidR="008734FD" w:rsidRPr="00F4758C" w:rsidRDefault="008734FD" w:rsidP="00E00CED">
            <w:pPr>
              <w:rPr>
                <w:lang w:val="en-GB"/>
              </w:rPr>
            </w:pPr>
            <w:r w:rsidRPr="00F4758C">
              <w:rPr>
                <w:lang w:val="en-GB"/>
              </w:rPr>
              <w:t>As part of Enedis’ Level 2 Responsible Digital certification, two commitments have been made regarding digital accessibility:</w:t>
            </w:r>
          </w:p>
          <w:p w14:paraId="5D170759" w14:textId="77777777" w:rsidR="008734FD" w:rsidRPr="00F4758C" w:rsidRDefault="008734FD" w:rsidP="00E00CED">
            <w:pPr>
              <w:rPr>
                <w:u w:val="single"/>
                <w:lang w:val="en-GB"/>
              </w:rPr>
            </w:pPr>
            <w:r w:rsidRPr="00F4758C">
              <w:rPr>
                <w:u w:val="single"/>
                <w:lang w:val="en-GB"/>
              </w:rPr>
              <w:t>Integrating digital accessibility – Commitment No. 7</w:t>
            </w:r>
          </w:p>
          <w:p w14:paraId="5781BFD1" w14:textId="77777777" w:rsidR="008734FD" w:rsidRPr="00F4758C" w:rsidRDefault="008734FD">
            <w:pPr>
              <w:pStyle w:val="Paragraphedeliste"/>
              <w:numPr>
                <w:ilvl w:val="0"/>
                <w:numId w:val="61"/>
              </w:numPr>
              <w:rPr>
                <w:lang w:val="en-GB"/>
              </w:rPr>
            </w:pPr>
            <w:r w:rsidRPr="00F4758C">
              <w:rPr>
                <w:lang w:val="en-GB"/>
              </w:rPr>
              <w:t>To continue integrating digital accessibility;</w:t>
            </w:r>
          </w:p>
          <w:p w14:paraId="27A890A4" w14:textId="77777777" w:rsidR="008734FD" w:rsidRPr="00F4758C" w:rsidRDefault="008734FD">
            <w:pPr>
              <w:pStyle w:val="Paragraphedeliste"/>
              <w:numPr>
                <w:ilvl w:val="0"/>
                <w:numId w:val="61"/>
              </w:numPr>
              <w:rPr>
                <w:lang w:val="en-GB"/>
              </w:rPr>
            </w:pPr>
            <w:r w:rsidRPr="00F4758C">
              <w:rPr>
                <w:lang w:val="en-GB"/>
              </w:rPr>
              <w:t>Update and publish the multi-year plan on enedis.fr;</w:t>
            </w:r>
          </w:p>
          <w:p w14:paraId="08C1A3A5" w14:textId="60BA6919" w:rsidR="008734FD" w:rsidRPr="00F4758C" w:rsidRDefault="008734FD">
            <w:pPr>
              <w:pStyle w:val="Paragraphedeliste"/>
              <w:numPr>
                <w:ilvl w:val="0"/>
                <w:numId w:val="61"/>
              </w:numPr>
              <w:rPr>
                <w:lang w:val="en-GB"/>
              </w:rPr>
            </w:pPr>
            <w:r w:rsidRPr="00F4758C">
              <w:rPr>
                <w:lang w:val="en-GB"/>
              </w:rPr>
              <w:t>Monitor the accessibility of priority external websites and bring them into compliance (compliance rate &gt;70%);</w:t>
            </w:r>
          </w:p>
          <w:p w14:paraId="07AFB009" w14:textId="3B3537B6" w:rsidR="008734FD" w:rsidRPr="00F4758C" w:rsidRDefault="008734FD">
            <w:pPr>
              <w:pStyle w:val="Paragraphedeliste"/>
              <w:numPr>
                <w:ilvl w:val="0"/>
                <w:numId w:val="61"/>
              </w:numPr>
              <w:rPr>
                <w:lang w:val="en-GB"/>
              </w:rPr>
            </w:pPr>
            <w:r w:rsidRPr="00F4758C">
              <w:rPr>
                <w:lang w:val="en-GB"/>
              </w:rPr>
              <w:t>Check the accessibility of priority internal websites used by staff for digital purposes (HR, health and safety, training) and improve their accessibility (compliance rate &gt;70%).</w:t>
            </w:r>
          </w:p>
          <w:p w14:paraId="7A00FA7F" w14:textId="77777777" w:rsidR="008734FD" w:rsidRPr="00F4758C" w:rsidRDefault="008734FD" w:rsidP="00E00CED">
            <w:pPr>
              <w:rPr>
                <w:u w:val="single"/>
                <w:lang w:val="en-GB"/>
              </w:rPr>
            </w:pPr>
            <w:r w:rsidRPr="00F4758C">
              <w:rPr>
                <w:u w:val="single"/>
                <w:lang w:val="en-GB"/>
              </w:rPr>
              <w:t>Make its communications a showcase for its commitment NR – Commitment No. 12</w:t>
            </w:r>
          </w:p>
          <w:p w14:paraId="1296C0F1" w14:textId="77777777" w:rsidR="008734FD" w:rsidRPr="00F4758C" w:rsidRDefault="008734FD">
            <w:pPr>
              <w:pStyle w:val="Paragraphedeliste"/>
              <w:numPr>
                <w:ilvl w:val="0"/>
                <w:numId w:val="61"/>
              </w:numPr>
              <w:rPr>
                <w:lang w:val="en-GB"/>
              </w:rPr>
            </w:pPr>
            <w:r w:rsidRPr="00F4758C">
              <w:rPr>
                <w:lang w:val="en-GB"/>
              </w:rPr>
              <w:t>Integrate accessibility and eco-socio-design criteria into procurement and communication services;</w:t>
            </w:r>
          </w:p>
          <w:p w14:paraId="3C74991F" w14:textId="4A92D4F9" w:rsidR="008734FD" w:rsidRPr="00F4758C" w:rsidRDefault="004C66C1">
            <w:pPr>
              <w:pStyle w:val="Paragraphedeliste"/>
              <w:numPr>
                <w:ilvl w:val="0"/>
                <w:numId w:val="61"/>
              </w:numPr>
              <w:rPr>
                <w:lang w:val="en-GB"/>
              </w:rPr>
            </w:pPr>
            <w:r w:rsidRPr="00F4758C">
              <w:rPr>
                <w:lang w:val="en-GB"/>
              </w:rPr>
              <w:t xml:space="preserve">Communicate </w:t>
            </w:r>
            <w:r w:rsidR="008734FD" w:rsidRPr="00F4758C">
              <w:rPr>
                <w:lang w:val="en-GB"/>
              </w:rPr>
              <w:t xml:space="preserve">and </w:t>
            </w:r>
            <w:r w:rsidRPr="00F4758C">
              <w:rPr>
                <w:lang w:val="en-GB"/>
              </w:rPr>
              <w:t xml:space="preserve">distribute </w:t>
            </w:r>
            <w:r w:rsidR="008734FD" w:rsidRPr="00F4758C">
              <w:rPr>
                <w:lang w:val="en-GB"/>
              </w:rPr>
              <w:t>eco-socio-designed communication materials;</w:t>
            </w:r>
          </w:p>
          <w:p w14:paraId="6022FD3F" w14:textId="77777777" w:rsidR="008734FD" w:rsidRPr="00F4758C" w:rsidRDefault="008734FD">
            <w:pPr>
              <w:pStyle w:val="Paragraphedeliste"/>
              <w:numPr>
                <w:ilvl w:val="0"/>
                <w:numId w:val="61"/>
              </w:numPr>
              <w:rPr>
                <w:lang w:val="en-GB"/>
              </w:rPr>
            </w:pPr>
            <w:r w:rsidRPr="00F4758C">
              <w:rPr>
                <w:lang w:val="en-GB"/>
              </w:rPr>
              <w:t>Raise awareness within the communications department of best practices in eco-socio-design;</w:t>
            </w:r>
          </w:p>
          <w:p w14:paraId="395A4290" w14:textId="4E6F49FD" w:rsidR="008734FD" w:rsidRPr="00F4758C" w:rsidRDefault="008734FD">
            <w:pPr>
              <w:pStyle w:val="Paragraphedeliste"/>
              <w:numPr>
                <w:ilvl w:val="0"/>
                <w:numId w:val="61"/>
              </w:numPr>
              <w:rPr>
                <w:lang w:val="en-GB"/>
              </w:rPr>
            </w:pPr>
            <w:r w:rsidRPr="00F4758C">
              <w:rPr>
                <w:lang w:val="en-GB"/>
              </w:rPr>
              <w:t xml:space="preserve">Raise staff awareness of the available </w:t>
            </w:r>
            <w:r w:rsidRPr="001F2368">
              <w:rPr>
                <w:lang w:val="en-GB"/>
              </w:rPr>
              <w:t xml:space="preserve">templates </w:t>
            </w:r>
            <w:r w:rsidRPr="00F4758C">
              <w:rPr>
                <w:lang w:val="en-GB"/>
              </w:rPr>
              <w:t>and tools;</w:t>
            </w:r>
          </w:p>
          <w:p w14:paraId="56B85EA2" w14:textId="37568449" w:rsidR="008734FD" w:rsidRPr="00F4758C" w:rsidRDefault="008734FD">
            <w:pPr>
              <w:pStyle w:val="Paragraphedeliste"/>
              <w:numPr>
                <w:ilvl w:val="0"/>
                <w:numId w:val="61"/>
              </w:numPr>
              <w:rPr>
                <w:lang w:val="en-GB"/>
              </w:rPr>
            </w:pPr>
            <w:r w:rsidRPr="00F4758C">
              <w:rPr>
                <w:lang w:val="en-GB"/>
              </w:rPr>
              <w:t>Examine the possibility of amending Enedis’</w:t>
            </w:r>
            <w:r w:rsidR="004C2DE0">
              <w:rPr>
                <w:lang w:val="en-GB"/>
              </w:rPr>
              <w:t xml:space="preserve"> </w:t>
            </w:r>
            <w:r w:rsidRPr="00F4758C">
              <w:rPr>
                <w:lang w:val="en-GB"/>
              </w:rPr>
              <w:t>digital charter to improve its accessibility.</w:t>
            </w:r>
          </w:p>
          <w:p w14:paraId="7A136243" w14:textId="77777777" w:rsidR="008734FD" w:rsidRPr="00F4758C" w:rsidRDefault="008734FD" w:rsidP="00E00CED">
            <w:pPr>
              <w:rPr>
                <w:lang w:val="en-GB"/>
              </w:rPr>
            </w:pPr>
          </w:p>
          <w:p w14:paraId="54AD9661" w14:textId="77777777" w:rsidR="008734FD" w:rsidRPr="00977670" w:rsidRDefault="008734FD">
            <w:pPr>
              <w:pStyle w:val="Paragraphedeliste"/>
              <w:numPr>
                <w:ilvl w:val="0"/>
                <w:numId w:val="60"/>
              </w:numPr>
              <w:rPr>
                <w:b/>
                <w:bCs/>
              </w:rPr>
            </w:pPr>
            <w:r w:rsidRPr="00977670">
              <w:rPr>
                <w:b/>
                <w:bCs/>
              </w:rPr>
              <w:t>Governance</w:t>
            </w:r>
          </w:p>
          <w:p w14:paraId="226EF2C3" w14:textId="77777777" w:rsidR="008734FD" w:rsidRPr="00F4758C" w:rsidRDefault="008734FD" w:rsidP="00E00CED">
            <w:pPr>
              <w:rPr>
                <w:lang w:val="en-GB"/>
              </w:rPr>
            </w:pPr>
            <w:r w:rsidRPr="00F4758C">
              <w:rPr>
                <w:lang w:val="en-GB"/>
              </w:rPr>
              <w:lastRenderedPageBreak/>
              <w:t>Digital accessibility is managed by the IT Department as part of the Responsible Digital programme. This role is led by the Digital Accessibility Lead.</w:t>
            </w:r>
          </w:p>
          <w:p w14:paraId="1563EF6B" w14:textId="77777777" w:rsidR="008734FD" w:rsidRPr="00F4758C" w:rsidRDefault="008734FD" w:rsidP="00E00CED">
            <w:pPr>
              <w:rPr>
                <w:lang w:val="en-GB"/>
              </w:rPr>
            </w:pPr>
            <w:r w:rsidRPr="00F4758C">
              <w:rPr>
                <w:lang w:val="en-GB"/>
              </w:rPr>
              <w:t xml:space="preserve">A digital accessibility governance framework has been in place since October 2023, through the Digital Accessibility Steering Committee, whose members are: </w:t>
            </w:r>
          </w:p>
          <w:p w14:paraId="35E4A7C6" w14:textId="42A22589" w:rsidR="008734FD" w:rsidRDefault="006F165D" w:rsidP="002621F3">
            <w:pPr>
              <w:jc w:val="center"/>
            </w:pPr>
            <w:r w:rsidRPr="004D1DBF">
              <w:rPr>
                <w:rFonts w:ascii="Public Sans" w:hAnsi="Public Sans"/>
                <w:noProof/>
              </w:rPr>
              <w:drawing>
                <wp:inline distT="0" distB="0" distL="0" distR="0" wp14:anchorId="6186C3B2" wp14:editId="1DECC068">
                  <wp:extent cx="5486400" cy="3200400"/>
                  <wp:effectExtent l="0" t="0" r="0" b="19050"/>
                  <wp:docPr id="3" name="Diagramme 3" descr="IT Strategy Management, involving the Diversity Department of the HRTS Directorate, the CSR and Digital divisions of the Impact and Communications Directorate, and the DIR2S-IT"/>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022FA71D" w14:textId="36084BFF" w:rsidR="008734FD" w:rsidRPr="00F4758C" w:rsidRDefault="006F165D">
            <w:pPr>
              <w:pStyle w:val="Paragraphedeliste"/>
              <w:numPr>
                <w:ilvl w:val="0"/>
                <w:numId w:val="62"/>
              </w:numPr>
              <w:spacing w:after="160" w:line="259" w:lineRule="auto"/>
              <w:jc w:val="left"/>
              <w:rPr>
                <w:rFonts w:ascii="Public Sans" w:hAnsi="Public Sans"/>
                <w:sz w:val="20"/>
                <w:szCs w:val="20"/>
                <w:lang w:val="en-GB"/>
              </w:rPr>
            </w:pPr>
            <w:r w:rsidRPr="006F165D">
              <w:rPr>
                <w:rFonts w:ascii="Public Sans" w:hAnsi="Public Sans"/>
                <w:sz w:val="20"/>
                <w:szCs w:val="20"/>
                <w:lang w:val="en-GB"/>
              </w:rPr>
              <w:t>DRHTS </w:t>
            </w:r>
            <w:r w:rsidR="008734FD" w:rsidRPr="00F4758C">
              <w:rPr>
                <w:rFonts w:ascii="Public Sans" w:hAnsi="Public Sans"/>
                <w:sz w:val="20"/>
                <w:szCs w:val="20"/>
                <w:lang w:val="en-GB"/>
              </w:rPr>
              <w:t>: Human Resources, Transformation, Health and Safety Directorate</w:t>
            </w:r>
          </w:p>
          <w:p w14:paraId="792AB270" w14:textId="77777777" w:rsidR="008734FD" w:rsidRPr="0036018E" w:rsidRDefault="008734FD">
            <w:pPr>
              <w:pStyle w:val="Paragraphedeliste"/>
              <w:numPr>
                <w:ilvl w:val="0"/>
                <w:numId w:val="62"/>
              </w:numPr>
              <w:spacing w:after="160" w:line="259" w:lineRule="auto"/>
              <w:jc w:val="left"/>
              <w:rPr>
                <w:rFonts w:ascii="Public Sans" w:hAnsi="Public Sans"/>
                <w:sz w:val="20"/>
                <w:szCs w:val="20"/>
              </w:rPr>
            </w:pPr>
            <w:r w:rsidRPr="40499B4E">
              <w:rPr>
                <w:rFonts w:ascii="Public Sans" w:hAnsi="Public Sans"/>
                <w:sz w:val="20"/>
                <w:szCs w:val="20"/>
              </w:rPr>
              <w:t>DIR2S-IT: DIR2S – IT &amp; Telecoms</w:t>
            </w:r>
          </w:p>
          <w:p w14:paraId="760C67A6" w14:textId="77777777" w:rsidR="008734FD" w:rsidRPr="00F4758C" w:rsidRDefault="008734FD" w:rsidP="00E00CED">
            <w:pPr>
              <w:rPr>
                <w:lang w:val="en-GB"/>
              </w:rPr>
            </w:pPr>
            <w:r w:rsidRPr="00F4758C">
              <w:rPr>
                <w:lang w:val="en-GB"/>
              </w:rPr>
              <w:t xml:space="preserve">The quarterly Digital Accessibility Steering Committee aims to: </w:t>
            </w:r>
          </w:p>
          <w:p w14:paraId="54F150E7" w14:textId="2EAF254B" w:rsidR="008734FD" w:rsidRPr="00F4758C" w:rsidRDefault="008734FD">
            <w:pPr>
              <w:pStyle w:val="Paragraphedeliste"/>
              <w:numPr>
                <w:ilvl w:val="0"/>
                <w:numId w:val="61"/>
              </w:numPr>
              <w:rPr>
                <w:lang w:val="en-GB"/>
              </w:rPr>
            </w:pPr>
            <w:r w:rsidRPr="00F4758C">
              <w:rPr>
                <w:lang w:val="en-GB"/>
              </w:rPr>
              <w:t>Share regulatory updates, general topics and Enedis news</w:t>
            </w:r>
            <w:r w:rsidR="00733FC9" w:rsidRPr="00F4758C">
              <w:rPr>
                <w:lang w:val="en-GB"/>
              </w:rPr>
              <w:t>;</w:t>
            </w:r>
          </w:p>
          <w:p w14:paraId="48B982A9" w14:textId="537C3F36" w:rsidR="008734FD" w:rsidRPr="00F4758C" w:rsidRDefault="008734FD">
            <w:pPr>
              <w:pStyle w:val="Paragraphedeliste"/>
              <w:numPr>
                <w:ilvl w:val="0"/>
                <w:numId w:val="61"/>
              </w:numPr>
              <w:rPr>
                <w:lang w:val="en-GB"/>
              </w:rPr>
            </w:pPr>
            <w:r w:rsidRPr="00F4758C">
              <w:rPr>
                <w:lang w:val="en-GB"/>
              </w:rPr>
              <w:t>Share progress on the action plan, successes and issues</w:t>
            </w:r>
            <w:r w:rsidR="00733FC9" w:rsidRPr="00F4758C">
              <w:rPr>
                <w:lang w:val="en-GB"/>
              </w:rPr>
              <w:t>;</w:t>
            </w:r>
          </w:p>
          <w:p w14:paraId="3FCF8A89" w14:textId="76757E8A" w:rsidR="00646CD1" w:rsidRPr="00F4758C" w:rsidRDefault="008734FD" w:rsidP="00646CD1">
            <w:pPr>
              <w:pStyle w:val="Paragraphedeliste"/>
              <w:numPr>
                <w:ilvl w:val="0"/>
                <w:numId w:val="61"/>
              </w:numPr>
              <w:rPr>
                <w:lang w:val="en-GB"/>
              </w:rPr>
            </w:pPr>
            <w:r w:rsidRPr="00F4758C">
              <w:rPr>
                <w:lang w:val="en-GB"/>
              </w:rPr>
              <w:t>Jointly approve the points to be raised at the Strategic Committee of the Responsible Digital Programme</w:t>
            </w:r>
            <w:r w:rsidR="00733FC9" w:rsidRPr="00F4758C">
              <w:rPr>
                <w:lang w:val="en-GB"/>
              </w:rPr>
              <w:t>.</w:t>
            </w:r>
            <w:r w:rsidR="00262FAF">
              <w:rPr>
                <w:lang w:val="en-GB"/>
              </w:rPr>
              <w:t>”</w:t>
            </w:r>
          </w:p>
          <w:p w14:paraId="1C4787F1" w14:textId="77777777" w:rsidR="00646CD1" w:rsidRPr="00F4758C" w:rsidRDefault="00646CD1" w:rsidP="00646CD1">
            <w:pPr>
              <w:rPr>
                <w:lang w:val="en-GB"/>
              </w:rPr>
            </w:pPr>
          </w:p>
          <w:p w14:paraId="31C43DA1" w14:textId="77777777" w:rsidR="008734FD" w:rsidRPr="00C43137" w:rsidRDefault="008734FD" w:rsidP="00E00CED">
            <w:pPr>
              <w:jc w:val="right"/>
            </w:pPr>
            <w:r>
              <w:rPr>
                <w:b/>
                <w:bCs/>
              </w:rPr>
              <w:t>Claire Quintanar</w:t>
            </w:r>
            <w:r>
              <w:t xml:space="preserve">, </w:t>
            </w:r>
            <w:r w:rsidRPr="00977670">
              <w:t xml:space="preserve">Responsible Digital Programme Lead at </w:t>
            </w:r>
            <w:r w:rsidRPr="00F755EB">
              <w:rPr>
                <w:b/>
                <w:bCs/>
              </w:rPr>
              <w:t>ENEDIS</w:t>
            </w:r>
          </w:p>
        </w:tc>
      </w:tr>
    </w:tbl>
    <w:p w14:paraId="436DD276" w14:textId="64C649B2" w:rsidR="008734FD" w:rsidRDefault="008734FD" w:rsidP="002D30A5">
      <w:pPr>
        <w:spacing w:before="160"/>
        <w:rPr>
          <w:lang w:eastAsia="fr-FR"/>
        </w:rPr>
      </w:pPr>
    </w:p>
    <w:tbl>
      <w:tblPr>
        <w:tblW w:w="5000" w:type="pct"/>
        <w:jc w:val="center"/>
        <w:tblBorders>
          <w:top w:val="single" w:sz="18" w:space="0" w:color="155E48"/>
          <w:left w:val="single" w:sz="18" w:space="0" w:color="155E48"/>
          <w:bottom w:val="single" w:sz="18" w:space="0" w:color="155E48"/>
          <w:right w:val="single" w:sz="18" w:space="0" w:color="155E48"/>
        </w:tblBorders>
        <w:shd w:val="clear" w:color="auto" w:fill="E2EFD9" w:themeFill="accent6" w:themeFillTint="33"/>
        <w:tblLayout w:type="fixed"/>
        <w:tblCellMar>
          <w:top w:w="284" w:type="dxa"/>
          <w:left w:w="284" w:type="dxa"/>
          <w:bottom w:w="284" w:type="dxa"/>
          <w:right w:w="284" w:type="dxa"/>
        </w:tblCellMar>
        <w:tblLook w:val="0420" w:firstRow="1" w:lastRow="0" w:firstColumn="0" w:lastColumn="0" w:noHBand="0" w:noVBand="1"/>
      </w:tblPr>
      <w:tblGrid>
        <w:gridCol w:w="9070"/>
      </w:tblGrid>
      <w:tr w:rsidR="00C43137" w:rsidRPr="004B4BDE" w14:paraId="4F0A07BE" w14:textId="77777777" w:rsidTr="00072B81">
        <w:trPr>
          <w:jc w:val="center"/>
        </w:trPr>
        <w:tc>
          <w:tcPr>
            <w:tcW w:w="9157" w:type="dxa"/>
            <w:tcBorders>
              <w:top w:val="nil"/>
              <w:left w:val="nil"/>
              <w:bottom w:val="nil"/>
              <w:right w:val="nil"/>
            </w:tcBorders>
            <w:shd w:val="clear" w:color="auto" w:fill="E2EFD9" w:themeFill="accent6" w:themeFillTint="33"/>
          </w:tcPr>
          <w:p w14:paraId="5A3BA159" w14:textId="442B0884" w:rsidR="004111F2" w:rsidRPr="004C7112" w:rsidRDefault="00804DE1" w:rsidP="004C7112">
            <w:pPr>
              <w:pStyle w:val="retenir"/>
            </w:pPr>
            <w:bookmarkStart w:id="20" w:name="_Toc230077005"/>
            <w:bookmarkStart w:id="21" w:name="_Toc226477431"/>
            <w:r w:rsidRPr="004C7112">
              <w:lastRenderedPageBreak/>
              <w:t xml:space="preserve">Key </w:t>
            </w:r>
            <w:bookmarkEnd w:id="20"/>
            <w:r w:rsidR="00A25D43">
              <w:t>points</w:t>
            </w:r>
            <w:r w:rsidRPr="004C7112">
              <w:t xml:space="preserve"> </w:t>
            </w:r>
            <w:bookmarkEnd w:id="21"/>
          </w:p>
          <w:p w14:paraId="79FF4CE0" w14:textId="3CED4586" w:rsidR="00A90E53" w:rsidRPr="00F4758C" w:rsidRDefault="004111F2">
            <w:pPr>
              <w:pStyle w:val="Paragraphedeliste"/>
              <w:numPr>
                <w:ilvl w:val="0"/>
                <w:numId w:val="63"/>
              </w:numPr>
              <w:rPr>
                <w:b/>
                <w:lang w:val="en-GB"/>
              </w:rPr>
            </w:pPr>
            <w:bookmarkStart w:id="22" w:name="_Toc226477432"/>
            <w:r w:rsidRPr="00F4758C">
              <w:rPr>
                <w:lang w:val="en-GB"/>
              </w:rPr>
              <w:t xml:space="preserve">The EAA </w:t>
            </w:r>
            <w:r w:rsidR="004C66C1" w:rsidRPr="00F4758C">
              <w:rPr>
                <w:lang w:val="en-GB"/>
              </w:rPr>
              <w:t>(</w:t>
            </w:r>
            <w:r w:rsidR="004C66C1" w:rsidRPr="00146BDE">
              <w:rPr>
                <w:lang w:val="en-GB"/>
              </w:rPr>
              <w:t>European Accessibility Act)</w:t>
            </w:r>
            <w:r w:rsidR="004C66C1" w:rsidRPr="00F4758C">
              <w:rPr>
                <w:lang w:val="en-GB"/>
              </w:rPr>
              <w:t xml:space="preserve"> </w:t>
            </w:r>
            <w:r w:rsidRPr="00F4758C">
              <w:rPr>
                <w:lang w:val="en-GB"/>
              </w:rPr>
              <w:t xml:space="preserve">extends the legal scope </w:t>
            </w:r>
            <w:r w:rsidR="00D05E6B" w:rsidRPr="00F4758C">
              <w:rPr>
                <w:lang w:val="en-GB"/>
              </w:rPr>
              <w:t xml:space="preserve">of digital accessibility </w:t>
            </w:r>
            <w:r w:rsidR="008734FD" w:rsidRPr="00F4758C">
              <w:rPr>
                <w:lang w:val="en-GB"/>
              </w:rPr>
              <w:t xml:space="preserve">to all organisations </w:t>
            </w:r>
            <w:r w:rsidR="009A3B6A" w:rsidRPr="00F4758C">
              <w:rPr>
                <w:lang w:val="en-GB"/>
              </w:rPr>
              <w:t xml:space="preserve">operating within </w:t>
            </w:r>
            <w:r w:rsidR="008734FD" w:rsidRPr="00F4758C">
              <w:rPr>
                <w:lang w:val="en-GB"/>
              </w:rPr>
              <w:t xml:space="preserve">the European Union, </w:t>
            </w:r>
            <w:r w:rsidR="00D05E6B" w:rsidRPr="00F4758C">
              <w:rPr>
                <w:lang w:val="en-GB"/>
              </w:rPr>
              <w:t xml:space="preserve">with the exception </w:t>
            </w:r>
            <w:r w:rsidR="008734FD" w:rsidRPr="00F4758C">
              <w:rPr>
                <w:lang w:val="en-GB"/>
              </w:rPr>
              <w:t xml:space="preserve">of </w:t>
            </w:r>
            <w:r w:rsidR="00AF068F" w:rsidRPr="00F4758C">
              <w:rPr>
                <w:lang w:val="en-GB"/>
              </w:rPr>
              <w:t xml:space="preserve">micro-enterprises </w:t>
            </w:r>
            <w:r w:rsidR="00DD2D5E" w:rsidRPr="00F4758C">
              <w:rPr>
                <w:lang w:val="en-GB"/>
              </w:rPr>
              <w:t>(</w:t>
            </w:r>
            <w:r w:rsidR="008734FD" w:rsidRPr="00F4758C">
              <w:rPr>
                <w:lang w:val="en-GB"/>
              </w:rPr>
              <w:t>i.e. those with fewer than 10 employees and a turnover of less than 2 million euros</w:t>
            </w:r>
            <w:r w:rsidR="00DD2D5E" w:rsidRPr="00F4758C">
              <w:rPr>
                <w:lang w:val="en-GB"/>
              </w:rPr>
              <w:t>)</w:t>
            </w:r>
            <w:r w:rsidR="009A3B6A" w:rsidRPr="00F4758C">
              <w:rPr>
                <w:lang w:val="en-GB"/>
              </w:rPr>
              <w:t xml:space="preserve">, and </w:t>
            </w:r>
            <w:r w:rsidR="00D05E6B" w:rsidRPr="00F4758C">
              <w:rPr>
                <w:lang w:val="en-GB"/>
              </w:rPr>
              <w:t xml:space="preserve">businesses in </w:t>
            </w:r>
            <w:r w:rsidR="009A3B6A" w:rsidRPr="00F4758C">
              <w:rPr>
                <w:lang w:val="en-GB"/>
              </w:rPr>
              <w:t>sectors not specified by the directive (</w:t>
            </w:r>
            <w:r w:rsidR="00ED2BEC" w:rsidRPr="00F4758C">
              <w:rPr>
                <w:lang w:val="en-GB"/>
              </w:rPr>
              <w:t>see pages</w:t>
            </w:r>
            <w:r w:rsidR="00875CEE" w:rsidRPr="00F4758C">
              <w:rPr>
                <w:lang w:val="en-GB"/>
              </w:rPr>
              <w:t xml:space="preserve"> 13–14 </w:t>
            </w:r>
            <w:r w:rsidR="00ED2BEC" w:rsidRPr="00F4758C">
              <w:rPr>
                <w:lang w:val="en-GB"/>
              </w:rPr>
              <w:t>of this report</w:t>
            </w:r>
            <w:r w:rsidR="009A3B6A" w:rsidRPr="00F4758C">
              <w:rPr>
                <w:lang w:val="en-GB"/>
              </w:rPr>
              <w:t>)</w:t>
            </w:r>
            <w:bookmarkEnd w:id="22"/>
            <w:r w:rsidR="008734FD" w:rsidRPr="00F4758C">
              <w:rPr>
                <w:lang w:val="en-GB"/>
              </w:rPr>
              <w:t xml:space="preserve"> ;</w:t>
            </w:r>
          </w:p>
          <w:p w14:paraId="2094A5B1" w14:textId="679012C0" w:rsidR="008734FD" w:rsidRPr="00F4758C" w:rsidRDefault="004111F2">
            <w:pPr>
              <w:pStyle w:val="Paragraphedeliste"/>
              <w:numPr>
                <w:ilvl w:val="0"/>
                <w:numId w:val="63"/>
              </w:numPr>
              <w:rPr>
                <w:b/>
                <w:lang w:val="en-GB"/>
              </w:rPr>
            </w:pPr>
            <w:bookmarkStart w:id="23" w:name="_Toc226477433"/>
            <w:r w:rsidRPr="00F4758C">
              <w:rPr>
                <w:lang w:val="en-GB"/>
              </w:rPr>
              <w:t xml:space="preserve">The legal framework (EU Directive 2016/2102, EAA) is based on the European standard, which in turn is based on the WCAG: </w:t>
            </w:r>
            <w:r w:rsidR="007256CE" w:rsidRPr="00F4758C">
              <w:rPr>
                <w:lang w:val="en-GB"/>
              </w:rPr>
              <w:t>the earlier</w:t>
            </w:r>
            <w:r w:rsidRPr="00F4758C">
              <w:rPr>
                <w:lang w:val="en-GB"/>
              </w:rPr>
              <w:t xml:space="preserve"> these design standards are incorporated, the easier it will be to achieve compliance;</w:t>
            </w:r>
            <w:bookmarkEnd w:id="23"/>
            <w:r w:rsidR="008734FD" w:rsidRPr="00F4758C">
              <w:rPr>
                <w:lang w:val="en-GB"/>
              </w:rPr>
              <w:t xml:space="preserve"> </w:t>
            </w:r>
          </w:p>
          <w:p w14:paraId="58D4AF92" w14:textId="24C835D6" w:rsidR="004111F2" w:rsidRPr="00F4758C" w:rsidRDefault="004C66C1">
            <w:pPr>
              <w:pStyle w:val="Paragraphedeliste"/>
              <w:numPr>
                <w:ilvl w:val="0"/>
                <w:numId w:val="63"/>
              </w:numPr>
              <w:rPr>
                <w:b/>
                <w:lang w:val="en-GB"/>
              </w:rPr>
            </w:pPr>
            <w:r w:rsidRPr="00F4758C">
              <w:rPr>
                <w:lang w:val="en-GB"/>
              </w:rPr>
              <w:t xml:space="preserve">From </w:t>
            </w:r>
            <w:r w:rsidR="008734FD" w:rsidRPr="00F4758C">
              <w:rPr>
                <w:lang w:val="en-GB"/>
              </w:rPr>
              <w:t xml:space="preserve">June 2025, all products </w:t>
            </w:r>
            <w:r w:rsidR="00174CC8" w:rsidRPr="00F4758C">
              <w:rPr>
                <w:lang w:val="en-GB"/>
              </w:rPr>
              <w:t xml:space="preserve">placed on the market </w:t>
            </w:r>
            <w:r w:rsidR="008734FD" w:rsidRPr="00F4758C">
              <w:rPr>
                <w:lang w:val="en-GB"/>
              </w:rPr>
              <w:t xml:space="preserve">or </w:t>
            </w:r>
            <w:r w:rsidR="004E7EA5" w:rsidRPr="00F4758C">
              <w:rPr>
                <w:lang w:val="en-GB"/>
              </w:rPr>
              <w:t xml:space="preserve">services </w:t>
            </w:r>
            <w:r w:rsidR="008734FD" w:rsidRPr="00F4758C">
              <w:rPr>
                <w:lang w:val="en-GB"/>
              </w:rPr>
              <w:t>provided must comply with digital accessibility criteria</w:t>
            </w:r>
            <w:r w:rsidR="009F5E7E" w:rsidRPr="00F4758C">
              <w:rPr>
                <w:lang w:val="en-GB"/>
              </w:rPr>
              <w:t>. This raises the challenge of maintaining compliance over the long term;</w:t>
            </w:r>
          </w:p>
          <w:p w14:paraId="7260633B" w14:textId="740C6085" w:rsidR="004111F2" w:rsidRPr="00F4758C" w:rsidRDefault="004111F2">
            <w:pPr>
              <w:pStyle w:val="Paragraphedeliste"/>
              <w:numPr>
                <w:ilvl w:val="0"/>
                <w:numId w:val="63"/>
              </w:numPr>
              <w:rPr>
                <w:b/>
                <w:lang w:val="en-GB"/>
              </w:rPr>
            </w:pPr>
            <w:bookmarkStart w:id="24" w:name="_Toc226477434"/>
            <w:r w:rsidRPr="00F4758C">
              <w:rPr>
                <w:lang w:val="en-GB"/>
              </w:rPr>
              <w:t xml:space="preserve">It is essential to establish a governance structure, comprising at least three parties (compliance, CSR </w:t>
            </w:r>
            <w:r w:rsidR="00321F26" w:rsidRPr="00F4758C">
              <w:rPr>
                <w:lang w:val="en-GB"/>
              </w:rPr>
              <w:t>and digital management</w:t>
            </w:r>
            <w:r w:rsidR="00804DE1" w:rsidRPr="00F4758C">
              <w:rPr>
                <w:lang w:val="en-GB"/>
              </w:rPr>
              <w:t>)</w:t>
            </w:r>
            <w:r w:rsidRPr="00F4758C">
              <w:rPr>
                <w:lang w:val="en-GB"/>
              </w:rPr>
              <w:t xml:space="preserve">, with a dedicated budget and </w:t>
            </w:r>
            <w:r w:rsidRPr="001F2368">
              <w:rPr>
                <w:lang w:val="en-GB"/>
              </w:rPr>
              <w:t>co-sponsorship</w:t>
            </w:r>
            <w:r w:rsidRPr="00F4758C">
              <w:rPr>
                <w:lang w:val="en-GB"/>
              </w:rPr>
              <w:t xml:space="preserve">, and </w:t>
            </w:r>
            <w:r w:rsidR="00804DE1" w:rsidRPr="00F4758C">
              <w:rPr>
                <w:lang w:val="en-GB"/>
              </w:rPr>
              <w:t xml:space="preserve">to </w:t>
            </w:r>
            <w:r w:rsidRPr="00F4758C">
              <w:rPr>
                <w:lang w:val="en-GB"/>
              </w:rPr>
              <w:t>appoint a digital accessibility lead with significant authority;</w:t>
            </w:r>
            <w:bookmarkEnd w:id="24"/>
            <w:r w:rsidRPr="00F4758C">
              <w:rPr>
                <w:lang w:val="en-GB"/>
              </w:rPr>
              <w:t xml:space="preserve"> </w:t>
            </w:r>
          </w:p>
          <w:p w14:paraId="76CBBD8D" w14:textId="18EA2C09" w:rsidR="004111F2" w:rsidRPr="00F4758C" w:rsidRDefault="004111F2">
            <w:pPr>
              <w:pStyle w:val="Paragraphedeliste"/>
              <w:numPr>
                <w:ilvl w:val="0"/>
                <w:numId w:val="63"/>
              </w:numPr>
              <w:rPr>
                <w:b/>
                <w:lang w:val="en-GB"/>
              </w:rPr>
            </w:pPr>
            <w:bookmarkStart w:id="25" w:name="_Toc226477435"/>
            <w:r w:rsidRPr="00F4758C">
              <w:rPr>
                <w:lang w:val="en-GB"/>
              </w:rPr>
              <w:t xml:space="preserve">Inaction is </w:t>
            </w:r>
            <w:r w:rsidR="008734FD" w:rsidRPr="00F4758C">
              <w:rPr>
                <w:lang w:val="en-GB"/>
              </w:rPr>
              <w:t>costly</w:t>
            </w:r>
            <w:r w:rsidRPr="00F4758C">
              <w:rPr>
                <w:lang w:val="en-GB"/>
              </w:rPr>
              <w:t>: quantifying the cost of poor accessibility to justify investment in this area can be a powerful strategic argument;</w:t>
            </w:r>
            <w:bookmarkEnd w:id="25"/>
          </w:p>
          <w:p w14:paraId="67A217D6" w14:textId="77777777" w:rsidR="00186503" w:rsidRPr="00F4758C" w:rsidRDefault="00186503">
            <w:pPr>
              <w:pStyle w:val="Paragraphedeliste"/>
              <w:numPr>
                <w:ilvl w:val="0"/>
                <w:numId w:val="63"/>
              </w:numPr>
              <w:rPr>
                <w:bCs/>
                <w:lang w:val="en-GB"/>
              </w:rPr>
            </w:pPr>
            <w:bookmarkStart w:id="26" w:name="_Toc226477436"/>
            <w:r w:rsidRPr="00F4758C">
              <w:rPr>
                <w:bCs/>
                <w:lang w:val="en-GB"/>
              </w:rPr>
              <w:t>Compliance does not guarantee accessibility. Accessibility cannot be achieved without testing against real-world usage.</w:t>
            </w:r>
          </w:p>
          <w:p w14:paraId="0133B274" w14:textId="1755B084" w:rsidR="004111F2" w:rsidRPr="00F4758C" w:rsidRDefault="004111F2">
            <w:pPr>
              <w:pStyle w:val="Paragraphedeliste"/>
              <w:numPr>
                <w:ilvl w:val="0"/>
                <w:numId w:val="63"/>
              </w:numPr>
              <w:rPr>
                <w:b/>
                <w:lang w:val="en-GB"/>
              </w:rPr>
            </w:pPr>
            <w:r w:rsidRPr="00F4758C">
              <w:rPr>
                <w:lang w:val="en-GB"/>
              </w:rPr>
              <w:t xml:space="preserve">Accessibility is a marathon, not a sprint: a compliant website can quickly deteriorate without </w:t>
            </w:r>
            <w:r w:rsidR="00910341" w:rsidRPr="00F4758C">
              <w:rPr>
                <w:lang w:val="en-GB"/>
              </w:rPr>
              <w:t xml:space="preserve">ongoing </w:t>
            </w:r>
            <w:r w:rsidRPr="00F4758C">
              <w:rPr>
                <w:lang w:val="en-GB"/>
              </w:rPr>
              <w:t>training, cultural embedding and verification processes.</w:t>
            </w:r>
            <w:bookmarkEnd w:id="26"/>
          </w:p>
          <w:p w14:paraId="21081B3F" w14:textId="421EB1F2" w:rsidR="00C43137" w:rsidRPr="00F4758C" w:rsidRDefault="004111F2">
            <w:pPr>
              <w:pStyle w:val="Paragraphedeliste"/>
              <w:numPr>
                <w:ilvl w:val="0"/>
                <w:numId w:val="63"/>
              </w:numPr>
              <w:rPr>
                <w:b/>
                <w:lang w:val="en-GB"/>
              </w:rPr>
            </w:pPr>
            <w:bookmarkStart w:id="27" w:name="_Toc226477437"/>
            <w:r w:rsidRPr="00F4758C">
              <w:rPr>
                <w:lang w:val="en-GB"/>
              </w:rPr>
              <w:t xml:space="preserve">Automated audit tools </w:t>
            </w:r>
            <w:r w:rsidR="008734FD" w:rsidRPr="00F4758C">
              <w:rPr>
                <w:lang w:val="en-GB"/>
              </w:rPr>
              <w:t xml:space="preserve">can be </w:t>
            </w:r>
            <w:r w:rsidRPr="00F4758C">
              <w:rPr>
                <w:lang w:val="en-GB"/>
              </w:rPr>
              <w:t xml:space="preserve">useful, but they are no substitute for human expertise, </w:t>
            </w:r>
            <w:r w:rsidR="00726013" w:rsidRPr="00F4758C">
              <w:rPr>
                <w:lang w:val="en-GB"/>
              </w:rPr>
              <w:t xml:space="preserve">industry standards such as </w:t>
            </w:r>
            <w:r w:rsidRPr="00F4758C">
              <w:rPr>
                <w:lang w:val="en-GB"/>
              </w:rPr>
              <w:t>the RGAA, and the acculturation of teams.</w:t>
            </w:r>
            <w:bookmarkEnd w:id="27"/>
          </w:p>
        </w:tc>
      </w:tr>
    </w:tbl>
    <w:p w14:paraId="4ED7E548" w14:textId="77777777" w:rsidR="00F70BA7" w:rsidRPr="00F4758C" w:rsidRDefault="00F70BA7" w:rsidP="00C43137">
      <w:pPr>
        <w:rPr>
          <w:lang w:val="en-GB" w:eastAsia="fr-FR"/>
        </w:rPr>
      </w:pPr>
    </w:p>
    <w:p w14:paraId="49AC72EC" w14:textId="77777777" w:rsidR="004502A1" w:rsidRPr="00F4758C" w:rsidRDefault="004502A1" w:rsidP="004B1E23">
      <w:pPr>
        <w:spacing w:after="160" w:line="259" w:lineRule="auto"/>
        <w:rPr>
          <w:lang w:val="en-GB" w:eastAsia="fr-FR"/>
        </w:rPr>
      </w:pPr>
    </w:p>
    <w:p w14:paraId="77C1A265" w14:textId="097DC3D0" w:rsidR="00914B3B" w:rsidRPr="007953AC" w:rsidRDefault="004111F2" w:rsidP="007953AC">
      <w:pPr>
        <w:pStyle w:val="Titre1"/>
      </w:pPr>
      <w:bookmarkStart w:id="28" w:name="_Toc230077006"/>
      <w:r w:rsidRPr="004111F2">
        <w:lastRenderedPageBreak/>
        <w:t>Structuring the governance approach</w:t>
      </w:r>
      <w:bookmarkEnd w:id="28"/>
    </w:p>
    <w:p w14:paraId="79D97D29" w14:textId="3DEEEFC9" w:rsidR="00914B3B" w:rsidRPr="00F4758C" w:rsidRDefault="00AE2703" w:rsidP="00DE3AAD">
      <w:pPr>
        <w:pStyle w:val="Titre2"/>
        <w:rPr>
          <w:lang w:val="en-GB"/>
        </w:rPr>
      </w:pPr>
      <w:bookmarkStart w:id="29" w:name="_Toc230077007"/>
      <w:r w:rsidRPr="00F4758C">
        <w:rPr>
          <w:lang w:val="en-GB"/>
        </w:rPr>
        <w:t xml:space="preserve">Defining </w:t>
      </w:r>
      <w:r w:rsidR="001D5419" w:rsidRPr="00F4758C">
        <w:rPr>
          <w:lang w:val="en-GB"/>
        </w:rPr>
        <w:t xml:space="preserve">your ambition </w:t>
      </w:r>
      <w:r w:rsidR="004111F2" w:rsidRPr="00F4758C">
        <w:rPr>
          <w:lang w:val="en-GB"/>
        </w:rPr>
        <w:t xml:space="preserve">and </w:t>
      </w:r>
      <w:r w:rsidR="001D5419" w:rsidRPr="00F4758C">
        <w:rPr>
          <w:lang w:val="en-GB"/>
        </w:rPr>
        <w:t xml:space="preserve">assigning </w:t>
      </w:r>
      <w:r w:rsidR="004111F2" w:rsidRPr="00F4758C">
        <w:rPr>
          <w:lang w:val="en-GB"/>
        </w:rPr>
        <w:t>responsibilities</w:t>
      </w:r>
      <w:bookmarkEnd w:id="29"/>
      <w:r w:rsidR="004111F2" w:rsidRPr="00F4758C">
        <w:rPr>
          <w:lang w:val="en-GB"/>
        </w:rPr>
        <w:t xml:space="preserve"> </w:t>
      </w:r>
    </w:p>
    <w:p w14:paraId="24DB0A09" w14:textId="77777777" w:rsidR="004111F2" w:rsidRPr="00F4758C" w:rsidRDefault="004111F2" w:rsidP="004111F2">
      <w:pPr>
        <w:pStyle w:val="Titre3"/>
        <w:rPr>
          <w:lang w:val="en-GB"/>
        </w:rPr>
      </w:pPr>
      <w:bookmarkStart w:id="30" w:name="_Toc230077008"/>
      <w:r w:rsidRPr="00F4758C">
        <w:rPr>
          <w:lang w:val="en-GB"/>
        </w:rPr>
        <w:t>Vision and ambition of the accessibility approach</w:t>
      </w:r>
      <w:bookmarkEnd w:id="30"/>
      <w:r w:rsidRPr="00F4758C">
        <w:rPr>
          <w:lang w:val="en-GB"/>
        </w:rPr>
        <w:t xml:space="preserve">  </w:t>
      </w:r>
    </w:p>
    <w:p w14:paraId="2E47AAEA" w14:textId="6A0472A2" w:rsidR="00DE3AAD" w:rsidRPr="00F4758C" w:rsidRDefault="001D5419" w:rsidP="00DE3AAD">
      <w:pPr>
        <w:rPr>
          <w:lang w:val="en-GB"/>
        </w:rPr>
      </w:pPr>
      <w:r w:rsidRPr="00F4758C">
        <w:rPr>
          <w:lang w:val="en-GB"/>
        </w:rPr>
        <w:t xml:space="preserve">Beyond the minimum legal requirements, </w:t>
      </w:r>
      <w:r w:rsidR="00DE3AAD" w:rsidRPr="00F4758C">
        <w:rPr>
          <w:lang w:val="en-GB"/>
        </w:rPr>
        <w:t xml:space="preserve">the structure of the governance approach </w:t>
      </w:r>
      <w:r w:rsidRPr="00F4758C">
        <w:rPr>
          <w:lang w:val="en-GB"/>
        </w:rPr>
        <w:t xml:space="preserve">depends, </w:t>
      </w:r>
      <w:r w:rsidR="00DE3AAD" w:rsidRPr="00F4758C">
        <w:rPr>
          <w:lang w:val="en-GB"/>
        </w:rPr>
        <w:t>first and foremost</w:t>
      </w:r>
      <w:r w:rsidRPr="00F4758C">
        <w:rPr>
          <w:lang w:val="en-GB"/>
        </w:rPr>
        <w:t xml:space="preserve">, </w:t>
      </w:r>
      <w:r w:rsidR="00DE3AAD" w:rsidRPr="00F4758C">
        <w:rPr>
          <w:lang w:val="en-GB"/>
        </w:rPr>
        <w:t xml:space="preserve">on the vision and ambition that each organisation </w:t>
      </w:r>
      <w:r w:rsidRPr="00F4758C">
        <w:rPr>
          <w:lang w:val="en-GB"/>
        </w:rPr>
        <w:t xml:space="preserve">defines and </w:t>
      </w:r>
      <w:r w:rsidR="00DE3AAD" w:rsidRPr="00F4758C">
        <w:rPr>
          <w:lang w:val="en-GB"/>
        </w:rPr>
        <w:t xml:space="preserve">wishes to uphold in terms of accessibility. For the participants in the Cigref working group, digital accessibility </w:t>
      </w:r>
      <w:r w:rsidRPr="00F4758C">
        <w:rPr>
          <w:lang w:val="en-GB"/>
        </w:rPr>
        <w:t xml:space="preserve">is </w:t>
      </w:r>
      <w:r w:rsidR="00DE3AAD" w:rsidRPr="00F4758C">
        <w:rPr>
          <w:lang w:val="en-GB"/>
        </w:rPr>
        <w:t xml:space="preserve">a social responsibility </w:t>
      </w:r>
      <w:r w:rsidRPr="00F4758C">
        <w:rPr>
          <w:lang w:val="en-GB"/>
        </w:rPr>
        <w:t xml:space="preserve">that falls to </w:t>
      </w:r>
      <w:r w:rsidR="00DE3AAD" w:rsidRPr="00F4758C">
        <w:rPr>
          <w:lang w:val="en-GB"/>
        </w:rPr>
        <w:t xml:space="preserve">organisations </w:t>
      </w:r>
      <w:r w:rsidRPr="00F4758C">
        <w:rPr>
          <w:lang w:val="en-GB"/>
        </w:rPr>
        <w:t xml:space="preserve">and must enable </w:t>
      </w:r>
      <w:r w:rsidR="00DE3AAD" w:rsidRPr="00F4758C">
        <w:rPr>
          <w:lang w:val="en-GB"/>
        </w:rPr>
        <w:t xml:space="preserve">the creation of environments </w:t>
      </w:r>
      <w:r w:rsidRPr="00F4758C">
        <w:rPr>
          <w:lang w:val="en-GB"/>
        </w:rPr>
        <w:t xml:space="preserve">suited </w:t>
      </w:r>
      <w:r w:rsidR="00DE3AAD" w:rsidRPr="00F4758C">
        <w:rPr>
          <w:lang w:val="en-GB"/>
        </w:rPr>
        <w:t>to the most vulnerable, without compromising the activities of the wider public.</w:t>
      </w:r>
    </w:p>
    <w:p w14:paraId="0E74A37C" w14:textId="0EE28791" w:rsidR="00DE3AAD" w:rsidRPr="00F4758C" w:rsidRDefault="00DE3AAD" w:rsidP="00DE3AAD">
      <w:pPr>
        <w:rPr>
          <w:lang w:val="en-GB"/>
        </w:rPr>
      </w:pPr>
      <w:r w:rsidRPr="00F4758C">
        <w:rPr>
          <w:lang w:val="en-GB"/>
        </w:rPr>
        <w:t xml:space="preserve">The foundation of this approach lies in the inclusion of all people with disabilities, whether they are employees </w:t>
      </w:r>
      <w:r w:rsidR="00A33BCC" w:rsidRPr="00F4758C">
        <w:rPr>
          <w:lang w:val="en-GB"/>
        </w:rPr>
        <w:t xml:space="preserve">of the organisation </w:t>
      </w:r>
      <w:r w:rsidRPr="00F4758C">
        <w:rPr>
          <w:lang w:val="en-GB"/>
        </w:rPr>
        <w:t>or members of the public using its services</w:t>
      </w:r>
      <w:r w:rsidR="00321F26" w:rsidRPr="00F4758C">
        <w:rPr>
          <w:lang w:val="en-GB"/>
        </w:rPr>
        <w:t xml:space="preserve">, on the understanding that digital accessibility is the </w:t>
      </w:r>
      <w:r w:rsidR="004C2DE0">
        <w:rPr>
          <w:lang w:val="en-GB"/>
        </w:rPr>
        <w:t>“</w:t>
      </w:r>
      <w:r w:rsidR="00321F26" w:rsidRPr="00F4758C">
        <w:rPr>
          <w:lang w:val="en-GB"/>
        </w:rPr>
        <w:t>intangible</w:t>
      </w:r>
      <w:r w:rsidR="004C2DE0">
        <w:rPr>
          <w:lang w:val="en-GB"/>
        </w:rPr>
        <w:t>”</w:t>
      </w:r>
      <w:r w:rsidR="00321F26" w:rsidRPr="00F4758C">
        <w:rPr>
          <w:lang w:val="en-GB"/>
        </w:rPr>
        <w:t xml:space="preserve"> counterpart to an urban and physical environment adapted to everyone.</w:t>
      </w:r>
    </w:p>
    <w:p w14:paraId="16E758AC" w14:textId="08A31DDC" w:rsidR="0097700D" w:rsidRPr="00F4758C" w:rsidRDefault="00DE3AAD" w:rsidP="00DE3AAD">
      <w:pPr>
        <w:rPr>
          <w:lang w:val="en-GB"/>
        </w:rPr>
      </w:pPr>
      <w:r w:rsidRPr="00F4758C">
        <w:rPr>
          <w:lang w:val="en-GB"/>
        </w:rPr>
        <w:t xml:space="preserve">The aim is to enable people with disabilities to gain greater independence through digital accessibility and to create the conditions for them to contribute to the social fabric. </w:t>
      </w:r>
    </w:p>
    <w:p w14:paraId="44417C86" w14:textId="73148998" w:rsidR="0097700D" w:rsidRPr="00F4758C" w:rsidRDefault="00DE3AAD" w:rsidP="00DE3AAD">
      <w:pPr>
        <w:pStyle w:val="Titre3"/>
        <w:ind w:left="737" w:hanging="737"/>
        <w:rPr>
          <w:lang w:val="en-GB"/>
        </w:rPr>
      </w:pPr>
      <w:bookmarkStart w:id="31" w:name="_heading=h.3rdcrjn" w:colFirst="0" w:colLast="0"/>
      <w:bookmarkStart w:id="32" w:name="_Toc230077009"/>
      <w:bookmarkStart w:id="33" w:name="_Toc120185961"/>
      <w:bookmarkEnd w:id="31"/>
      <w:r w:rsidRPr="00F4758C">
        <w:rPr>
          <w:lang w:val="en-GB"/>
        </w:rPr>
        <w:t>Roles and responsibilities of the digital accessibility lead</w:t>
      </w:r>
      <w:bookmarkEnd w:id="32"/>
    </w:p>
    <w:p w14:paraId="30A90701" w14:textId="790F36E8" w:rsidR="00DE3AAD" w:rsidRPr="00F4758C" w:rsidRDefault="00DE3AAD" w:rsidP="00DE3AAD">
      <w:pPr>
        <w:rPr>
          <w:lang w:val="en-GB" w:eastAsia="fr-FR"/>
        </w:rPr>
      </w:pPr>
      <w:r w:rsidRPr="00F4758C">
        <w:rPr>
          <w:b/>
          <w:bCs/>
          <w:lang w:val="en-GB" w:eastAsia="fr-FR"/>
        </w:rPr>
        <w:t xml:space="preserve">Defining the roles and responsibilities assigned to the digital accessibility lead </w:t>
      </w:r>
      <w:r w:rsidRPr="00F4758C">
        <w:rPr>
          <w:lang w:val="en-GB" w:eastAsia="fr-FR"/>
        </w:rPr>
        <w:t xml:space="preserve">is one of the most fundamental elements of the process. Indeed, the organisational structure of the roadmap, or multi-year plan, will become the central document of the governance process, and the role of </w:t>
      </w:r>
      <w:r w:rsidR="00230C35" w:rsidRPr="00F4758C">
        <w:rPr>
          <w:lang w:val="en-GB" w:eastAsia="fr-FR"/>
        </w:rPr>
        <w:t>digital accessibility</w:t>
      </w:r>
      <w:r w:rsidRPr="00F4758C">
        <w:rPr>
          <w:lang w:val="en-GB" w:eastAsia="fr-FR"/>
        </w:rPr>
        <w:t xml:space="preserve"> lead will be its driving force. </w:t>
      </w:r>
    </w:p>
    <w:p w14:paraId="5F7E70AD" w14:textId="3E23D9C1" w:rsidR="00DE3AAD" w:rsidRPr="00F4758C" w:rsidRDefault="00DE3AAD" w:rsidP="00DE3AAD">
      <w:pPr>
        <w:rPr>
          <w:lang w:val="en-GB" w:eastAsia="fr-FR"/>
        </w:rPr>
      </w:pPr>
      <w:r w:rsidRPr="00F4758C">
        <w:rPr>
          <w:b/>
          <w:bCs/>
          <w:lang w:val="en-GB" w:eastAsia="fr-FR"/>
        </w:rPr>
        <w:t xml:space="preserve">For the </w:t>
      </w:r>
      <w:r w:rsidR="00321F26" w:rsidRPr="00F4758C">
        <w:rPr>
          <w:b/>
          <w:bCs/>
          <w:lang w:val="en-GB" w:eastAsia="fr-FR"/>
        </w:rPr>
        <w:t>digital accessibility</w:t>
      </w:r>
      <w:r w:rsidRPr="00F4758C">
        <w:rPr>
          <w:b/>
          <w:bCs/>
          <w:lang w:val="en-GB" w:eastAsia="fr-FR"/>
        </w:rPr>
        <w:t xml:space="preserve"> lead</w:t>
      </w:r>
      <w:r w:rsidRPr="00F4758C">
        <w:rPr>
          <w:lang w:val="en-GB" w:eastAsia="fr-FR"/>
        </w:rPr>
        <w:t xml:space="preserve">, the development and implementation of the digital accessibility strategy across the organisation </w:t>
      </w:r>
      <w:r w:rsidR="00C16A87" w:rsidRPr="00F4758C">
        <w:rPr>
          <w:lang w:val="en-GB" w:eastAsia="fr-FR"/>
        </w:rPr>
        <w:t xml:space="preserve">involves </w:t>
      </w:r>
      <w:r w:rsidRPr="00F4758C">
        <w:rPr>
          <w:lang w:val="en-GB" w:eastAsia="fr-FR"/>
        </w:rPr>
        <w:t>a range of activities:</w:t>
      </w:r>
    </w:p>
    <w:p w14:paraId="7B38E441" w14:textId="3293221B" w:rsidR="00DE3AAD" w:rsidRPr="00F4758C" w:rsidRDefault="00C16A87">
      <w:pPr>
        <w:pStyle w:val="Paragraphedeliste"/>
        <w:numPr>
          <w:ilvl w:val="0"/>
          <w:numId w:val="11"/>
        </w:numPr>
        <w:rPr>
          <w:lang w:val="en-GB"/>
        </w:rPr>
      </w:pPr>
      <w:r w:rsidRPr="00F4758C">
        <w:rPr>
          <w:b/>
          <w:bCs/>
          <w:lang w:val="en-GB"/>
        </w:rPr>
        <w:t xml:space="preserve">Initiating </w:t>
      </w:r>
      <w:r w:rsidR="00DE3AAD" w:rsidRPr="00F4758C">
        <w:rPr>
          <w:b/>
          <w:bCs/>
          <w:lang w:val="en-GB"/>
        </w:rPr>
        <w:t xml:space="preserve">the implementation of a </w:t>
      </w:r>
      <w:r w:rsidR="00DE3AAD" w:rsidRPr="00F4758C">
        <w:rPr>
          <w:lang w:val="en-GB"/>
        </w:rPr>
        <w:t xml:space="preserve">digital accessibility </w:t>
      </w:r>
      <w:r w:rsidR="00DE3AAD" w:rsidRPr="00F4758C">
        <w:rPr>
          <w:b/>
          <w:bCs/>
          <w:lang w:val="en-GB"/>
        </w:rPr>
        <w:t xml:space="preserve">strategy </w:t>
      </w:r>
      <w:r w:rsidR="00DE3AAD" w:rsidRPr="00F4758C">
        <w:rPr>
          <w:lang w:val="en-GB"/>
        </w:rPr>
        <w:t>and rolling it out;</w:t>
      </w:r>
    </w:p>
    <w:p w14:paraId="50998560" w14:textId="26D24A60" w:rsidR="00DE3AAD" w:rsidRPr="00F4758C" w:rsidRDefault="00DE3AAD">
      <w:pPr>
        <w:pStyle w:val="Paragraphedeliste"/>
        <w:numPr>
          <w:ilvl w:val="0"/>
          <w:numId w:val="11"/>
        </w:numPr>
        <w:rPr>
          <w:lang w:val="en-GB"/>
        </w:rPr>
      </w:pPr>
      <w:r w:rsidRPr="00F4758C">
        <w:rPr>
          <w:b/>
          <w:bCs/>
          <w:lang w:val="en-GB"/>
        </w:rPr>
        <w:t xml:space="preserve">Developing indicators and processes to monitor the performance </w:t>
      </w:r>
      <w:r w:rsidRPr="00F4758C">
        <w:rPr>
          <w:lang w:val="en-GB"/>
        </w:rPr>
        <w:t>of the digital accessibility policy, and overseeing the management and achievement of objectives;</w:t>
      </w:r>
    </w:p>
    <w:p w14:paraId="2C9EA624" w14:textId="37F90BA1" w:rsidR="00DE3AAD" w:rsidRPr="00F4758C" w:rsidRDefault="00DE3AAD">
      <w:pPr>
        <w:pStyle w:val="Paragraphedeliste"/>
        <w:numPr>
          <w:ilvl w:val="0"/>
          <w:numId w:val="11"/>
        </w:numPr>
        <w:rPr>
          <w:lang w:val="en-GB"/>
        </w:rPr>
      </w:pPr>
      <w:r w:rsidRPr="00F4758C">
        <w:rPr>
          <w:b/>
          <w:bCs/>
          <w:lang w:val="en-GB"/>
        </w:rPr>
        <w:t xml:space="preserve">Organising awareness-raising, training and cultural integration campaigns </w:t>
      </w:r>
      <w:r w:rsidRPr="00F4758C">
        <w:rPr>
          <w:lang w:val="en-GB"/>
        </w:rPr>
        <w:t xml:space="preserve">on digital accessibility for the various stakeholders and fostering their long-term development of skills, </w:t>
      </w:r>
      <w:r w:rsidR="007256CE" w:rsidRPr="00F4758C">
        <w:rPr>
          <w:lang w:val="en-GB"/>
        </w:rPr>
        <w:t xml:space="preserve">both </w:t>
      </w:r>
      <w:r w:rsidRPr="00F4758C">
        <w:rPr>
          <w:lang w:val="en-GB"/>
        </w:rPr>
        <w:t>methodologically and organisationally;</w:t>
      </w:r>
    </w:p>
    <w:p w14:paraId="5D588CFE" w14:textId="31A73942" w:rsidR="00DE3AAD" w:rsidRPr="00F4758C" w:rsidRDefault="00DE3AAD">
      <w:pPr>
        <w:pStyle w:val="Paragraphedeliste"/>
        <w:numPr>
          <w:ilvl w:val="0"/>
          <w:numId w:val="11"/>
        </w:numPr>
        <w:rPr>
          <w:lang w:val="en-GB"/>
        </w:rPr>
      </w:pPr>
      <w:r w:rsidRPr="00F4758C">
        <w:rPr>
          <w:b/>
          <w:bCs/>
          <w:lang w:val="en-GB"/>
        </w:rPr>
        <w:t xml:space="preserve">Monitor developments on an ongoing basis </w:t>
      </w:r>
      <w:r w:rsidRPr="00F4758C">
        <w:rPr>
          <w:lang w:val="en-GB"/>
        </w:rPr>
        <w:t xml:space="preserve">and adapt the digital accessibility policy to regulatory and standard-setting requirements, particularly in </w:t>
      </w:r>
      <w:r w:rsidR="00C16A87" w:rsidRPr="00F4758C">
        <w:rPr>
          <w:lang w:val="en-GB"/>
        </w:rPr>
        <w:t xml:space="preserve">terms </w:t>
      </w:r>
      <w:r w:rsidRPr="00F4758C">
        <w:rPr>
          <w:lang w:val="en-GB"/>
        </w:rPr>
        <w:t xml:space="preserve">of the resources to be </w:t>
      </w:r>
      <w:r w:rsidR="00321F26" w:rsidRPr="00F4758C">
        <w:rPr>
          <w:lang w:val="en-GB"/>
        </w:rPr>
        <w:t>deployed</w:t>
      </w:r>
      <w:r w:rsidRPr="00F4758C">
        <w:rPr>
          <w:lang w:val="en-GB"/>
        </w:rPr>
        <w:t>;</w:t>
      </w:r>
    </w:p>
    <w:p w14:paraId="2925C4EA" w14:textId="087C7644" w:rsidR="00DE3AAD" w:rsidRPr="00F4758C" w:rsidRDefault="00DE3AAD">
      <w:pPr>
        <w:pStyle w:val="Paragraphedeliste"/>
        <w:numPr>
          <w:ilvl w:val="0"/>
          <w:numId w:val="11"/>
        </w:numPr>
        <w:rPr>
          <w:lang w:val="en-GB"/>
        </w:rPr>
      </w:pPr>
      <w:r w:rsidRPr="00F4758C">
        <w:rPr>
          <w:b/>
          <w:bCs/>
          <w:lang w:val="en-GB"/>
        </w:rPr>
        <w:t xml:space="preserve">Provide appropriate </w:t>
      </w:r>
      <w:r w:rsidRPr="001F2368">
        <w:rPr>
          <w:b/>
          <w:bCs/>
          <w:lang w:val="en-GB"/>
        </w:rPr>
        <w:t xml:space="preserve">reporting </w:t>
      </w:r>
      <w:r w:rsidRPr="00F4758C">
        <w:rPr>
          <w:lang w:val="en-GB"/>
        </w:rPr>
        <w:t>to the various stakeholders.</w:t>
      </w:r>
    </w:p>
    <w:p w14:paraId="29001A47" w14:textId="7F77B452" w:rsidR="00DE3AAD" w:rsidRPr="00F4758C" w:rsidRDefault="00DE3AAD" w:rsidP="00DE3AAD">
      <w:pPr>
        <w:rPr>
          <w:lang w:val="en-GB" w:eastAsia="fr-FR"/>
        </w:rPr>
      </w:pPr>
      <w:r w:rsidRPr="00F4758C">
        <w:rPr>
          <w:lang w:val="en-GB" w:eastAsia="fr-FR"/>
        </w:rPr>
        <w:lastRenderedPageBreak/>
        <w:t xml:space="preserve">Several examples of job </w:t>
      </w:r>
      <w:r w:rsidR="00861CFD" w:rsidRPr="00F4758C">
        <w:rPr>
          <w:lang w:val="en-GB" w:eastAsia="fr-FR"/>
        </w:rPr>
        <w:t xml:space="preserve">descriptions for </w:t>
      </w:r>
      <w:r w:rsidRPr="00F4758C">
        <w:rPr>
          <w:lang w:val="en-GB" w:eastAsia="fr-FR"/>
        </w:rPr>
        <w:t xml:space="preserve">digital accessibility officers </w:t>
      </w:r>
      <w:r w:rsidR="00861CFD" w:rsidRPr="00F4758C">
        <w:rPr>
          <w:lang w:val="en-GB" w:eastAsia="fr-FR"/>
        </w:rPr>
        <w:t>(</w:t>
      </w:r>
      <w:r w:rsidRPr="00F4758C">
        <w:rPr>
          <w:lang w:val="en-GB" w:eastAsia="fr-FR"/>
        </w:rPr>
        <w:t>as well as for experts, consultants and testers</w:t>
      </w:r>
      <w:r w:rsidR="00861CFD" w:rsidRPr="00F4758C">
        <w:rPr>
          <w:lang w:val="en-GB" w:eastAsia="fr-FR"/>
        </w:rPr>
        <w:t xml:space="preserve">) </w:t>
      </w:r>
      <w:r w:rsidRPr="00F4758C">
        <w:rPr>
          <w:lang w:val="en-GB" w:eastAsia="fr-FR"/>
        </w:rPr>
        <w:t xml:space="preserve">are provided in the OPIIEC study </w:t>
      </w:r>
      <w:r w:rsidR="004C2DE0">
        <w:rPr>
          <w:lang w:val="en-GB" w:eastAsia="fr-FR"/>
        </w:rPr>
        <w:t>“</w:t>
      </w:r>
      <w:r w:rsidRPr="00F4758C">
        <w:rPr>
          <w:lang w:val="en-GB" w:eastAsia="fr-FR"/>
        </w:rPr>
        <w:t>Producing content and services that comply with digital accessibility standards</w:t>
      </w:r>
      <w:r w:rsidR="004C2DE0">
        <w:rPr>
          <w:lang w:val="en-GB" w:eastAsia="fr-FR"/>
        </w:rPr>
        <w:t>”</w:t>
      </w:r>
      <w:r>
        <w:rPr>
          <w:rStyle w:val="Appelnotedebasdep"/>
          <w:lang w:eastAsia="fr-FR"/>
        </w:rPr>
        <w:footnoteReference w:id="21"/>
      </w:r>
      <w:r w:rsidRPr="00F4758C">
        <w:rPr>
          <w:lang w:val="en-GB" w:eastAsia="fr-FR"/>
        </w:rPr>
        <w:t xml:space="preserve"> . </w:t>
      </w:r>
    </w:p>
    <w:p w14:paraId="793F453A" w14:textId="04F00F0F" w:rsidR="003630AF" w:rsidRPr="00F4758C" w:rsidRDefault="00DE3AAD" w:rsidP="00DE3AAD">
      <w:pPr>
        <w:rPr>
          <w:lang w:val="en-GB" w:eastAsia="fr-FR"/>
        </w:rPr>
      </w:pPr>
      <w:r w:rsidRPr="00F4758C">
        <w:rPr>
          <w:b/>
          <w:bCs/>
          <w:lang w:val="en-GB" w:eastAsia="fr-FR"/>
        </w:rPr>
        <w:t xml:space="preserve">Determining the reporting line for the digital accessibility lead </w:t>
      </w:r>
      <w:r w:rsidRPr="00F4758C">
        <w:rPr>
          <w:lang w:val="en-GB" w:eastAsia="fr-FR"/>
        </w:rPr>
        <w:t xml:space="preserve">is </w:t>
      </w:r>
      <w:r w:rsidR="00861CFD" w:rsidRPr="00F4758C">
        <w:rPr>
          <w:lang w:val="en-GB" w:eastAsia="fr-FR"/>
        </w:rPr>
        <w:t xml:space="preserve">the second </w:t>
      </w:r>
      <w:r w:rsidRPr="00F4758C">
        <w:rPr>
          <w:lang w:val="en-GB" w:eastAsia="fr-FR"/>
        </w:rPr>
        <w:t xml:space="preserve">key step in structuring the roadmap. For </w:t>
      </w:r>
      <w:r w:rsidR="001D5419" w:rsidRPr="00F4758C">
        <w:rPr>
          <w:lang w:val="en-GB" w:eastAsia="fr-FR"/>
        </w:rPr>
        <w:t xml:space="preserve">most </w:t>
      </w:r>
      <w:r w:rsidRPr="00F4758C">
        <w:rPr>
          <w:lang w:val="en-GB" w:eastAsia="fr-FR"/>
        </w:rPr>
        <w:t xml:space="preserve">organisations </w:t>
      </w:r>
      <w:r w:rsidR="007256CE" w:rsidRPr="00F4758C">
        <w:rPr>
          <w:lang w:val="en-GB" w:eastAsia="fr-FR"/>
        </w:rPr>
        <w:t>in the working group</w:t>
      </w:r>
      <w:r w:rsidRPr="00F4758C">
        <w:rPr>
          <w:lang w:val="en-GB" w:eastAsia="fr-FR"/>
        </w:rPr>
        <w:t xml:space="preserve">, digital accessibility </w:t>
      </w:r>
      <w:r w:rsidR="00861CFD" w:rsidRPr="00F4758C">
        <w:rPr>
          <w:lang w:val="en-GB" w:eastAsia="fr-FR"/>
        </w:rPr>
        <w:t xml:space="preserve">forms part of </w:t>
      </w:r>
      <w:r w:rsidRPr="00F4758C">
        <w:rPr>
          <w:lang w:val="en-GB" w:eastAsia="fr-FR"/>
        </w:rPr>
        <w:t xml:space="preserve">the inclusion policy underpinned by the HR department’s CSR strategies. The comprehensive accessibility approach is then integrated, in the same way as environmental eco-design, into a </w:t>
      </w:r>
      <w:r w:rsidR="004C2DE0">
        <w:rPr>
          <w:lang w:val="en-GB" w:eastAsia="fr-FR"/>
        </w:rPr>
        <w:t>“</w:t>
      </w:r>
      <w:r w:rsidRPr="00F4758C">
        <w:rPr>
          <w:lang w:val="en-GB" w:eastAsia="fr-FR"/>
        </w:rPr>
        <w:t>responsible digital design</w:t>
      </w:r>
      <w:r w:rsidR="004C2DE0">
        <w:rPr>
          <w:lang w:val="en-GB" w:eastAsia="fr-FR"/>
        </w:rPr>
        <w:t>”</w:t>
      </w:r>
      <w:r w:rsidRPr="00F4758C">
        <w:rPr>
          <w:lang w:val="en-GB" w:eastAsia="fr-FR"/>
        </w:rPr>
        <w:t xml:space="preserve"> framework applied to all the organisation’s products and services. </w:t>
      </w:r>
    </w:p>
    <w:p w14:paraId="03FCE466" w14:textId="0F0EB6E4" w:rsidR="00DE3AAD" w:rsidRPr="00F4758C" w:rsidRDefault="00DE3AAD" w:rsidP="00DE3AAD">
      <w:pPr>
        <w:rPr>
          <w:lang w:val="en-GB" w:eastAsia="fr-FR"/>
        </w:rPr>
      </w:pPr>
      <w:r w:rsidRPr="00F4758C">
        <w:rPr>
          <w:lang w:val="en-GB" w:eastAsia="fr-FR"/>
        </w:rPr>
        <w:t>Regardless of the model chosen and the department to which the lead officer is actually attached (IT, HR, CSR, Communications, Legal and Compliance</w:t>
      </w:r>
      <w:r w:rsidR="001D5419" w:rsidRPr="00F4758C">
        <w:rPr>
          <w:lang w:val="en-GB" w:eastAsia="fr-FR"/>
        </w:rPr>
        <w:t>, or other</w:t>
      </w:r>
      <w:r w:rsidRPr="00F4758C">
        <w:rPr>
          <w:lang w:val="en-GB" w:eastAsia="fr-FR"/>
        </w:rPr>
        <w:t xml:space="preserve">), the issue of accessibility must retain its cross-functional nature and engage the organisation’s various departments. </w:t>
      </w:r>
    </w:p>
    <w:p w14:paraId="68DAE54D" w14:textId="7D307BC3" w:rsidR="00B82EFD" w:rsidRPr="00F4758C" w:rsidRDefault="00DE3AAD" w:rsidP="00DE3AAD">
      <w:pPr>
        <w:rPr>
          <w:lang w:val="en-GB" w:eastAsia="fr-FR"/>
        </w:rPr>
      </w:pPr>
      <w:r w:rsidRPr="00F4758C">
        <w:rPr>
          <w:lang w:val="en-GB" w:eastAsia="fr-FR"/>
        </w:rPr>
        <w:t xml:space="preserve">The working group recommends, however, that the </w:t>
      </w:r>
      <w:r w:rsidR="007256CE" w:rsidRPr="00F4758C">
        <w:rPr>
          <w:lang w:val="en-GB" w:eastAsia="fr-FR"/>
        </w:rPr>
        <w:t>CSR</w:t>
      </w:r>
      <w:r w:rsidRPr="00F4758C">
        <w:rPr>
          <w:lang w:val="en-GB" w:eastAsia="fr-FR"/>
        </w:rPr>
        <w:t xml:space="preserve"> lead be positioned at a senior level (at Executive Committee level or reporting directly </w:t>
      </w:r>
      <w:r w:rsidR="007256CE" w:rsidRPr="00F4758C">
        <w:rPr>
          <w:lang w:val="en-GB" w:eastAsia="fr-FR"/>
        </w:rPr>
        <w:t>to the CSR function</w:t>
      </w:r>
      <w:r w:rsidRPr="00F4758C">
        <w:rPr>
          <w:lang w:val="en-GB" w:eastAsia="fr-FR"/>
        </w:rPr>
        <w:t xml:space="preserve">), as this is the only level that can guarantee the authority to make decisions, exert influence and carry out their duties, as well as access to resources and, </w:t>
      </w:r>
      <w:r w:rsidRPr="001F2368">
        <w:rPr>
          <w:lang w:val="en-GB" w:eastAsia="fr-FR"/>
        </w:rPr>
        <w:t>ultimately</w:t>
      </w:r>
      <w:r w:rsidRPr="00F4758C">
        <w:rPr>
          <w:lang w:val="en-GB" w:eastAsia="fr-FR"/>
        </w:rPr>
        <w:t>, the impetus required for a cross-functional approach.</w:t>
      </w:r>
      <w:r w:rsidR="00E732C2" w:rsidRPr="00F4758C">
        <w:rPr>
          <w:lang w:val="en-GB" w:eastAsia="fr-FR"/>
        </w:rPr>
        <w:t xml:space="preserve"> </w:t>
      </w:r>
      <w:r w:rsidR="00B82EFD" w:rsidRPr="00F4758C">
        <w:rPr>
          <w:lang w:val="en-GB" w:eastAsia="fr-FR"/>
        </w:rPr>
        <w:t>In some large organisations, digital accessibility is already, amongst other metrics, a criterion for awarding bonuses to Executive Committee members.</w:t>
      </w:r>
    </w:p>
    <w:p w14:paraId="01A6B395" w14:textId="5D57FEE4" w:rsidR="00347A74" w:rsidRPr="00F4758C" w:rsidRDefault="00DE3AAD">
      <w:pPr>
        <w:rPr>
          <w:lang w:val="en-GB" w:eastAsia="fr-FR"/>
        </w:rPr>
      </w:pPr>
      <w:r w:rsidRPr="00F4758C">
        <w:rPr>
          <w:lang w:val="en-GB" w:eastAsia="fr-FR"/>
        </w:rPr>
        <w:t xml:space="preserve">It should be noted that the RGAA regulations impose an obligation to have a digital accessibility lead, but do not restrict this to a single individual. It may also be a committee </w:t>
      </w:r>
      <w:r w:rsidR="00861CFD" w:rsidRPr="00F4758C">
        <w:rPr>
          <w:lang w:val="en-GB" w:eastAsia="fr-FR"/>
        </w:rPr>
        <w:t xml:space="preserve">or </w:t>
      </w:r>
      <w:r w:rsidRPr="00F4758C">
        <w:rPr>
          <w:lang w:val="en-GB" w:eastAsia="fr-FR"/>
        </w:rPr>
        <w:t xml:space="preserve">a network of leads. </w:t>
      </w:r>
      <w:bookmarkStart w:id="34" w:name="_Toc230257724"/>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977670" w:rsidRPr="00C43137" w14:paraId="6CACA2D2" w14:textId="77777777" w:rsidTr="00072B81">
        <w:trPr>
          <w:jc w:val="center"/>
        </w:trPr>
        <w:tc>
          <w:tcPr>
            <w:tcW w:w="9157" w:type="dxa"/>
            <w:tcBorders>
              <w:left w:val="single" w:sz="18" w:space="0" w:color="155E48"/>
            </w:tcBorders>
            <w:shd w:val="clear" w:color="auto" w:fill="F2F2F2" w:themeFill="background1" w:themeFillShade="F2"/>
          </w:tcPr>
          <w:p w14:paraId="3B618651" w14:textId="749EE04B" w:rsidR="00977670" w:rsidRPr="00F4758C" w:rsidRDefault="00681E5D" w:rsidP="00E00CED">
            <w:pPr>
              <w:pStyle w:val="TitreEncart"/>
              <w:rPr>
                <w:lang w:val="en-GB"/>
              </w:rPr>
            </w:pPr>
            <w:r w:rsidRPr="00F4758C">
              <w:rPr>
                <w:lang w:val="en-GB"/>
              </w:rPr>
              <w:lastRenderedPageBreak/>
              <w:t xml:space="preserve">Case Study: </w:t>
            </w:r>
            <w:r>
              <w:rPr>
                <w:lang w:val="en-GB"/>
              </w:rPr>
              <w:t xml:space="preserve"> </w:t>
            </w:r>
            <w:r w:rsidR="00977670" w:rsidRPr="00F4758C">
              <w:rPr>
                <w:lang w:val="en-GB"/>
              </w:rPr>
              <w:t>ENEDI</w:t>
            </w:r>
            <w:bookmarkEnd w:id="34"/>
            <w:r>
              <w:rPr>
                <w:lang w:val="en-GB"/>
              </w:rPr>
              <w:t>S</w:t>
            </w:r>
          </w:p>
          <w:p w14:paraId="276A990F" w14:textId="278D2486" w:rsidR="00977670" w:rsidRPr="00F4758C" w:rsidRDefault="00977670" w:rsidP="0033608D">
            <w:pPr>
              <w:pStyle w:val="TitreencartREX"/>
              <w:rPr>
                <w:lang w:val="en-GB"/>
              </w:rPr>
            </w:pPr>
            <w:r w:rsidRPr="00F4758C">
              <w:rPr>
                <w:lang w:val="en-GB"/>
              </w:rPr>
              <w:t>Role and responsibilities of Enedis</w:t>
            </w:r>
            <w:r w:rsidR="004C2DE0">
              <w:rPr>
                <w:lang w:val="en-GB"/>
              </w:rPr>
              <w:t xml:space="preserve">’ </w:t>
            </w:r>
            <w:r w:rsidRPr="00F4758C">
              <w:rPr>
                <w:lang w:val="en-GB"/>
              </w:rPr>
              <w:t>digital accessibility lead</w:t>
            </w:r>
          </w:p>
          <w:p w14:paraId="1799E2B4" w14:textId="58704584" w:rsidR="00FE2789" w:rsidRPr="00F4758C" w:rsidRDefault="00FE2789" w:rsidP="00347A74">
            <w:pPr>
              <w:pStyle w:val="Paragraphedeliste"/>
              <w:numPr>
                <w:ilvl w:val="0"/>
                <w:numId w:val="72"/>
              </w:numPr>
              <w:rPr>
                <w:lang w:val="en-GB"/>
              </w:rPr>
            </w:pPr>
            <w:r w:rsidRPr="00F4758C">
              <w:rPr>
                <w:b/>
                <w:bCs/>
                <w:lang w:val="en-GB"/>
              </w:rPr>
              <w:t>Overseeing digital accessibility audits of Enedis’</w:t>
            </w:r>
            <w:r w:rsidR="004C2DE0">
              <w:rPr>
                <w:b/>
                <w:bCs/>
                <w:lang w:val="en-GB"/>
              </w:rPr>
              <w:t xml:space="preserve"> </w:t>
            </w:r>
            <w:r w:rsidRPr="00F4758C">
              <w:rPr>
                <w:b/>
                <w:bCs/>
                <w:lang w:val="en-GB"/>
              </w:rPr>
              <w:t xml:space="preserve">websites </w:t>
            </w:r>
            <w:r w:rsidRPr="00F4758C">
              <w:rPr>
                <w:lang w:val="en-GB"/>
              </w:rPr>
              <w:t>(prioritising sites that are essential to users and the most frequently visited sites):</w:t>
            </w:r>
          </w:p>
          <w:p w14:paraId="059AD867" w14:textId="0E880144" w:rsidR="00FE2789" w:rsidRPr="00F4758C" w:rsidRDefault="00262FAF" w:rsidP="00347A74">
            <w:pPr>
              <w:rPr>
                <w:lang w:val="en-GB"/>
              </w:rPr>
            </w:pPr>
            <w:r>
              <w:rPr>
                <w:lang w:val="en-GB"/>
              </w:rPr>
              <w:t>“</w:t>
            </w:r>
            <w:r w:rsidR="00FE2789" w:rsidRPr="00F4758C">
              <w:rPr>
                <w:lang w:val="en-GB"/>
              </w:rPr>
              <w:t xml:space="preserve">Accessibility audits are carried out by specialist firms under a multi-supplier contract. </w:t>
            </w:r>
          </w:p>
          <w:p w14:paraId="206CA60F" w14:textId="619B94D2" w:rsidR="00FE2789" w:rsidRPr="00F4758C" w:rsidRDefault="00C26F62" w:rsidP="00347A74">
            <w:pPr>
              <w:rPr>
                <w:lang w:val="en-GB"/>
              </w:rPr>
            </w:pPr>
            <w:r w:rsidRPr="00F4758C">
              <w:rPr>
                <w:lang w:val="en-GB"/>
              </w:rPr>
              <w:t xml:space="preserve">They </w:t>
            </w:r>
            <w:r w:rsidR="00FE2789" w:rsidRPr="00F4758C">
              <w:rPr>
                <w:lang w:val="en-GB"/>
              </w:rPr>
              <w:t xml:space="preserve">are </w:t>
            </w:r>
            <w:r w:rsidRPr="00F4758C">
              <w:rPr>
                <w:lang w:val="en-GB"/>
              </w:rPr>
              <w:t xml:space="preserve">carried out on </w:t>
            </w:r>
            <w:r w:rsidR="00FE2789" w:rsidRPr="00F4758C">
              <w:rPr>
                <w:lang w:val="en-GB"/>
              </w:rPr>
              <w:t xml:space="preserve">priority websites and mobile apps: external digital services open to the public and internal digital services essential for Enedis </w:t>
            </w:r>
            <w:r w:rsidR="004C2DE0">
              <w:rPr>
                <w:lang w:val="en-GB"/>
              </w:rPr>
              <w:t>employees</w:t>
            </w:r>
            <w:r w:rsidR="00FE2789" w:rsidRPr="00F4758C">
              <w:rPr>
                <w:lang w:val="en-GB"/>
              </w:rPr>
              <w:t xml:space="preserve"> and service providers</w:t>
            </w:r>
            <w:r w:rsidR="004C2DE0">
              <w:rPr>
                <w:lang w:val="en-GB"/>
              </w:rPr>
              <w:t>.</w:t>
            </w:r>
          </w:p>
          <w:p w14:paraId="032B6199" w14:textId="490BC90D" w:rsidR="00FE2789" w:rsidRPr="00F4758C" w:rsidRDefault="00FE2789" w:rsidP="00347A74">
            <w:pPr>
              <w:rPr>
                <w:lang w:val="en-GB"/>
              </w:rPr>
            </w:pPr>
            <w:r w:rsidRPr="00F4758C">
              <w:rPr>
                <w:lang w:val="en-GB"/>
              </w:rPr>
              <w:t>As part of its</w:t>
            </w:r>
            <w:r w:rsidR="004C2DE0">
              <w:rPr>
                <w:lang w:val="en-GB"/>
              </w:rPr>
              <w:t xml:space="preserve"> ”</w:t>
            </w:r>
            <w:r w:rsidR="00321F26" w:rsidRPr="00F4758C">
              <w:rPr>
                <w:lang w:val="en-GB"/>
              </w:rPr>
              <w:t>Responsible Digital</w:t>
            </w:r>
            <w:r w:rsidR="004C2DE0">
              <w:rPr>
                <w:lang w:val="en-GB"/>
              </w:rPr>
              <w:t>”</w:t>
            </w:r>
            <w:r w:rsidR="00321F26" w:rsidRPr="00F4758C">
              <w:rPr>
                <w:lang w:val="en-GB"/>
              </w:rPr>
              <w:t xml:space="preserve"> </w:t>
            </w:r>
            <w:r w:rsidRPr="00F4758C">
              <w:rPr>
                <w:lang w:val="en-GB"/>
              </w:rPr>
              <w:t xml:space="preserve">certification, Enedis is committed to ensuring that the audited websites achieve a compliance rate of at least 70 per cent. </w:t>
            </w:r>
          </w:p>
          <w:p w14:paraId="406ED4E7" w14:textId="105968EC" w:rsidR="00FE2789" w:rsidRPr="00F4758C" w:rsidRDefault="00FE2789" w:rsidP="00347A74">
            <w:pPr>
              <w:pStyle w:val="Paragraphedeliste"/>
              <w:numPr>
                <w:ilvl w:val="0"/>
                <w:numId w:val="72"/>
              </w:numPr>
              <w:rPr>
                <w:b/>
                <w:bCs/>
                <w:lang w:val="en-GB"/>
              </w:rPr>
            </w:pPr>
            <w:r w:rsidRPr="00F4758C">
              <w:rPr>
                <w:b/>
                <w:bCs/>
                <w:lang w:val="en-GB"/>
              </w:rPr>
              <w:t>Drafting and publishing Enedis</w:t>
            </w:r>
            <w:r w:rsidR="004C2DE0">
              <w:rPr>
                <w:b/>
                <w:bCs/>
                <w:lang w:val="en-GB"/>
              </w:rPr>
              <w:t>’</w:t>
            </w:r>
            <w:r w:rsidRPr="00F4758C">
              <w:rPr>
                <w:b/>
                <w:bCs/>
                <w:lang w:val="en-GB"/>
              </w:rPr>
              <w:t xml:space="preserve"> multi-year plan:</w:t>
            </w:r>
          </w:p>
          <w:p w14:paraId="1CCB70F4" w14:textId="060F34E1" w:rsidR="00FE2789" w:rsidRPr="00F4758C" w:rsidRDefault="00FE2789" w:rsidP="00347A74">
            <w:pPr>
              <w:rPr>
                <w:lang w:val="en-GB"/>
              </w:rPr>
            </w:pPr>
            <w:r w:rsidRPr="00F4758C">
              <w:rPr>
                <w:lang w:val="en-GB"/>
              </w:rPr>
              <w:t>In 2024, Enedis published its first multi-year plan</w:t>
            </w:r>
            <w:r>
              <w:rPr>
                <w:rStyle w:val="Appelnotedebasdep"/>
              </w:rPr>
              <w:footnoteReference w:id="22"/>
            </w:r>
            <w:r w:rsidR="004C2DE0">
              <w:rPr>
                <w:lang w:val="en-GB"/>
              </w:rPr>
              <w:t xml:space="preserve"> </w:t>
            </w:r>
            <w:r w:rsidRPr="00F4758C">
              <w:rPr>
                <w:lang w:val="en-GB"/>
              </w:rPr>
              <w:t>(available on the corporate website enedis.fr). Every year</w:t>
            </w:r>
            <w:r w:rsidR="00C26F62" w:rsidRPr="00F4758C">
              <w:rPr>
                <w:lang w:val="en-GB"/>
              </w:rPr>
              <w:t xml:space="preserve">, </w:t>
            </w:r>
            <w:r w:rsidRPr="00F4758C">
              <w:rPr>
                <w:lang w:val="en-GB"/>
              </w:rPr>
              <w:t xml:space="preserve">Enedis publishes its action plan for the current year </w:t>
            </w:r>
            <w:r w:rsidR="00C26F62" w:rsidRPr="00F4758C">
              <w:rPr>
                <w:lang w:val="en-GB"/>
              </w:rPr>
              <w:t xml:space="preserve">as well as </w:t>
            </w:r>
            <w:r w:rsidRPr="00F4758C">
              <w:rPr>
                <w:lang w:val="en-GB"/>
              </w:rPr>
              <w:t>a review of the previous year’s action plan.</w:t>
            </w:r>
          </w:p>
          <w:p w14:paraId="43B8FA69" w14:textId="4E650471" w:rsidR="00FE2789" w:rsidRPr="00F4758C" w:rsidRDefault="00FE2789" w:rsidP="00347A74">
            <w:pPr>
              <w:rPr>
                <w:lang w:val="en-GB"/>
              </w:rPr>
            </w:pPr>
            <w:r w:rsidRPr="00F4758C">
              <w:rPr>
                <w:lang w:val="en-GB"/>
              </w:rPr>
              <w:t xml:space="preserve">The </w:t>
            </w:r>
            <w:r w:rsidR="00A25D43">
              <w:rPr>
                <w:lang w:val="en-GB"/>
              </w:rPr>
              <w:t>digital accessibility lead</w:t>
            </w:r>
            <w:r w:rsidRPr="00F4758C">
              <w:rPr>
                <w:lang w:val="en-GB"/>
              </w:rPr>
              <w:t xml:space="preserve"> is responsible for monitoring and publishing the progress reports and action plans. She will also be required to draft the multi-year plan for 2027–2029, in coordination with the Impact, Communication and Diversity Department</w:t>
            </w:r>
            <w:r w:rsidR="00C26F62" w:rsidRPr="00F4758C">
              <w:rPr>
                <w:lang w:val="en-GB"/>
              </w:rPr>
              <w:t>,</w:t>
            </w:r>
            <w:r w:rsidRPr="00F4758C">
              <w:rPr>
                <w:lang w:val="en-GB"/>
              </w:rPr>
              <w:t xml:space="preserve"> which is responsible for the </w:t>
            </w:r>
            <w:r w:rsidR="004B1B58" w:rsidRPr="00F4758C">
              <w:rPr>
                <w:lang w:val="en-GB"/>
              </w:rPr>
              <w:t>equipment</w:t>
            </w:r>
            <w:r w:rsidRPr="00F4758C">
              <w:rPr>
                <w:lang w:val="en-GB"/>
              </w:rPr>
              <w:t xml:space="preserve"> provision for the company’s employees with RQTH status.</w:t>
            </w:r>
          </w:p>
          <w:p w14:paraId="75C31D3E" w14:textId="5DC62BDB" w:rsidR="00FE2789" w:rsidRPr="00F4758C" w:rsidRDefault="00FE2789" w:rsidP="00347A74">
            <w:pPr>
              <w:pStyle w:val="Paragraphedeliste"/>
              <w:numPr>
                <w:ilvl w:val="0"/>
                <w:numId w:val="72"/>
              </w:numPr>
              <w:rPr>
                <w:b/>
                <w:bCs/>
                <w:lang w:val="en-GB"/>
              </w:rPr>
            </w:pPr>
            <w:r w:rsidRPr="00F4758C">
              <w:rPr>
                <w:b/>
                <w:bCs/>
                <w:lang w:val="en-GB"/>
              </w:rPr>
              <w:t>Ensuring the smooth progress of commitments 7 and 12 of the Responsible Digital label:</w:t>
            </w:r>
          </w:p>
          <w:p w14:paraId="6412582F" w14:textId="35664FF1" w:rsidR="00FE2789" w:rsidRPr="00F4758C" w:rsidRDefault="00FE2789" w:rsidP="00347A74">
            <w:pPr>
              <w:rPr>
                <w:lang w:val="en-GB"/>
              </w:rPr>
            </w:pPr>
            <w:r w:rsidRPr="00F4758C">
              <w:rPr>
                <w:lang w:val="en-GB"/>
              </w:rPr>
              <w:t xml:space="preserve">The </w:t>
            </w:r>
            <w:r w:rsidR="00A25D43">
              <w:rPr>
                <w:lang w:val="en-GB"/>
              </w:rPr>
              <w:t>digital accessibility lead</w:t>
            </w:r>
            <w:r w:rsidR="00A25D43" w:rsidRPr="00F4758C">
              <w:rPr>
                <w:lang w:val="en-GB"/>
              </w:rPr>
              <w:t xml:space="preserve"> </w:t>
            </w:r>
            <w:r w:rsidRPr="00F4758C">
              <w:rPr>
                <w:lang w:val="en-GB"/>
              </w:rPr>
              <w:t xml:space="preserve">ensures that commitments 7 and 12 (see section on digital accessibility commitments under the Responsible Digital label </w:t>
            </w:r>
            <w:r w:rsidR="00321F26" w:rsidRPr="00F4758C">
              <w:rPr>
                <w:lang w:val="en-GB"/>
              </w:rPr>
              <w:t>on page</w:t>
            </w:r>
            <w:r w:rsidR="00875CEE" w:rsidRPr="00F4758C">
              <w:rPr>
                <w:lang w:val="en-GB"/>
              </w:rPr>
              <w:t xml:space="preserve"> 20</w:t>
            </w:r>
            <w:r w:rsidRPr="00F4758C">
              <w:rPr>
                <w:lang w:val="en-GB"/>
              </w:rPr>
              <w:t>) are progressing in line with the timetable and objectives set by the Responsible Digital Programme.</w:t>
            </w:r>
          </w:p>
          <w:p w14:paraId="2ECDF0EC" w14:textId="4D3D3AF1" w:rsidR="00FE2789" w:rsidRPr="00F4758C" w:rsidRDefault="003C2B41" w:rsidP="00347A74">
            <w:pPr>
              <w:pStyle w:val="Paragraphedeliste"/>
              <w:numPr>
                <w:ilvl w:val="0"/>
                <w:numId w:val="72"/>
              </w:numPr>
              <w:rPr>
                <w:b/>
                <w:bCs/>
                <w:lang w:val="en-GB"/>
              </w:rPr>
            </w:pPr>
            <w:r w:rsidRPr="003C2B41">
              <w:rPr>
                <w:b/>
                <w:bCs/>
                <w:lang w:val="en-GB"/>
              </w:rPr>
              <w:t>Sensitise the</w:t>
            </w:r>
            <w:r>
              <w:rPr>
                <w:b/>
                <w:bCs/>
                <w:lang w:val="en-GB"/>
              </w:rPr>
              <w:t xml:space="preserve"> IT</w:t>
            </w:r>
            <w:r w:rsidRPr="003C2B41">
              <w:rPr>
                <w:b/>
                <w:bCs/>
                <w:lang w:val="en-GB"/>
              </w:rPr>
              <w:t xml:space="preserve"> "makers</w:t>
            </w:r>
            <w:r>
              <w:rPr>
                <w:b/>
                <w:bCs/>
                <w:lang w:val="en-GB"/>
              </w:rPr>
              <w:t>”</w:t>
            </w:r>
            <w:r w:rsidRPr="003C2B41">
              <w:rPr>
                <w:b/>
                <w:bCs/>
                <w:lang w:val="en-GB"/>
              </w:rPr>
              <w:t xml:space="preserve"> to digital accessibility</w:t>
            </w:r>
            <w:r>
              <w:rPr>
                <w:b/>
                <w:bCs/>
                <w:lang w:val="en-GB"/>
              </w:rPr>
              <w:t>:</w:t>
            </w:r>
          </w:p>
          <w:p w14:paraId="2DA04C27" w14:textId="044D8BE4" w:rsidR="00FE2789" w:rsidRPr="00F4758C" w:rsidRDefault="00FE2789" w:rsidP="00347A74">
            <w:pPr>
              <w:rPr>
                <w:lang w:val="en-GB"/>
              </w:rPr>
            </w:pPr>
            <w:r w:rsidRPr="00F4758C">
              <w:rPr>
                <w:lang w:val="en-GB"/>
              </w:rPr>
              <w:t xml:space="preserve">The </w:t>
            </w:r>
            <w:r w:rsidR="00A25D43">
              <w:rPr>
                <w:lang w:val="en-GB"/>
              </w:rPr>
              <w:t>digital accessibility lead</w:t>
            </w:r>
            <w:r w:rsidR="00A25D43" w:rsidRPr="00F4758C">
              <w:rPr>
                <w:lang w:val="en-GB"/>
              </w:rPr>
              <w:t xml:space="preserve"> </w:t>
            </w:r>
            <w:r w:rsidRPr="00F4758C">
              <w:rPr>
                <w:lang w:val="en-GB"/>
              </w:rPr>
              <w:t xml:space="preserve">organises a monthly two-hour session on the topic of digital accessibility, open to all staff and contractors within Enedis’ IT department. This awareness-raising initiative has </w:t>
            </w:r>
            <w:r w:rsidR="00A338D9" w:rsidRPr="00F4758C">
              <w:rPr>
                <w:lang w:val="en-GB"/>
              </w:rPr>
              <w:t>three objectives</w:t>
            </w:r>
            <w:r w:rsidR="00DD2D5E" w:rsidRPr="00F4758C">
              <w:rPr>
                <w:lang w:val="en-GB"/>
              </w:rPr>
              <w:t xml:space="preserve">: </w:t>
            </w:r>
            <w:r w:rsidR="00A338D9" w:rsidRPr="00F4758C">
              <w:rPr>
                <w:lang w:val="en-GB"/>
              </w:rPr>
              <w:t xml:space="preserve">to explain the </w:t>
            </w:r>
            <w:r w:rsidR="003C2B41">
              <w:rPr>
                <w:lang w:val="en-GB"/>
              </w:rPr>
              <w:t>“</w:t>
            </w:r>
            <w:r w:rsidR="00DD2D5E" w:rsidRPr="00F4758C">
              <w:rPr>
                <w:lang w:val="en-GB"/>
              </w:rPr>
              <w:t>why</w:t>
            </w:r>
            <w:r w:rsidR="003C2B41">
              <w:rPr>
                <w:lang w:val="en-GB"/>
              </w:rPr>
              <w:t>”</w:t>
            </w:r>
            <w:r w:rsidR="00DD2D5E" w:rsidRPr="00F4758C">
              <w:rPr>
                <w:lang w:val="en-GB"/>
              </w:rPr>
              <w:t xml:space="preserve"> </w:t>
            </w:r>
            <w:r w:rsidR="00A338D9" w:rsidRPr="00F4758C">
              <w:rPr>
                <w:lang w:val="en-GB"/>
              </w:rPr>
              <w:t xml:space="preserve">behind digital accessibility and the challenges it presents; to clarify </w:t>
            </w:r>
            <w:r w:rsidR="003C2B41">
              <w:rPr>
                <w:lang w:val="en-GB"/>
              </w:rPr>
              <w:t>“</w:t>
            </w:r>
            <w:r w:rsidR="00A338D9" w:rsidRPr="00F4758C">
              <w:rPr>
                <w:lang w:val="en-GB"/>
              </w:rPr>
              <w:t>who</w:t>
            </w:r>
            <w:r w:rsidR="003C2B41">
              <w:rPr>
                <w:lang w:val="en-GB"/>
              </w:rPr>
              <w:t>”</w:t>
            </w:r>
            <w:r w:rsidR="00A338D9" w:rsidRPr="00F4758C">
              <w:rPr>
                <w:lang w:val="en-GB"/>
              </w:rPr>
              <w:t xml:space="preserve"> </w:t>
            </w:r>
            <w:r w:rsidRPr="00F4758C">
              <w:rPr>
                <w:lang w:val="en-GB"/>
              </w:rPr>
              <w:t>is responsible for ensuring digital accessibility</w:t>
            </w:r>
            <w:r w:rsidR="00A338D9" w:rsidRPr="00F4758C">
              <w:rPr>
                <w:lang w:val="en-GB"/>
              </w:rPr>
              <w:t xml:space="preserve">; </w:t>
            </w:r>
            <w:r w:rsidR="00DD2D5E" w:rsidRPr="00F4758C">
              <w:rPr>
                <w:lang w:val="en-GB"/>
              </w:rPr>
              <w:t xml:space="preserve">and </w:t>
            </w:r>
            <w:r w:rsidR="00807EA3" w:rsidRPr="00F4758C">
              <w:rPr>
                <w:lang w:val="en-GB"/>
              </w:rPr>
              <w:t xml:space="preserve">to present </w:t>
            </w:r>
            <w:r w:rsidRPr="00F4758C">
              <w:rPr>
                <w:lang w:val="en-GB"/>
              </w:rPr>
              <w:t>the tools available to ensure that digital projects and services are as accessible as possible.</w:t>
            </w:r>
          </w:p>
          <w:p w14:paraId="5E390FDE" w14:textId="77777777" w:rsidR="008D0F0D" w:rsidRPr="00F4758C" w:rsidRDefault="00FE2789" w:rsidP="008D0F0D">
            <w:pPr>
              <w:rPr>
                <w:lang w:val="en-GB"/>
              </w:rPr>
            </w:pPr>
            <w:r w:rsidRPr="00F4758C">
              <w:rPr>
                <w:lang w:val="en-GB"/>
              </w:rPr>
              <w:t xml:space="preserve">In addition to these awareness-raising sessions, the Responsible Digital programme organises monthly 30-minute webinars on various topics related to Responsible Digital. </w:t>
            </w:r>
          </w:p>
          <w:p w14:paraId="02DEF847" w14:textId="77777777" w:rsidR="008D0F0D" w:rsidRPr="00F4758C" w:rsidRDefault="008D0F0D" w:rsidP="008D0F0D">
            <w:pPr>
              <w:rPr>
                <w:lang w:val="en-GB"/>
              </w:rPr>
            </w:pPr>
          </w:p>
          <w:p w14:paraId="123F0250" w14:textId="246CF425" w:rsidR="00FE2789" w:rsidRDefault="00FE2789" w:rsidP="008D0F0D">
            <w:r>
              <w:t xml:space="preserve">Examples </w:t>
            </w:r>
            <w:r w:rsidR="00B93F72">
              <w:t>of webinars</w:t>
            </w:r>
            <w:r>
              <w:t>:</w:t>
            </w:r>
          </w:p>
          <w:p w14:paraId="16486F56" w14:textId="3AD73DA6" w:rsidR="00FE2789" w:rsidRPr="00F4758C" w:rsidRDefault="003C2B41" w:rsidP="00347A74">
            <w:pPr>
              <w:pStyle w:val="Paragraphedeliste"/>
              <w:keepNext/>
              <w:keepLines/>
              <w:numPr>
                <w:ilvl w:val="0"/>
                <w:numId w:val="64"/>
              </w:numPr>
              <w:ind w:left="714" w:hanging="357"/>
              <w:contextualSpacing w:val="0"/>
              <w:rPr>
                <w:lang w:val="en-GB"/>
              </w:rPr>
            </w:pPr>
            <w:r>
              <w:rPr>
                <w:lang w:val="en-GB"/>
              </w:rPr>
              <w:lastRenderedPageBreak/>
              <w:t>“</w:t>
            </w:r>
            <w:r w:rsidR="00FE2789" w:rsidRPr="00F4758C">
              <w:rPr>
                <w:lang w:val="en-GB"/>
              </w:rPr>
              <w:t xml:space="preserve">The RQTH scheme and digital </w:t>
            </w:r>
            <w:r w:rsidR="00DC3602" w:rsidRPr="00F4758C">
              <w:rPr>
                <w:lang w:val="en-GB"/>
              </w:rPr>
              <w:t>accessibility</w:t>
            </w:r>
            <w:r>
              <w:rPr>
                <w:lang w:val="en-GB"/>
              </w:rPr>
              <w:t>”</w:t>
            </w:r>
            <w:r w:rsidR="00FE2789" w:rsidRPr="00F4758C">
              <w:rPr>
                <w:lang w:val="en-GB"/>
              </w:rPr>
              <w:t>;</w:t>
            </w:r>
          </w:p>
          <w:p w14:paraId="73E3F986" w14:textId="05DE1FF9" w:rsidR="00FE2789" w:rsidRPr="00F4758C" w:rsidRDefault="003C2B41" w:rsidP="00347A74">
            <w:pPr>
              <w:pStyle w:val="Paragraphedeliste"/>
              <w:keepNext/>
              <w:keepLines/>
              <w:numPr>
                <w:ilvl w:val="0"/>
                <w:numId w:val="64"/>
              </w:numPr>
              <w:ind w:left="714" w:hanging="357"/>
              <w:contextualSpacing w:val="0"/>
              <w:rPr>
                <w:lang w:val="en-GB"/>
              </w:rPr>
            </w:pPr>
            <w:r>
              <w:rPr>
                <w:lang w:val="en-GB"/>
              </w:rPr>
              <w:t>“</w:t>
            </w:r>
            <w:r w:rsidR="00FE2789" w:rsidRPr="00F4758C">
              <w:rPr>
                <w:lang w:val="en-GB"/>
              </w:rPr>
              <w:t>Information overload and digital collaboration: feedback from the Centre-Val de Loire Regional Directorate</w:t>
            </w:r>
            <w:r>
              <w:rPr>
                <w:lang w:val="en-GB"/>
              </w:rPr>
              <w:t>”</w:t>
            </w:r>
            <w:r w:rsidR="00FE2789" w:rsidRPr="00F4758C">
              <w:rPr>
                <w:lang w:val="en-GB"/>
              </w:rPr>
              <w:t>;</w:t>
            </w:r>
          </w:p>
          <w:p w14:paraId="0BE88E3B" w14:textId="1D0D97AC" w:rsidR="00FE2789" w:rsidRPr="00F4758C" w:rsidRDefault="00FE2789" w:rsidP="00347A74">
            <w:pPr>
              <w:pStyle w:val="Paragraphedeliste"/>
              <w:keepNext/>
              <w:keepLines/>
              <w:numPr>
                <w:ilvl w:val="0"/>
                <w:numId w:val="64"/>
              </w:numPr>
              <w:ind w:left="714" w:hanging="357"/>
              <w:contextualSpacing w:val="0"/>
              <w:rPr>
                <w:lang w:val="en-GB"/>
              </w:rPr>
            </w:pPr>
            <w:r w:rsidRPr="00F4758C">
              <w:rPr>
                <w:lang w:val="en-GB"/>
              </w:rPr>
              <w:t>“Designing useful, sustainable and accessible digital solutions: analysis and testimonials from IT project teams</w:t>
            </w:r>
            <w:r w:rsidR="00DC3602" w:rsidRPr="00F4758C">
              <w:rPr>
                <w:lang w:val="en-GB"/>
              </w:rPr>
              <w:t>”.</w:t>
            </w:r>
          </w:p>
          <w:p w14:paraId="73A52D58" w14:textId="565D380A" w:rsidR="00FE2789" w:rsidRPr="00F4758C" w:rsidRDefault="00FE2789" w:rsidP="00347A74">
            <w:pPr>
              <w:pStyle w:val="Paragraphedeliste"/>
              <w:keepNext/>
              <w:keepLines/>
              <w:numPr>
                <w:ilvl w:val="0"/>
                <w:numId w:val="72"/>
              </w:numPr>
              <w:rPr>
                <w:b/>
                <w:bCs/>
                <w:lang w:val="en-GB"/>
              </w:rPr>
            </w:pPr>
            <w:r w:rsidRPr="00F4758C">
              <w:rPr>
                <w:b/>
                <w:bCs/>
                <w:lang w:val="en-GB"/>
              </w:rPr>
              <w:t>Commissioning DINUM’s flash accessibility audits</w:t>
            </w:r>
            <w:r w:rsidR="00B93F72">
              <w:rPr>
                <w:rStyle w:val="Appelnotedebasdep"/>
                <w:b/>
                <w:bCs/>
              </w:rPr>
              <w:footnoteReference w:id="23"/>
            </w:r>
            <w:r w:rsidRPr="00F4758C">
              <w:rPr>
                <w:b/>
                <w:bCs/>
                <w:lang w:val="en-GB"/>
              </w:rPr>
              <w:t xml:space="preserve"> for IT projects as part of responsible design:</w:t>
            </w:r>
          </w:p>
          <w:p w14:paraId="22C986DA" w14:textId="4F487A26" w:rsidR="00FE2789" w:rsidRPr="00F4758C" w:rsidRDefault="00FE2789" w:rsidP="00347A74">
            <w:pPr>
              <w:keepNext/>
              <w:keepLines/>
              <w:rPr>
                <w:lang w:val="en-GB"/>
              </w:rPr>
            </w:pPr>
            <w:r w:rsidRPr="00F4758C">
              <w:rPr>
                <w:lang w:val="en-GB"/>
              </w:rPr>
              <w:t xml:space="preserve">The Responsible Digital programme supports projects in adopting responsible design. At Enedis, responsible design is defined as taking into account eco-design principles and digital accessibility guidelines. </w:t>
            </w:r>
          </w:p>
          <w:p w14:paraId="49A3E9CF" w14:textId="0BEB7332" w:rsidR="00FE2789" w:rsidRPr="00F4758C" w:rsidRDefault="00FE2789" w:rsidP="00347A74">
            <w:pPr>
              <w:rPr>
                <w:lang w:val="en-GB"/>
              </w:rPr>
            </w:pPr>
            <w:r w:rsidRPr="00F4758C">
              <w:rPr>
                <w:lang w:val="en-GB"/>
              </w:rPr>
              <w:t xml:space="preserve">In this context, the accessibility lead supports projects in carrying out flash </w:t>
            </w:r>
            <w:r w:rsidR="004B1B58" w:rsidRPr="00F4758C">
              <w:rPr>
                <w:lang w:val="en-GB"/>
              </w:rPr>
              <w:t>assessments</w:t>
            </w:r>
            <w:r w:rsidRPr="00F4758C">
              <w:rPr>
                <w:lang w:val="en-GB"/>
              </w:rPr>
              <w:t>, at the very least as part of their technical acceptance testing, prior to conducting a full accessibility audit where necessary.</w:t>
            </w:r>
          </w:p>
          <w:p w14:paraId="304D932D" w14:textId="6FF5D7B0" w:rsidR="00FE2789" w:rsidRPr="00F4758C" w:rsidRDefault="00FE2789" w:rsidP="00347A74">
            <w:pPr>
              <w:rPr>
                <w:b/>
                <w:bCs/>
                <w:lang w:val="en-GB"/>
              </w:rPr>
            </w:pPr>
            <w:r w:rsidRPr="00F4758C">
              <w:rPr>
                <w:b/>
                <w:bCs/>
                <w:lang w:val="en-GB"/>
              </w:rPr>
              <w:t>Ambitions for the future:</w:t>
            </w:r>
          </w:p>
          <w:p w14:paraId="2B13EB2F" w14:textId="537D7B5A" w:rsidR="00FE2789" w:rsidRPr="00F4758C" w:rsidRDefault="00FE2789" w:rsidP="00347A74">
            <w:pPr>
              <w:rPr>
                <w:lang w:val="en-GB"/>
              </w:rPr>
            </w:pPr>
            <w:r w:rsidRPr="00F4758C">
              <w:rPr>
                <w:lang w:val="en-GB"/>
              </w:rPr>
              <w:t>At present, the issue of digital accessibility is managed by the Responsible Digitalisation programme</w:t>
            </w:r>
            <w:r w:rsidR="00B93F72" w:rsidRPr="00F4758C">
              <w:rPr>
                <w:lang w:val="en-GB"/>
              </w:rPr>
              <w:t xml:space="preserve">, </w:t>
            </w:r>
            <w:r w:rsidRPr="00F4758C">
              <w:rPr>
                <w:lang w:val="en-GB"/>
              </w:rPr>
              <w:t>and in particular by the digital accessibility lead</w:t>
            </w:r>
            <w:r w:rsidR="00B93F72" w:rsidRPr="00F4758C">
              <w:rPr>
                <w:lang w:val="en-GB"/>
              </w:rPr>
              <w:t xml:space="preserve">, </w:t>
            </w:r>
            <w:r w:rsidRPr="00F4758C">
              <w:rPr>
                <w:lang w:val="en-GB"/>
              </w:rPr>
              <w:t>across the whole of Enedis.</w:t>
            </w:r>
          </w:p>
          <w:p w14:paraId="363228A4" w14:textId="512964A3" w:rsidR="00FE2789" w:rsidRPr="00F4758C" w:rsidRDefault="00FE2789" w:rsidP="00347A74">
            <w:pPr>
              <w:rPr>
                <w:lang w:val="en-GB"/>
              </w:rPr>
            </w:pPr>
            <w:r w:rsidRPr="00F4758C">
              <w:rPr>
                <w:lang w:val="en-GB"/>
              </w:rPr>
              <w:t xml:space="preserve">Once the roll-out of responsible digitalisation on an industrial scale and the digital programme </w:t>
            </w:r>
            <w:r w:rsidR="00B93F72" w:rsidRPr="00F4758C">
              <w:rPr>
                <w:lang w:val="en-GB"/>
              </w:rPr>
              <w:t>have been completed</w:t>
            </w:r>
            <w:r w:rsidRPr="00F4758C">
              <w:rPr>
                <w:lang w:val="en-GB"/>
              </w:rPr>
              <w:t>, the IT Department aims to set up a dedicated accessibility team comprising the lead and technical specialists capable of carrying out compliance audits and supporting projects through to completion.</w:t>
            </w:r>
          </w:p>
          <w:p w14:paraId="560F17BA" w14:textId="536A9B25" w:rsidR="00FE2789" w:rsidRPr="00F4758C" w:rsidRDefault="00FE2789" w:rsidP="00347A74">
            <w:pPr>
              <w:rPr>
                <w:lang w:val="en-GB"/>
              </w:rPr>
            </w:pPr>
            <w:r w:rsidRPr="00F4758C">
              <w:rPr>
                <w:lang w:val="en-GB"/>
              </w:rPr>
              <w:t>It will also be necessary to continue raising awareness and providing training for all IT and business project teams, as well as to monitor and disseminate information on technological and regulatory developments.</w:t>
            </w:r>
            <w:r w:rsidR="00262FAF">
              <w:rPr>
                <w:lang w:val="en-GB"/>
              </w:rPr>
              <w:t>”</w:t>
            </w:r>
          </w:p>
          <w:p w14:paraId="325D5623" w14:textId="77777777" w:rsidR="00646CD1" w:rsidRPr="00F4758C" w:rsidRDefault="00646CD1" w:rsidP="00347A74">
            <w:pPr>
              <w:rPr>
                <w:lang w:val="en-GB"/>
              </w:rPr>
            </w:pPr>
          </w:p>
          <w:p w14:paraId="07193255" w14:textId="74282AA7" w:rsidR="00977670" w:rsidRPr="00C43137" w:rsidRDefault="00977670" w:rsidP="00347A74">
            <w:pPr>
              <w:jc w:val="right"/>
            </w:pPr>
            <w:r>
              <w:rPr>
                <w:b/>
                <w:bCs/>
              </w:rPr>
              <w:t>Claire Quintanar</w:t>
            </w:r>
            <w:r>
              <w:t xml:space="preserve">, </w:t>
            </w:r>
            <w:r w:rsidRPr="00977670">
              <w:t xml:space="preserve">Responsible Digital Programme Lead at </w:t>
            </w:r>
            <w:r w:rsidRPr="00F755EB">
              <w:rPr>
                <w:b/>
                <w:bCs/>
              </w:rPr>
              <w:t>ENEDIS</w:t>
            </w:r>
          </w:p>
        </w:tc>
      </w:tr>
    </w:tbl>
    <w:p w14:paraId="3CA864FA" w14:textId="6ECD0C81" w:rsidR="00817CAD" w:rsidRDefault="00817CAD" w:rsidP="00DE3AAD">
      <w:pPr>
        <w:rPr>
          <w:lang w:eastAsia="fr-FR"/>
        </w:rPr>
      </w:pPr>
    </w:p>
    <w:p w14:paraId="4B65ADB2" w14:textId="77777777" w:rsidR="00817CAD" w:rsidRDefault="00817CAD">
      <w:pPr>
        <w:spacing w:after="160" w:line="259" w:lineRule="auto"/>
        <w:jc w:val="left"/>
        <w:rPr>
          <w:lang w:eastAsia="fr-FR"/>
        </w:rPr>
      </w:pPr>
      <w:r>
        <w:rPr>
          <w:lang w:eastAsia="fr-FR"/>
        </w:rPr>
        <w:br w:type="page"/>
      </w:r>
    </w:p>
    <w:p w14:paraId="5E1BAEBE" w14:textId="0B458C0A" w:rsidR="00914B3B" w:rsidRPr="00F4758C" w:rsidRDefault="00DE3AAD" w:rsidP="00DE3AAD">
      <w:pPr>
        <w:pStyle w:val="Titre2"/>
        <w:rPr>
          <w:lang w:val="en-GB"/>
        </w:rPr>
      </w:pPr>
      <w:bookmarkStart w:id="35" w:name="_Toc230077010"/>
      <w:bookmarkEnd w:id="33"/>
      <w:r w:rsidRPr="00F4758C">
        <w:rPr>
          <w:lang w:val="en-GB"/>
        </w:rPr>
        <w:lastRenderedPageBreak/>
        <w:t>Structuring the approach and establishing dedicated governance</w:t>
      </w:r>
      <w:bookmarkEnd w:id="35"/>
    </w:p>
    <w:p w14:paraId="53D3D107" w14:textId="1371C698" w:rsidR="00DE3AAD" w:rsidRPr="00F4758C" w:rsidRDefault="00483DC4" w:rsidP="00DE3AAD">
      <w:pPr>
        <w:rPr>
          <w:lang w:val="en-GB" w:eastAsia="fr-FR"/>
        </w:rPr>
      </w:pPr>
      <w:r w:rsidRPr="00F4758C">
        <w:rPr>
          <w:lang w:val="en-GB" w:eastAsia="fr-FR"/>
        </w:rPr>
        <w:t xml:space="preserve">As digital technology permeates business processes and users’ day-to-day lives, the establishment of accessibility governance has become essential. The sheer volume of digital services within organisations now justifies a structured approach to meet the needs of every user. </w:t>
      </w:r>
      <w:r w:rsidR="003630AF" w:rsidRPr="00F4758C">
        <w:rPr>
          <w:lang w:val="en-GB" w:eastAsia="fr-FR"/>
        </w:rPr>
        <w:t xml:space="preserve">This </w:t>
      </w:r>
      <w:r w:rsidR="00292C8A" w:rsidRPr="00F4758C">
        <w:rPr>
          <w:lang w:val="en-GB" w:eastAsia="fr-FR"/>
        </w:rPr>
        <w:t>dedicated</w:t>
      </w:r>
      <w:r w:rsidR="00DE3AAD" w:rsidRPr="00F4758C">
        <w:rPr>
          <w:lang w:val="en-GB" w:eastAsia="fr-FR"/>
        </w:rPr>
        <w:t xml:space="preserve"> governance framework </w:t>
      </w:r>
      <w:r w:rsidR="003630AF" w:rsidRPr="00F4758C">
        <w:rPr>
          <w:lang w:val="en-GB" w:eastAsia="fr-FR"/>
        </w:rPr>
        <w:t xml:space="preserve">aims to </w:t>
      </w:r>
      <w:r w:rsidR="00DE3AAD" w:rsidRPr="00F4758C">
        <w:rPr>
          <w:lang w:val="en-GB" w:eastAsia="fr-FR"/>
        </w:rPr>
        <w:t xml:space="preserve">organise </w:t>
      </w:r>
      <w:r w:rsidR="003630AF" w:rsidRPr="00F4758C">
        <w:rPr>
          <w:lang w:val="en-GB" w:eastAsia="fr-FR"/>
        </w:rPr>
        <w:t>the coordination</w:t>
      </w:r>
      <w:r w:rsidR="00DE3AAD" w:rsidRPr="00F4758C">
        <w:rPr>
          <w:lang w:val="en-GB" w:eastAsia="fr-FR"/>
        </w:rPr>
        <w:t xml:space="preserve">, </w:t>
      </w:r>
      <w:r w:rsidR="003630AF" w:rsidRPr="00F4758C">
        <w:rPr>
          <w:lang w:val="en-GB" w:eastAsia="fr-FR"/>
        </w:rPr>
        <w:t xml:space="preserve">management </w:t>
      </w:r>
      <w:r w:rsidR="00DE3AAD" w:rsidRPr="00F4758C">
        <w:rPr>
          <w:lang w:val="en-GB" w:eastAsia="fr-FR"/>
        </w:rPr>
        <w:t xml:space="preserve">and </w:t>
      </w:r>
      <w:r w:rsidR="00D97A9B" w:rsidRPr="00F4758C">
        <w:rPr>
          <w:lang w:val="en-GB" w:eastAsia="fr-FR"/>
        </w:rPr>
        <w:t xml:space="preserve">tools required to </w:t>
      </w:r>
      <w:r w:rsidR="00DE3AAD" w:rsidRPr="00F4758C">
        <w:rPr>
          <w:lang w:val="en-GB" w:eastAsia="fr-FR"/>
        </w:rPr>
        <w:t xml:space="preserve">scale up accessibility. It must </w:t>
      </w:r>
      <w:r w:rsidR="00292C8A" w:rsidRPr="00F4758C">
        <w:rPr>
          <w:lang w:val="en-GB" w:eastAsia="fr-FR"/>
        </w:rPr>
        <w:t xml:space="preserve">provide </w:t>
      </w:r>
      <w:r w:rsidR="00DE3AAD" w:rsidRPr="00F4758C">
        <w:rPr>
          <w:lang w:val="en-GB" w:eastAsia="fr-FR"/>
        </w:rPr>
        <w:t xml:space="preserve">a clear, shared and dynamic </w:t>
      </w:r>
      <w:r w:rsidR="00292C8A" w:rsidRPr="00F4758C">
        <w:rPr>
          <w:lang w:val="en-GB" w:eastAsia="fr-FR"/>
        </w:rPr>
        <w:t xml:space="preserve">framework that addresses </w:t>
      </w:r>
      <w:r w:rsidR="00DE3AAD" w:rsidRPr="00F4758C">
        <w:rPr>
          <w:lang w:val="en-GB" w:eastAsia="fr-FR"/>
        </w:rPr>
        <w:t xml:space="preserve">the need for cross-functional collaboration. </w:t>
      </w:r>
      <w:r w:rsidR="007256CE" w:rsidRPr="00F4758C">
        <w:rPr>
          <w:lang w:val="en-GB" w:eastAsia="fr-FR"/>
        </w:rPr>
        <w:t xml:space="preserve">It must not be solely a matter </w:t>
      </w:r>
      <w:r w:rsidR="00272ECA" w:rsidRPr="00F4758C">
        <w:rPr>
          <w:lang w:val="en-GB" w:eastAsia="fr-FR"/>
        </w:rPr>
        <w:t>for the digital department</w:t>
      </w:r>
      <w:r w:rsidR="007256CE" w:rsidRPr="00F4758C">
        <w:rPr>
          <w:lang w:val="en-GB" w:eastAsia="fr-FR"/>
        </w:rPr>
        <w:t>.</w:t>
      </w:r>
    </w:p>
    <w:p w14:paraId="1DB9FC0A" w14:textId="7A18BA14" w:rsidR="00CF35D6" w:rsidRDefault="00DE3AAD" w:rsidP="00DE3AAD">
      <w:pPr>
        <w:rPr>
          <w:lang w:eastAsia="fr-FR"/>
        </w:rPr>
      </w:pPr>
      <w:r w:rsidRPr="00F4758C">
        <w:rPr>
          <w:lang w:val="en-GB" w:eastAsia="fr-FR"/>
        </w:rPr>
        <w:t>The technical framework outlined is</w:t>
      </w:r>
      <w:r w:rsidR="00B93F72" w:rsidRPr="00F4758C">
        <w:rPr>
          <w:lang w:val="en-GB" w:eastAsia="fr-FR"/>
        </w:rPr>
        <w:t xml:space="preserve">, </w:t>
      </w:r>
      <w:r w:rsidRPr="00F4758C">
        <w:rPr>
          <w:lang w:val="en-GB" w:eastAsia="fr-FR"/>
        </w:rPr>
        <w:t>in certain respects</w:t>
      </w:r>
      <w:r w:rsidR="00B93F72" w:rsidRPr="00F4758C">
        <w:rPr>
          <w:lang w:val="en-GB" w:eastAsia="fr-FR"/>
        </w:rPr>
        <w:t xml:space="preserve">, </w:t>
      </w:r>
      <w:r w:rsidRPr="00F4758C">
        <w:rPr>
          <w:lang w:val="en-GB" w:eastAsia="fr-FR"/>
        </w:rPr>
        <w:t xml:space="preserve">prescriptive, with the aim </w:t>
      </w:r>
      <w:r w:rsidR="00292C8A" w:rsidRPr="00F4758C">
        <w:rPr>
          <w:lang w:val="en-GB" w:eastAsia="fr-FR"/>
        </w:rPr>
        <w:t xml:space="preserve">of ensuring compliance </w:t>
      </w:r>
      <w:r w:rsidRPr="00F4758C">
        <w:rPr>
          <w:lang w:val="en-GB" w:eastAsia="fr-FR"/>
        </w:rPr>
        <w:t xml:space="preserve">with </w:t>
      </w:r>
      <w:r w:rsidR="00CF35D6" w:rsidRPr="00F4758C">
        <w:rPr>
          <w:lang w:val="en-GB" w:eastAsia="fr-FR"/>
        </w:rPr>
        <w:t>users’</w:t>
      </w:r>
      <w:r w:rsidRPr="00F4758C">
        <w:rPr>
          <w:lang w:val="en-GB" w:eastAsia="fr-FR"/>
        </w:rPr>
        <w:t xml:space="preserve"> rights and legal obligations. </w:t>
      </w:r>
      <w:r w:rsidR="00CF35D6">
        <w:rPr>
          <w:lang w:eastAsia="fr-FR"/>
        </w:rPr>
        <w:t xml:space="preserve">As such, dedicated governance encompasses: </w:t>
      </w:r>
    </w:p>
    <w:p w14:paraId="7094274F" w14:textId="7F204091" w:rsidR="00CF35D6" w:rsidRPr="00F4758C" w:rsidRDefault="00CF35D6">
      <w:pPr>
        <w:pStyle w:val="Paragraphedeliste"/>
        <w:numPr>
          <w:ilvl w:val="0"/>
          <w:numId w:val="57"/>
        </w:numPr>
        <w:rPr>
          <w:lang w:val="en-GB" w:eastAsia="fr-FR"/>
        </w:rPr>
      </w:pPr>
      <w:r w:rsidRPr="00F4758C">
        <w:rPr>
          <w:lang w:val="en-GB" w:eastAsia="fr-FR"/>
        </w:rPr>
        <w:t>Compliance with the legislative framework</w:t>
      </w:r>
      <w:r w:rsidR="00272ECA" w:rsidRPr="00F4758C">
        <w:rPr>
          <w:lang w:val="en-GB" w:eastAsia="fr-FR"/>
        </w:rPr>
        <w:t xml:space="preserve">: </w:t>
      </w:r>
      <w:r w:rsidR="001459B6" w:rsidRPr="00F4758C">
        <w:rPr>
          <w:lang w:val="en-GB" w:eastAsia="fr-FR"/>
        </w:rPr>
        <w:t xml:space="preserve">implementation of Directive (EU) 2019/882, known as </w:t>
      </w:r>
      <w:r w:rsidR="001459B6" w:rsidRPr="00146BDE">
        <w:rPr>
          <w:lang w:val="en-GB" w:eastAsia="fr-FR"/>
        </w:rPr>
        <w:t>the European Accessibility Act</w:t>
      </w:r>
      <w:r w:rsidR="00146BDE">
        <w:rPr>
          <w:lang w:val="en-GB" w:eastAsia="fr-FR"/>
        </w:rPr>
        <w:t xml:space="preserve"> </w:t>
      </w:r>
      <w:r w:rsidR="001459B6" w:rsidRPr="00146BDE">
        <w:rPr>
          <w:lang w:val="en-GB" w:eastAsia="fr-FR"/>
        </w:rPr>
        <w:t>(</w:t>
      </w:r>
      <w:r w:rsidR="001459B6" w:rsidRPr="00F4758C">
        <w:rPr>
          <w:lang w:val="en-GB" w:eastAsia="fr-FR"/>
        </w:rPr>
        <w:t>EAA), transposed into national law in 2023 and in force since June 2025</w:t>
      </w:r>
      <w:r w:rsidRPr="00F4758C">
        <w:rPr>
          <w:lang w:val="en-GB" w:eastAsia="fr-FR"/>
        </w:rPr>
        <w:t>;</w:t>
      </w:r>
    </w:p>
    <w:p w14:paraId="7F36D943" w14:textId="5C505634" w:rsidR="00CF35D6" w:rsidRPr="00F4758C" w:rsidRDefault="00CF35D6">
      <w:pPr>
        <w:pStyle w:val="Paragraphedeliste"/>
        <w:numPr>
          <w:ilvl w:val="0"/>
          <w:numId w:val="57"/>
        </w:numPr>
        <w:rPr>
          <w:lang w:val="en-GB" w:eastAsia="fr-FR"/>
        </w:rPr>
      </w:pPr>
      <w:r w:rsidRPr="00F4758C">
        <w:rPr>
          <w:lang w:val="en-GB" w:eastAsia="fr-FR"/>
        </w:rPr>
        <w:t xml:space="preserve">Technical compliance: alignment with reference standards (RGAA or </w:t>
      </w:r>
      <w:r w:rsidR="00E732C2" w:rsidRPr="00F4758C">
        <w:rPr>
          <w:lang w:val="en-GB" w:eastAsia="fr-FR"/>
        </w:rPr>
        <w:t>WCAG</w:t>
      </w:r>
      <w:r w:rsidRPr="00F4758C">
        <w:rPr>
          <w:lang w:val="en-GB" w:eastAsia="fr-FR"/>
        </w:rPr>
        <w:t>);</w:t>
      </w:r>
    </w:p>
    <w:p w14:paraId="2489B186" w14:textId="0D464750" w:rsidR="00CF35D6" w:rsidRPr="00F4758C" w:rsidRDefault="00CF35D6">
      <w:pPr>
        <w:pStyle w:val="Paragraphedeliste"/>
        <w:numPr>
          <w:ilvl w:val="0"/>
          <w:numId w:val="57"/>
        </w:numPr>
        <w:rPr>
          <w:lang w:val="en-GB" w:eastAsia="fr-FR"/>
        </w:rPr>
      </w:pPr>
      <w:r w:rsidRPr="00F4758C">
        <w:rPr>
          <w:lang w:val="en-GB" w:eastAsia="fr-FR"/>
        </w:rPr>
        <w:t>Regulatory management: drawing up the multi-year accessibility implementation plan and accessibility statements;</w:t>
      </w:r>
    </w:p>
    <w:p w14:paraId="679BE2D4" w14:textId="0CE4EE83" w:rsidR="00CF35D6" w:rsidRPr="00F4758C" w:rsidRDefault="00CF35D6">
      <w:pPr>
        <w:pStyle w:val="Paragraphedeliste"/>
        <w:numPr>
          <w:ilvl w:val="0"/>
          <w:numId w:val="57"/>
        </w:numPr>
        <w:rPr>
          <w:lang w:val="en-GB" w:eastAsia="fr-FR"/>
        </w:rPr>
      </w:pPr>
      <w:r w:rsidRPr="00F4758C">
        <w:rPr>
          <w:lang w:val="en-GB" w:eastAsia="fr-FR"/>
        </w:rPr>
        <w:t>Digital transparency: management of mandatory notices and pages across all websites and services.</w:t>
      </w:r>
    </w:p>
    <w:p w14:paraId="6EBDFE00" w14:textId="7DD5584E" w:rsidR="00483DC4" w:rsidRPr="00F4758C" w:rsidRDefault="00483DC4" w:rsidP="00DE3AAD">
      <w:pPr>
        <w:rPr>
          <w:lang w:val="en-GB" w:eastAsia="fr-FR"/>
        </w:rPr>
      </w:pPr>
      <w:r w:rsidRPr="00F4758C">
        <w:rPr>
          <w:lang w:val="en-GB" w:eastAsia="fr-FR"/>
        </w:rPr>
        <w:t xml:space="preserve">However, the primary purpose of this governance framework is to sustainably foster a collective drive to promote accessibility. Rather than prioritising purely reactive compliance at a specific </w:t>
      </w:r>
      <w:r w:rsidR="003C2B41">
        <w:rPr>
          <w:lang w:val="en-GB" w:eastAsia="fr-FR"/>
        </w:rPr>
        <w:t>“</w:t>
      </w:r>
      <w:r w:rsidRPr="00F4758C">
        <w:rPr>
          <w:lang w:val="en-GB" w:eastAsia="fr-FR"/>
        </w:rPr>
        <w:t xml:space="preserve">point in </w:t>
      </w:r>
      <w:r w:rsidR="00B93F72" w:rsidRPr="00F4758C">
        <w:rPr>
          <w:lang w:val="en-GB" w:eastAsia="fr-FR"/>
        </w:rPr>
        <w:t>time</w:t>
      </w:r>
      <w:r w:rsidR="003C2B41">
        <w:rPr>
          <w:lang w:val="en-GB" w:eastAsia="fr-FR"/>
        </w:rPr>
        <w:t>”</w:t>
      </w:r>
      <w:r w:rsidRPr="00F4758C">
        <w:rPr>
          <w:lang w:val="en-GB" w:eastAsia="fr-FR"/>
        </w:rPr>
        <w:t xml:space="preserve">, the aim is to cultivate a proactive mindset. The key challenge is to gradually build a robust and sustainable corporate culture, transforming accessibility into a shared reflex across the entire organisation. </w:t>
      </w:r>
    </w:p>
    <w:p w14:paraId="0113A245" w14:textId="07C6BFF0" w:rsidR="00DE3AAD" w:rsidRPr="00F4758C" w:rsidRDefault="00DE3AAD" w:rsidP="00DE3AAD">
      <w:pPr>
        <w:rPr>
          <w:lang w:val="en-GB" w:eastAsia="fr-FR"/>
        </w:rPr>
      </w:pPr>
      <w:r w:rsidRPr="00F4758C">
        <w:rPr>
          <w:lang w:val="en-GB" w:eastAsia="fr-FR"/>
        </w:rPr>
        <w:t xml:space="preserve">To achieve this, the establishment of a governance framework dedicated to accessibility must take into account, simultaneously, a strong organisational foundation (1), a detailed understanding of the digital scope (2), short- and medium-term operational preparedness (3) and a committee structure that effectively brings together the various stakeholders (4). </w:t>
      </w:r>
    </w:p>
    <w:p w14:paraId="4B20A253" w14:textId="3F75649D" w:rsidR="00DE3AAD" w:rsidRDefault="00DE3AAD" w:rsidP="00DE3AAD">
      <w:pPr>
        <w:pStyle w:val="Titre3"/>
      </w:pPr>
      <w:bookmarkStart w:id="36" w:name="_Toc230077011"/>
      <w:r w:rsidRPr="00DE3AAD">
        <w:t>Organisational anchoring</w:t>
      </w:r>
      <w:bookmarkEnd w:id="36"/>
    </w:p>
    <w:p w14:paraId="6126AE67" w14:textId="1AD4A615" w:rsidR="000B4261" w:rsidRPr="00F4758C" w:rsidRDefault="00DE3AAD" w:rsidP="00DE3AAD">
      <w:pPr>
        <w:rPr>
          <w:lang w:val="en-GB" w:eastAsia="fr-FR"/>
        </w:rPr>
      </w:pPr>
      <w:r w:rsidRPr="00F4758C">
        <w:rPr>
          <w:b/>
          <w:bCs/>
          <w:lang w:val="en-GB" w:eastAsia="fr-FR"/>
        </w:rPr>
        <w:t xml:space="preserve">The aim is to ensure that digital accessibility </w:t>
      </w:r>
      <w:r w:rsidR="00296B57" w:rsidRPr="00F4758C">
        <w:rPr>
          <w:b/>
          <w:bCs/>
          <w:lang w:val="en-GB" w:eastAsia="fr-FR"/>
        </w:rPr>
        <w:t>has</w:t>
      </w:r>
      <w:r w:rsidRPr="00F4758C">
        <w:rPr>
          <w:b/>
          <w:bCs/>
          <w:lang w:val="en-GB" w:eastAsia="fr-FR"/>
        </w:rPr>
        <w:t xml:space="preserve"> a relevant organisational affiliation</w:t>
      </w:r>
      <w:r w:rsidR="00296B57" w:rsidRPr="00F4758C">
        <w:rPr>
          <w:b/>
          <w:bCs/>
          <w:lang w:val="en-GB" w:eastAsia="fr-FR"/>
        </w:rPr>
        <w:t xml:space="preserve">, </w:t>
      </w:r>
      <w:r w:rsidRPr="00F4758C">
        <w:rPr>
          <w:b/>
          <w:bCs/>
          <w:lang w:val="en-GB" w:eastAsia="fr-FR"/>
        </w:rPr>
        <w:t>supported by high-level sponsorship</w:t>
      </w:r>
      <w:r w:rsidRPr="00F4758C">
        <w:rPr>
          <w:lang w:val="en-GB" w:eastAsia="fr-FR"/>
        </w:rPr>
        <w:t xml:space="preserve">, in </w:t>
      </w:r>
      <w:r w:rsidR="00296B57" w:rsidRPr="00F4758C">
        <w:rPr>
          <w:lang w:val="en-GB" w:eastAsia="fr-FR"/>
        </w:rPr>
        <w:t>order to</w:t>
      </w:r>
      <w:r w:rsidRPr="00F4758C">
        <w:rPr>
          <w:lang w:val="en-GB" w:eastAsia="fr-FR"/>
        </w:rPr>
        <w:t xml:space="preserve"> legitimise the initiative and mobilise a sufficient number of cross-functional contacts at the appropriate hierarchical level. </w:t>
      </w:r>
    </w:p>
    <w:p w14:paraId="78FB4FB0" w14:textId="47FE2C52" w:rsidR="00DE3AAD" w:rsidRPr="00F4758C" w:rsidRDefault="00DE3AAD" w:rsidP="00DE3AAD">
      <w:pPr>
        <w:rPr>
          <w:lang w:val="en-GB" w:eastAsia="fr-FR"/>
        </w:rPr>
      </w:pPr>
      <w:r w:rsidRPr="00F4758C">
        <w:rPr>
          <w:lang w:val="en-GB" w:eastAsia="fr-FR"/>
        </w:rPr>
        <w:t xml:space="preserve">There are </w:t>
      </w:r>
      <w:r w:rsidR="00B93F72" w:rsidRPr="00F4758C">
        <w:rPr>
          <w:lang w:val="en-GB" w:eastAsia="fr-FR"/>
        </w:rPr>
        <w:t>several</w:t>
      </w:r>
      <w:r w:rsidRPr="00F4758C">
        <w:rPr>
          <w:lang w:val="en-GB" w:eastAsia="fr-FR"/>
        </w:rPr>
        <w:t xml:space="preserve"> ways </w:t>
      </w:r>
      <w:r w:rsidR="007A19A7" w:rsidRPr="00F4758C">
        <w:rPr>
          <w:lang w:val="en-GB" w:eastAsia="fr-FR"/>
        </w:rPr>
        <w:t xml:space="preserve">to embed </w:t>
      </w:r>
      <w:r w:rsidRPr="00F4758C">
        <w:rPr>
          <w:lang w:val="en-GB" w:eastAsia="fr-FR"/>
        </w:rPr>
        <w:t xml:space="preserve">the concept of digital accessibility </w:t>
      </w:r>
      <w:r w:rsidR="007A19A7" w:rsidRPr="00F4758C">
        <w:rPr>
          <w:lang w:val="en-GB" w:eastAsia="fr-FR"/>
        </w:rPr>
        <w:t xml:space="preserve">firmly </w:t>
      </w:r>
      <w:r w:rsidRPr="00F4758C">
        <w:rPr>
          <w:lang w:val="en-GB" w:eastAsia="fr-FR"/>
        </w:rPr>
        <w:t xml:space="preserve">in people’s mindsets and </w:t>
      </w:r>
      <w:r w:rsidR="007A19A7" w:rsidRPr="00F4758C">
        <w:rPr>
          <w:lang w:val="en-GB" w:eastAsia="fr-FR"/>
        </w:rPr>
        <w:t>practices</w:t>
      </w:r>
      <w:r w:rsidRPr="00F4758C">
        <w:rPr>
          <w:lang w:val="en-GB" w:eastAsia="fr-FR"/>
        </w:rPr>
        <w:t xml:space="preserve">. In this regard, demonstrating accessible websites or giving key stakeholders a first-hand experience of living with a disability can play a decisive role </w:t>
      </w:r>
      <w:r w:rsidR="007A19A7" w:rsidRPr="00F4758C">
        <w:rPr>
          <w:lang w:val="en-GB" w:eastAsia="fr-FR"/>
        </w:rPr>
        <w:t xml:space="preserve">in fostering </w:t>
      </w:r>
      <w:r w:rsidRPr="00F4758C">
        <w:rPr>
          <w:lang w:val="en-GB" w:eastAsia="fr-FR"/>
        </w:rPr>
        <w:t>understanding, adoption and commitment to the digital accessibility approach.</w:t>
      </w:r>
    </w:p>
    <w:p w14:paraId="5C2D086C" w14:textId="12092FE6" w:rsidR="00DE3AAD" w:rsidRPr="00F4758C" w:rsidRDefault="00DE3AAD" w:rsidP="00DE3AAD">
      <w:pPr>
        <w:rPr>
          <w:lang w:val="en-GB" w:eastAsia="fr-FR"/>
        </w:rPr>
      </w:pPr>
      <w:r w:rsidRPr="00F4758C">
        <w:rPr>
          <w:b/>
          <w:bCs/>
          <w:lang w:val="en-GB" w:eastAsia="fr-FR"/>
        </w:rPr>
        <w:lastRenderedPageBreak/>
        <w:t xml:space="preserve">The relationship between digital accessibility governance and other forms of governance </w:t>
      </w:r>
      <w:r w:rsidR="000B4261" w:rsidRPr="00F4758C">
        <w:rPr>
          <w:b/>
          <w:bCs/>
          <w:lang w:val="en-GB" w:eastAsia="fr-FR"/>
        </w:rPr>
        <w:t xml:space="preserve">must be consistent </w:t>
      </w:r>
      <w:r w:rsidRPr="00F4758C">
        <w:rPr>
          <w:lang w:val="en-GB" w:eastAsia="fr-FR"/>
        </w:rPr>
        <w:t xml:space="preserve">(at departmental or group level) </w:t>
      </w:r>
      <w:r w:rsidR="000B4261" w:rsidRPr="00F4758C">
        <w:rPr>
          <w:lang w:val="en-GB" w:eastAsia="fr-FR"/>
        </w:rPr>
        <w:t xml:space="preserve">and </w:t>
      </w:r>
      <w:r w:rsidRPr="00F4758C">
        <w:rPr>
          <w:lang w:val="en-GB" w:eastAsia="fr-FR"/>
        </w:rPr>
        <w:t xml:space="preserve">constitute a key focus to </w:t>
      </w:r>
      <w:r w:rsidR="000B4261" w:rsidRPr="00F4758C">
        <w:rPr>
          <w:lang w:val="en-GB" w:eastAsia="fr-FR"/>
        </w:rPr>
        <w:t xml:space="preserve">ensure </w:t>
      </w:r>
      <w:r w:rsidRPr="00F4758C">
        <w:rPr>
          <w:lang w:val="en-GB" w:eastAsia="fr-FR"/>
        </w:rPr>
        <w:t>the effectiveness of the initiative and defuse any organisational or interpersonal conflict.</w:t>
      </w:r>
    </w:p>
    <w:p w14:paraId="00C35D3E" w14:textId="5404554C" w:rsidR="00DE3AAD" w:rsidRPr="00F4758C" w:rsidRDefault="00DE3AAD" w:rsidP="00DE3AAD">
      <w:pPr>
        <w:rPr>
          <w:lang w:val="en-GB" w:eastAsia="fr-FR"/>
        </w:rPr>
      </w:pPr>
      <w:r w:rsidRPr="00F4758C">
        <w:rPr>
          <w:b/>
          <w:bCs/>
          <w:lang w:val="en-GB" w:eastAsia="fr-FR"/>
        </w:rPr>
        <w:t xml:space="preserve">Finally, care must be taken to ensure that digital accessibility is integrated </w:t>
      </w:r>
      <w:r w:rsidR="000B4261" w:rsidRPr="00F4758C">
        <w:rPr>
          <w:b/>
          <w:bCs/>
          <w:lang w:val="en-GB" w:eastAsia="fr-FR"/>
        </w:rPr>
        <w:t xml:space="preserve">into </w:t>
      </w:r>
      <w:r w:rsidRPr="00F4758C">
        <w:rPr>
          <w:b/>
          <w:bCs/>
          <w:lang w:val="en-GB" w:eastAsia="fr-FR"/>
        </w:rPr>
        <w:t xml:space="preserve">the group’s CSR strategy </w:t>
      </w:r>
      <w:r w:rsidRPr="00F4758C">
        <w:rPr>
          <w:lang w:val="en-GB" w:eastAsia="fr-FR"/>
        </w:rPr>
        <w:t xml:space="preserve">as well as into disability agreements </w:t>
      </w:r>
      <w:r w:rsidR="007256CE" w:rsidRPr="00F4758C">
        <w:rPr>
          <w:lang w:val="en-GB" w:eastAsia="fr-FR"/>
        </w:rPr>
        <w:t>(HR department)</w:t>
      </w:r>
      <w:r w:rsidRPr="00F4758C">
        <w:rPr>
          <w:lang w:val="en-GB" w:eastAsia="fr-FR"/>
        </w:rPr>
        <w:t>, so that it becomes a cross-cutting and structuring lever.</w:t>
      </w:r>
    </w:p>
    <w:p w14:paraId="1757F631" w14:textId="4229B335" w:rsidR="00DE3AAD" w:rsidRPr="00F4758C" w:rsidRDefault="00DE3AAD" w:rsidP="00DE3AAD">
      <w:pPr>
        <w:pStyle w:val="Titre3"/>
        <w:rPr>
          <w:lang w:val="en-GB"/>
        </w:rPr>
      </w:pPr>
      <w:bookmarkStart w:id="37" w:name="_Toc230077012"/>
      <w:r w:rsidRPr="00F4758C">
        <w:rPr>
          <w:lang w:val="en-GB"/>
        </w:rPr>
        <w:t>Understanding the digital scope and policy</w:t>
      </w:r>
      <w:bookmarkEnd w:id="37"/>
      <w:r w:rsidRPr="00F4758C">
        <w:rPr>
          <w:lang w:val="en-GB"/>
        </w:rPr>
        <w:t xml:space="preserve"> </w:t>
      </w:r>
    </w:p>
    <w:p w14:paraId="6AA2DE1D" w14:textId="04791197" w:rsidR="00DE3AAD" w:rsidRPr="00F4758C" w:rsidRDefault="00DE3AAD" w:rsidP="00DE3AAD">
      <w:pPr>
        <w:rPr>
          <w:lang w:val="en-GB" w:eastAsia="fr-FR"/>
        </w:rPr>
      </w:pPr>
      <w:r w:rsidRPr="00F4758C">
        <w:rPr>
          <w:lang w:val="en-GB" w:eastAsia="fr-FR"/>
        </w:rPr>
        <w:t xml:space="preserve">The digital accessibility policy led by the designated representative is based on </w:t>
      </w:r>
      <w:r w:rsidRPr="00F4758C">
        <w:rPr>
          <w:b/>
          <w:bCs/>
          <w:lang w:val="en-GB" w:eastAsia="fr-FR"/>
        </w:rPr>
        <w:t xml:space="preserve">a preliminary analysis of the relevant digital scope, the target audiences for the initiative, and the key internal stakeholders to be involved </w:t>
      </w:r>
      <w:r w:rsidRPr="00F4758C">
        <w:rPr>
          <w:lang w:val="en-GB" w:eastAsia="fr-FR"/>
        </w:rPr>
        <w:t>(CIO, Procurement, HR, Legal, etc.).</w:t>
      </w:r>
      <w:r w:rsidR="00E732C2" w:rsidRPr="00F4758C">
        <w:rPr>
          <w:lang w:val="en-GB" w:eastAsia="fr-FR"/>
        </w:rPr>
        <w:t xml:space="preserve"> </w:t>
      </w:r>
      <w:r w:rsidR="00B93F72" w:rsidRPr="00F4758C">
        <w:rPr>
          <w:lang w:val="en-GB" w:eastAsia="fr-FR"/>
        </w:rPr>
        <w:t xml:space="preserve">For Cigref member organisations, </w:t>
      </w:r>
      <w:r w:rsidR="00E732C2" w:rsidRPr="00F4758C">
        <w:rPr>
          <w:lang w:val="en-GB" w:eastAsia="fr-FR"/>
        </w:rPr>
        <w:t>this approach forms part of the ongoing process of drafting the multi-year digital accessibility plan.</w:t>
      </w:r>
    </w:p>
    <w:p w14:paraId="667FD30B" w14:textId="34B456E5" w:rsidR="00DE3AAD" w:rsidRPr="00F4758C" w:rsidRDefault="00DE3AAD" w:rsidP="00DE3AAD">
      <w:pPr>
        <w:rPr>
          <w:lang w:val="en-GB" w:eastAsia="fr-FR"/>
        </w:rPr>
      </w:pPr>
      <w:r w:rsidRPr="00F4758C">
        <w:rPr>
          <w:lang w:val="en-GB" w:eastAsia="fr-FR"/>
        </w:rPr>
        <w:t xml:space="preserve">This mapping exercise </w:t>
      </w:r>
      <w:r w:rsidR="00783F87" w:rsidRPr="00F4758C">
        <w:rPr>
          <w:lang w:val="en-GB" w:eastAsia="fr-FR"/>
        </w:rPr>
        <w:t xml:space="preserve">enables </w:t>
      </w:r>
      <w:r w:rsidR="00F805F6" w:rsidRPr="00F4758C">
        <w:rPr>
          <w:lang w:val="en-GB" w:eastAsia="fr-FR"/>
        </w:rPr>
        <w:t xml:space="preserve">the lead officer </w:t>
      </w:r>
      <w:r w:rsidR="00783F87" w:rsidRPr="00F4758C">
        <w:rPr>
          <w:lang w:val="en-GB" w:eastAsia="fr-FR"/>
        </w:rPr>
        <w:t xml:space="preserve">to identify the </w:t>
      </w:r>
      <w:r w:rsidRPr="00F4758C">
        <w:rPr>
          <w:lang w:val="en-GB" w:eastAsia="fr-FR"/>
        </w:rPr>
        <w:t xml:space="preserve">current level of accessibility </w:t>
      </w:r>
      <w:r w:rsidR="00CC6D59" w:rsidRPr="00F4758C">
        <w:rPr>
          <w:lang w:val="en-GB" w:eastAsia="fr-FR"/>
        </w:rPr>
        <w:t xml:space="preserve">and </w:t>
      </w:r>
      <w:r w:rsidRPr="00F4758C">
        <w:rPr>
          <w:lang w:val="en-GB" w:eastAsia="fr-FR"/>
        </w:rPr>
        <w:t>areas for improvement</w:t>
      </w:r>
      <w:r w:rsidR="00CC6D59" w:rsidRPr="00F4758C">
        <w:rPr>
          <w:lang w:val="en-GB" w:eastAsia="fr-FR"/>
        </w:rPr>
        <w:t xml:space="preserve">, </w:t>
      </w:r>
      <w:r w:rsidR="00783F87" w:rsidRPr="00F4758C">
        <w:rPr>
          <w:lang w:val="en-GB" w:eastAsia="fr-FR"/>
        </w:rPr>
        <w:t xml:space="preserve">before prioritising </w:t>
      </w:r>
      <w:r w:rsidRPr="00F4758C">
        <w:rPr>
          <w:lang w:val="en-GB" w:eastAsia="fr-FR"/>
        </w:rPr>
        <w:t>projects based on criteria such as the number of users affected</w:t>
      </w:r>
      <w:r w:rsidR="00483DC4" w:rsidRPr="00F4758C">
        <w:rPr>
          <w:lang w:val="en-GB" w:eastAsia="fr-FR"/>
        </w:rPr>
        <w:t xml:space="preserve">, </w:t>
      </w:r>
      <w:r w:rsidRPr="00F4758C">
        <w:rPr>
          <w:lang w:val="en-GB" w:eastAsia="fr-FR"/>
        </w:rPr>
        <w:t>the criticality of the activities involved</w:t>
      </w:r>
      <w:r w:rsidR="00483DC4" w:rsidRPr="00F4758C">
        <w:rPr>
          <w:lang w:val="en-GB" w:eastAsia="fr-FR"/>
        </w:rPr>
        <w:t xml:space="preserve">, or whether </w:t>
      </w:r>
      <w:r w:rsidRPr="00F4758C">
        <w:rPr>
          <w:lang w:val="en-GB" w:eastAsia="fr-FR"/>
        </w:rPr>
        <w:t xml:space="preserve">the required fixes </w:t>
      </w:r>
      <w:r w:rsidR="00483DC4" w:rsidRPr="00F4758C">
        <w:rPr>
          <w:lang w:val="en-GB" w:eastAsia="fr-FR"/>
        </w:rPr>
        <w:t>are critical or not</w:t>
      </w:r>
      <w:r w:rsidRPr="00F4758C">
        <w:rPr>
          <w:lang w:val="en-GB" w:eastAsia="fr-FR"/>
        </w:rPr>
        <w:t xml:space="preserve">. </w:t>
      </w:r>
    </w:p>
    <w:p w14:paraId="50D04781" w14:textId="544792EB" w:rsidR="00DE3AAD" w:rsidRPr="00F4758C" w:rsidRDefault="00DE3AAD" w:rsidP="00DE3AAD">
      <w:pPr>
        <w:rPr>
          <w:lang w:val="en-GB" w:eastAsia="fr-FR"/>
        </w:rPr>
      </w:pPr>
      <w:r w:rsidRPr="00F4758C">
        <w:rPr>
          <w:lang w:val="en-GB" w:eastAsia="fr-FR"/>
        </w:rPr>
        <w:t xml:space="preserve">To harmonise the work to be carried out across the various units of the same organisation as much as possible, it is advisable to introduce maturity frameworks and checklists </w:t>
      </w:r>
      <w:r w:rsidR="00F805F6" w:rsidRPr="00F4758C">
        <w:rPr>
          <w:lang w:val="en-GB" w:eastAsia="fr-FR"/>
        </w:rPr>
        <w:t xml:space="preserve">that take </w:t>
      </w:r>
      <w:r w:rsidRPr="00F4758C">
        <w:rPr>
          <w:lang w:val="en-GB" w:eastAsia="fr-FR"/>
        </w:rPr>
        <w:t>local regulatory constraints</w:t>
      </w:r>
      <w:r w:rsidR="00F805F6" w:rsidRPr="00F4758C">
        <w:rPr>
          <w:lang w:val="en-GB" w:eastAsia="fr-FR"/>
        </w:rPr>
        <w:t xml:space="preserve"> into account</w:t>
      </w:r>
      <w:r w:rsidR="005765D8" w:rsidRPr="00F4758C">
        <w:rPr>
          <w:lang w:val="en-GB" w:eastAsia="fr-FR"/>
        </w:rPr>
        <w:t>.</w:t>
      </w:r>
    </w:p>
    <w:p w14:paraId="19DB0173" w14:textId="38C5A92B" w:rsidR="00DE3AAD" w:rsidRPr="00F4758C" w:rsidRDefault="00DE3AAD" w:rsidP="00DE3AAD">
      <w:pPr>
        <w:rPr>
          <w:lang w:val="en-GB" w:eastAsia="fr-FR"/>
        </w:rPr>
      </w:pPr>
      <w:r w:rsidRPr="00F4758C">
        <w:rPr>
          <w:lang w:val="en-GB" w:eastAsia="fr-FR"/>
        </w:rPr>
        <w:t xml:space="preserve">The aim is </w:t>
      </w:r>
      <w:r w:rsidR="00CC6D59" w:rsidRPr="00F4758C">
        <w:rPr>
          <w:lang w:val="en-GB" w:eastAsia="fr-FR"/>
        </w:rPr>
        <w:t xml:space="preserve">therefore to define a </w:t>
      </w:r>
      <w:r w:rsidRPr="00F4758C">
        <w:rPr>
          <w:lang w:val="en-GB" w:eastAsia="fr-FR"/>
        </w:rPr>
        <w:t>realistic, targeted and consistent policy to be implemented by the accessibility lead.</w:t>
      </w:r>
    </w:p>
    <w:p w14:paraId="725911DD" w14:textId="5CC399FA" w:rsidR="00DE3AAD" w:rsidRPr="00F4758C" w:rsidRDefault="00DE3AAD" w:rsidP="00DE3AAD">
      <w:pPr>
        <w:pStyle w:val="Titre3"/>
        <w:rPr>
          <w:lang w:val="en-GB"/>
        </w:rPr>
      </w:pPr>
      <w:bookmarkStart w:id="38" w:name="_Toc230077013"/>
      <w:r w:rsidRPr="00F4758C">
        <w:rPr>
          <w:lang w:val="en-GB"/>
        </w:rPr>
        <w:t>Short and medium-term operational preparation</w:t>
      </w:r>
      <w:bookmarkEnd w:id="38"/>
    </w:p>
    <w:p w14:paraId="5881F934" w14:textId="5E8E2162" w:rsidR="00DE3AAD" w:rsidRPr="00F4758C" w:rsidRDefault="00DE3AAD" w:rsidP="00DE3AAD">
      <w:pPr>
        <w:rPr>
          <w:lang w:val="en-GB" w:eastAsia="fr-FR"/>
        </w:rPr>
      </w:pPr>
      <w:r w:rsidRPr="00F4758C">
        <w:rPr>
          <w:lang w:val="en-GB" w:eastAsia="fr-FR"/>
        </w:rPr>
        <w:t xml:space="preserve">The principles of the digital accessibility policy must </w:t>
      </w:r>
      <w:r w:rsidR="00070BB2" w:rsidRPr="00F4758C">
        <w:rPr>
          <w:lang w:val="en-GB" w:eastAsia="fr-FR"/>
        </w:rPr>
        <w:t xml:space="preserve">be translated </w:t>
      </w:r>
      <w:r w:rsidRPr="00F4758C">
        <w:rPr>
          <w:lang w:val="en-GB" w:eastAsia="fr-FR"/>
        </w:rPr>
        <w:t xml:space="preserve">into concrete objectives, focusing on the one hand on bringing digital services and products into compliance and, on the other, on training the users targeted by the initiative. </w:t>
      </w:r>
    </w:p>
    <w:p w14:paraId="68F25EE9" w14:textId="4B263561" w:rsidR="00DE3AAD" w:rsidRPr="00F4758C" w:rsidRDefault="000B25B9" w:rsidP="00DE3AAD">
      <w:pPr>
        <w:rPr>
          <w:lang w:val="en-GB" w:eastAsia="fr-FR"/>
        </w:rPr>
      </w:pPr>
      <w:r w:rsidRPr="00F4758C">
        <w:rPr>
          <w:lang w:val="en-GB" w:eastAsia="fr-FR"/>
        </w:rPr>
        <w:t xml:space="preserve">Furthermore, a combination of different levels </w:t>
      </w:r>
      <w:r w:rsidR="00DE3AAD" w:rsidRPr="00F4758C">
        <w:rPr>
          <w:lang w:val="en-GB" w:eastAsia="fr-FR"/>
        </w:rPr>
        <w:t xml:space="preserve">of granularity for the objectives </w:t>
      </w:r>
      <w:r w:rsidRPr="00F4758C">
        <w:rPr>
          <w:lang w:val="en-GB" w:eastAsia="fr-FR"/>
        </w:rPr>
        <w:t xml:space="preserve">is necessary to </w:t>
      </w:r>
      <w:r w:rsidR="00DE3AAD" w:rsidRPr="00F4758C">
        <w:rPr>
          <w:lang w:val="en-GB" w:eastAsia="fr-FR"/>
        </w:rPr>
        <w:t xml:space="preserve">ensure the accessibility strategy is as realistic and progressive as possible: </w:t>
      </w:r>
    </w:p>
    <w:p w14:paraId="6E561800" w14:textId="2F452117" w:rsidR="00DE3AAD" w:rsidRPr="00F4758C" w:rsidRDefault="00754315">
      <w:pPr>
        <w:pStyle w:val="Paragraphedeliste"/>
        <w:numPr>
          <w:ilvl w:val="0"/>
          <w:numId w:val="18"/>
        </w:numPr>
        <w:rPr>
          <w:lang w:val="en-GB" w:eastAsia="fr-FR"/>
        </w:rPr>
      </w:pPr>
      <w:r w:rsidRPr="00754315">
        <w:rPr>
          <w:lang w:val="en-GB" w:eastAsia="fr-FR"/>
        </w:rPr>
        <w:t>Firstly</w:t>
      </w:r>
      <w:r>
        <w:rPr>
          <w:lang w:val="en-GB" w:eastAsia="fr-FR"/>
        </w:rPr>
        <w:t>, t</w:t>
      </w:r>
      <w:r w:rsidR="00DE3AAD" w:rsidRPr="00F4758C">
        <w:rPr>
          <w:lang w:val="en-GB" w:eastAsia="fr-FR"/>
        </w:rPr>
        <w:t xml:space="preserve">he definition of objectives must be applicable across the entire accessibility lifecycle, both at the organisation-wide level and at the local level (by subsidiary, department or entity). </w:t>
      </w:r>
    </w:p>
    <w:p w14:paraId="1A6B78B6" w14:textId="3F590F6D" w:rsidR="00DE3AAD" w:rsidRPr="00F4758C" w:rsidRDefault="00754315">
      <w:pPr>
        <w:pStyle w:val="Paragraphedeliste"/>
        <w:numPr>
          <w:ilvl w:val="0"/>
          <w:numId w:val="18"/>
        </w:numPr>
        <w:rPr>
          <w:lang w:val="en-GB" w:eastAsia="fr-FR"/>
        </w:rPr>
      </w:pPr>
      <w:r>
        <w:rPr>
          <w:lang w:val="en-GB" w:eastAsia="fr-FR"/>
        </w:rPr>
        <w:t>Secondly, t</w:t>
      </w:r>
      <w:r w:rsidR="00DE3AAD" w:rsidRPr="00F4758C">
        <w:rPr>
          <w:lang w:val="en-GB" w:eastAsia="fr-FR"/>
        </w:rPr>
        <w:t>he definition of objectives must be spread out over time, with a common three-year timeframe for multi-annual plans.</w:t>
      </w:r>
    </w:p>
    <w:p w14:paraId="00377477" w14:textId="543067AC" w:rsidR="00DE3AAD" w:rsidRDefault="00DE3AAD" w:rsidP="00DE3AAD">
      <w:pPr>
        <w:pStyle w:val="Titre3"/>
      </w:pPr>
      <w:bookmarkStart w:id="39" w:name="_Toc230077014"/>
      <w:r w:rsidRPr="00DE3AAD">
        <w:t>Appropriate governance and communication</w:t>
      </w:r>
      <w:bookmarkEnd w:id="39"/>
      <w:r>
        <w:t xml:space="preserve"> </w:t>
      </w:r>
    </w:p>
    <w:p w14:paraId="7EC0D5D0" w14:textId="1EC7A24E" w:rsidR="00DE3AAD" w:rsidRPr="00F4758C" w:rsidRDefault="00855DDC" w:rsidP="00DE3AAD">
      <w:pPr>
        <w:rPr>
          <w:lang w:val="en-GB" w:eastAsia="fr-FR"/>
        </w:rPr>
      </w:pPr>
      <w:r w:rsidRPr="00F4758C">
        <w:rPr>
          <w:lang w:val="en-GB" w:eastAsia="fr-FR"/>
        </w:rPr>
        <w:t xml:space="preserve">Finally, </w:t>
      </w:r>
      <w:r w:rsidR="00DE3AAD" w:rsidRPr="00F4758C">
        <w:rPr>
          <w:lang w:val="en-GB" w:eastAsia="fr-FR"/>
        </w:rPr>
        <w:t xml:space="preserve">developing an accessibility strategy </w:t>
      </w:r>
      <w:r w:rsidRPr="00F4758C">
        <w:rPr>
          <w:lang w:val="en-GB" w:eastAsia="fr-FR"/>
        </w:rPr>
        <w:t xml:space="preserve">requires </w:t>
      </w:r>
      <w:r w:rsidR="00DE3AAD" w:rsidRPr="00F4758C">
        <w:rPr>
          <w:lang w:val="en-GB" w:eastAsia="fr-FR"/>
        </w:rPr>
        <w:t xml:space="preserve">the resources to drive the process forward, make adjustments, update it and maintain it over time. </w:t>
      </w:r>
    </w:p>
    <w:p w14:paraId="46D78E0A" w14:textId="178D7D22" w:rsidR="00DE3AAD" w:rsidRPr="00F4758C" w:rsidRDefault="00DE3AAD" w:rsidP="00DE3AAD">
      <w:pPr>
        <w:rPr>
          <w:lang w:val="en-GB" w:eastAsia="fr-FR"/>
        </w:rPr>
      </w:pPr>
      <w:r w:rsidRPr="00F4758C">
        <w:rPr>
          <w:lang w:val="en-GB" w:eastAsia="fr-FR"/>
        </w:rPr>
        <w:t>In this regard, the creation of dedicated committees and bodies makes it possible, on the one hand, to organise decision-making at different levels (strategic, organisational, operational) and</w:t>
      </w:r>
      <w:r w:rsidR="00855DDC" w:rsidRPr="00F4758C">
        <w:rPr>
          <w:lang w:val="en-GB" w:eastAsia="fr-FR"/>
        </w:rPr>
        <w:t xml:space="preserve">, on the other hand, </w:t>
      </w:r>
      <w:r w:rsidRPr="00F4758C">
        <w:rPr>
          <w:lang w:val="en-GB" w:eastAsia="fr-FR"/>
        </w:rPr>
        <w:t xml:space="preserve">to steer and monitor the accessibility initiative </w:t>
      </w:r>
      <w:r w:rsidR="007256CE" w:rsidRPr="00F4758C">
        <w:rPr>
          <w:lang w:val="en-GB" w:eastAsia="fr-FR"/>
        </w:rPr>
        <w:t>(prioritisation, trade-offs, etc.)</w:t>
      </w:r>
      <w:r w:rsidRPr="00F4758C">
        <w:rPr>
          <w:lang w:val="en-GB" w:eastAsia="fr-FR"/>
        </w:rPr>
        <w:t>.</w:t>
      </w:r>
    </w:p>
    <w:p w14:paraId="6C683C30" w14:textId="4E44AD4D" w:rsidR="00D96AC2" w:rsidRPr="00F4758C" w:rsidRDefault="00F67D50" w:rsidP="00DE3AAD">
      <w:pPr>
        <w:rPr>
          <w:lang w:val="en-GB" w:eastAsia="fr-FR"/>
        </w:rPr>
      </w:pPr>
      <w:r w:rsidRPr="00F4758C">
        <w:rPr>
          <w:lang w:val="en-GB" w:eastAsia="fr-FR"/>
        </w:rPr>
        <w:lastRenderedPageBreak/>
        <w:t xml:space="preserve">Finally, </w:t>
      </w:r>
      <w:r w:rsidR="00D96AC2" w:rsidRPr="00F4758C">
        <w:rPr>
          <w:lang w:val="en-GB" w:eastAsia="fr-FR"/>
        </w:rPr>
        <w:t xml:space="preserve">to ensure the long-term engagement of </w:t>
      </w:r>
      <w:r w:rsidRPr="00F4758C">
        <w:rPr>
          <w:lang w:val="en-GB" w:eastAsia="fr-FR"/>
        </w:rPr>
        <w:t xml:space="preserve">key </w:t>
      </w:r>
      <w:r w:rsidR="00D96AC2" w:rsidRPr="00F4758C">
        <w:rPr>
          <w:lang w:val="en-GB" w:eastAsia="fr-FR"/>
        </w:rPr>
        <w:t xml:space="preserve">stakeholders, the accessibility liaison team </w:t>
      </w:r>
      <w:r w:rsidRPr="00F4758C">
        <w:rPr>
          <w:lang w:val="en-GB" w:eastAsia="fr-FR"/>
        </w:rPr>
        <w:t xml:space="preserve">can </w:t>
      </w:r>
      <w:r w:rsidR="00D96AC2" w:rsidRPr="00F4758C">
        <w:rPr>
          <w:lang w:val="en-GB" w:eastAsia="fr-FR"/>
        </w:rPr>
        <w:t xml:space="preserve">draw on strategic partners: </w:t>
      </w:r>
      <w:r w:rsidR="005765D8" w:rsidRPr="00F4758C">
        <w:rPr>
          <w:lang w:val="en-GB" w:eastAsia="fr-FR"/>
        </w:rPr>
        <w:t xml:space="preserve">the communications department for raising awareness and sharing information (digital community, in-house or specialist magazine, newsletters, etc.) </w:t>
      </w:r>
      <w:r w:rsidR="00B93F72" w:rsidRPr="00F4758C">
        <w:rPr>
          <w:lang w:val="en-GB" w:eastAsia="fr-FR"/>
        </w:rPr>
        <w:t xml:space="preserve">and </w:t>
      </w:r>
      <w:r w:rsidR="005765D8" w:rsidRPr="00F4758C">
        <w:rPr>
          <w:lang w:val="en-GB" w:eastAsia="fr-FR"/>
        </w:rPr>
        <w:t xml:space="preserve">a network of accessibility ambassadors on the ground, within each business unit or IT project. </w:t>
      </w:r>
      <w:r w:rsidR="00D96AC2" w:rsidRPr="00F4758C">
        <w:rPr>
          <w:lang w:val="en-GB" w:eastAsia="fr-FR"/>
        </w:rPr>
        <w:t xml:space="preserve">This network not only helps to mobilise </w:t>
      </w:r>
      <w:r w:rsidR="00B461BE" w:rsidRPr="00F4758C">
        <w:rPr>
          <w:lang w:val="en-GB" w:eastAsia="fr-FR"/>
        </w:rPr>
        <w:t xml:space="preserve">internal </w:t>
      </w:r>
      <w:r w:rsidR="001558B5" w:rsidRPr="00F4758C">
        <w:rPr>
          <w:lang w:val="en-GB" w:eastAsia="fr-FR"/>
        </w:rPr>
        <w:t xml:space="preserve">staff and </w:t>
      </w:r>
      <w:r w:rsidR="00B461BE" w:rsidRPr="00F4758C">
        <w:rPr>
          <w:lang w:val="en-GB" w:eastAsia="fr-FR"/>
        </w:rPr>
        <w:t>external users</w:t>
      </w:r>
      <w:r w:rsidR="00D96AC2" w:rsidRPr="00F4758C">
        <w:rPr>
          <w:lang w:val="en-GB" w:eastAsia="fr-FR"/>
        </w:rPr>
        <w:t xml:space="preserve">, but also transforms </w:t>
      </w:r>
      <w:r w:rsidR="00B461BE" w:rsidRPr="00F4758C">
        <w:rPr>
          <w:lang w:val="en-GB" w:eastAsia="fr-FR"/>
        </w:rPr>
        <w:t>user</w:t>
      </w:r>
      <w:r w:rsidR="00D96AC2" w:rsidRPr="00F4758C">
        <w:rPr>
          <w:lang w:val="en-GB" w:eastAsia="fr-FR"/>
        </w:rPr>
        <w:t xml:space="preserve"> feedback into drivers for service improvement</w:t>
      </w:r>
      <w:r w:rsidR="00B461BE" w:rsidRPr="00F4758C">
        <w:rPr>
          <w:lang w:val="en-GB" w:eastAsia="fr-FR"/>
        </w:rPr>
        <w:t>.</w:t>
      </w:r>
    </w:p>
    <w:p w14:paraId="7F3A36BC" w14:textId="77777777" w:rsidR="0092554C" w:rsidRPr="00F4758C" w:rsidRDefault="0092554C" w:rsidP="00DE3AAD">
      <w:pPr>
        <w:rPr>
          <w:lang w:val="en-GB" w:eastAsia="fr-FR"/>
        </w:rPr>
      </w:pPr>
    </w:p>
    <w:tbl>
      <w:tblPr>
        <w:tblW w:w="5001"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9"/>
      </w:tblGrid>
      <w:tr w:rsidR="008D54D8" w:rsidRPr="00C43137" w14:paraId="383D8888" w14:textId="77777777" w:rsidTr="00072B81">
        <w:trPr>
          <w:jc w:val="center"/>
        </w:trPr>
        <w:tc>
          <w:tcPr>
            <w:tcW w:w="9049" w:type="dxa"/>
            <w:tcBorders>
              <w:left w:val="single" w:sz="18" w:space="0" w:color="155E48"/>
            </w:tcBorders>
            <w:shd w:val="clear" w:color="auto" w:fill="F2F2F2" w:themeFill="background1" w:themeFillShade="F2"/>
          </w:tcPr>
          <w:p w14:paraId="523A65D4" w14:textId="57937493" w:rsidR="008D54D8" w:rsidRPr="00F4758C" w:rsidRDefault="00F94B26" w:rsidP="00BE4EAB">
            <w:pPr>
              <w:pStyle w:val="TitreEncart"/>
              <w:rPr>
                <w:lang w:val="en-GB"/>
              </w:rPr>
            </w:pPr>
            <w:bookmarkStart w:id="40" w:name="_Toc230257725"/>
            <w:bookmarkStart w:id="41" w:name="_Hlk230190931"/>
            <w:r w:rsidRPr="00F4758C">
              <w:rPr>
                <w:lang w:val="en-GB"/>
              </w:rPr>
              <w:lastRenderedPageBreak/>
              <w:t>Case Study:</w:t>
            </w:r>
            <w:r>
              <w:rPr>
                <w:lang w:val="en-GB"/>
              </w:rPr>
              <w:t xml:space="preserve"> </w:t>
            </w:r>
            <w:r w:rsidR="008D54D8" w:rsidRPr="00F4758C">
              <w:rPr>
                <w:lang w:val="en-GB"/>
              </w:rPr>
              <w:t>EQUAN</w:t>
            </w:r>
            <w:bookmarkEnd w:id="40"/>
            <w:r w:rsidR="00681E5D">
              <w:rPr>
                <w:lang w:val="en-GB"/>
              </w:rPr>
              <w:t>S</w:t>
            </w:r>
            <w:r w:rsidR="008D54D8" w:rsidRPr="00F4758C">
              <w:rPr>
                <w:lang w:val="en-GB"/>
              </w:rPr>
              <w:t xml:space="preserve"> </w:t>
            </w:r>
          </w:p>
          <w:p w14:paraId="2561666A" w14:textId="77777777" w:rsidR="008D54D8" w:rsidRPr="00F4758C" w:rsidRDefault="008D54D8" w:rsidP="00F25788">
            <w:pPr>
              <w:pStyle w:val="TitreencartREX"/>
              <w:rPr>
                <w:lang w:val="en-GB"/>
              </w:rPr>
            </w:pPr>
            <w:r w:rsidRPr="00F4758C">
              <w:rPr>
                <w:lang w:val="en-GB"/>
              </w:rPr>
              <w:t xml:space="preserve">Digital accessibility approach at Equans </w:t>
            </w:r>
          </w:p>
          <w:p w14:paraId="24A2A64F" w14:textId="3397006B" w:rsidR="008D54D8" w:rsidRPr="00F4758C" w:rsidRDefault="008D54D8" w:rsidP="00BE4EAB">
            <w:pPr>
              <w:rPr>
                <w:lang w:val="en-GB"/>
              </w:rPr>
            </w:pPr>
            <w:r w:rsidRPr="00F4758C">
              <w:rPr>
                <w:lang w:val="en-GB"/>
              </w:rPr>
              <w:t>“The Equans Group offers its services in over 20 countries. Our first step was to understand how to approach digital accessibility in line with regional regulations such as the EAA (</w:t>
            </w:r>
            <w:r w:rsidRPr="00146BDE">
              <w:rPr>
                <w:lang w:val="en-GB"/>
              </w:rPr>
              <w:t>European Accessibility Act)</w:t>
            </w:r>
            <w:r w:rsidRPr="00F4758C">
              <w:rPr>
                <w:lang w:val="en-GB"/>
              </w:rPr>
              <w:t xml:space="preserve"> or local regulations such as Section 108 in the United States, for example. We also wanted to understand how to address this issue in relation to the standardisation of some of our information systems, and the existence of a common framework (which to choose between WCAG or RGAA?). This led us to carry out an analysis lasting several months. </w:t>
            </w:r>
          </w:p>
          <w:p w14:paraId="0ED2E837" w14:textId="577A43CE" w:rsidR="008D54D8" w:rsidRPr="00F4758C" w:rsidRDefault="008D54D8" w:rsidP="00DC3602">
            <w:pPr>
              <w:pStyle w:val="Paragraphedeliste"/>
              <w:numPr>
                <w:ilvl w:val="0"/>
                <w:numId w:val="72"/>
              </w:numPr>
              <w:ind w:left="357"/>
              <w:contextualSpacing w:val="0"/>
              <w:rPr>
                <w:lang w:val="en-GB"/>
              </w:rPr>
            </w:pPr>
            <w:r w:rsidRPr="00F4758C">
              <w:rPr>
                <w:b/>
                <w:bCs/>
                <w:lang w:val="en-GB"/>
              </w:rPr>
              <w:t>To structure our approach</w:t>
            </w:r>
            <w:r w:rsidRPr="00F4758C">
              <w:rPr>
                <w:lang w:val="en-GB"/>
              </w:rPr>
              <w:t xml:space="preserve">, we also benefited </w:t>
            </w:r>
            <w:r w:rsidRPr="001F2368">
              <w:rPr>
                <w:lang w:val="en-GB"/>
              </w:rPr>
              <w:t xml:space="preserve">from sponsorship </w:t>
            </w:r>
            <w:r w:rsidRPr="00F4758C">
              <w:rPr>
                <w:lang w:val="en-GB"/>
              </w:rPr>
              <w:t xml:space="preserve">on two levels: one at the Bouygues Group level, with Olivier Hoberdon (BYSA CIO), who set up a working group dedicated to digital accessibility bringing together all six entities; and the other at the level of Equans’ CIO Group, </w:t>
            </w:r>
            <w:r w:rsidR="00F755EB" w:rsidRPr="00F4758C">
              <w:rPr>
                <w:lang w:val="en-GB"/>
              </w:rPr>
              <w:t xml:space="preserve">with </w:t>
            </w:r>
            <w:r w:rsidRPr="00F4758C">
              <w:rPr>
                <w:lang w:val="en-GB"/>
              </w:rPr>
              <w:t xml:space="preserve">Emmanuel Gachet, who appointed me to his </w:t>
            </w:r>
            <w:r w:rsidR="003C2B41" w:rsidRPr="003C2B41">
              <w:rPr>
                <w:lang w:val="en-GB"/>
              </w:rPr>
              <w:t>“</w:t>
            </w:r>
            <w:r w:rsidRPr="003C2B41">
              <w:rPr>
                <w:lang w:val="en-GB"/>
              </w:rPr>
              <w:t>Sustain IT</w:t>
            </w:r>
            <w:r w:rsidR="003C2B41">
              <w:rPr>
                <w:lang w:val="en-GB"/>
              </w:rPr>
              <w:t>”</w:t>
            </w:r>
            <w:r w:rsidRPr="00F4758C">
              <w:rPr>
                <w:lang w:val="en-GB"/>
              </w:rPr>
              <w:t xml:space="preserve">             teams to work on both the carbon footprint and digital accessibility simultaneously.                 </w:t>
            </w:r>
          </w:p>
          <w:p w14:paraId="4C232C58" w14:textId="77777777" w:rsidR="008D54D8" w:rsidRDefault="008D54D8" w:rsidP="00DC3602">
            <w:pPr>
              <w:pStyle w:val="Paragraphedeliste"/>
              <w:numPr>
                <w:ilvl w:val="0"/>
                <w:numId w:val="83"/>
              </w:numPr>
              <w:spacing w:after="160" w:line="259" w:lineRule="auto"/>
              <w:ind w:left="357"/>
              <w:contextualSpacing w:val="0"/>
            </w:pPr>
            <w:r w:rsidRPr="00F4758C">
              <w:rPr>
                <w:b/>
                <w:bCs/>
                <w:lang w:val="en-GB"/>
              </w:rPr>
              <w:t>To address the cross-cutting nature of this issue</w:t>
            </w:r>
            <w:r w:rsidRPr="00F4758C">
              <w:rPr>
                <w:lang w:val="en-GB"/>
              </w:rPr>
              <w:t xml:space="preserve">, which lies at the intersection of inclusion and independence, a map of the stakeholders involved, their roles and their responsibilities has been drawn up. </w:t>
            </w:r>
            <w:r>
              <w:t>It involves:</w:t>
            </w:r>
          </w:p>
          <w:p w14:paraId="7C6905CE" w14:textId="77777777" w:rsidR="008D54D8" w:rsidRDefault="008D54D8">
            <w:pPr>
              <w:pStyle w:val="Paragraphedeliste"/>
              <w:numPr>
                <w:ilvl w:val="0"/>
                <w:numId w:val="81"/>
              </w:numPr>
              <w:spacing w:after="160" w:line="259" w:lineRule="auto"/>
            </w:pPr>
            <w:r>
              <w:t>external communication for websites,</w:t>
            </w:r>
          </w:p>
          <w:p w14:paraId="6410A7DF" w14:textId="77777777" w:rsidR="008D54D8" w:rsidRDefault="008D54D8">
            <w:pPr>
              <w:pStyle w:val="Paragraphedeliste"/>
              <w:numPr>
                <w:ilvl w:val="0"/>
                <w:numId w:val="81"/>
              </w:numPr>
              <w:spacing w:after="160" w:line="259" w:lineRule="auto"/>
            </w:pPr>
            <w:r>
              <w:t>internal communications for intranet sites,</w:t>
            </w:r>
          </w:p>
          <w:p w14:paraId="6E04EF8C" w14:textId="77777777" w:rsidR="008D54D8" w:rsidRPr="00F4758C" w:rsidRDefault="008D54D8">
            <w:pPr>
              <w:pStyle w:val="Paragraphedeliste"/>
              <w:numPr>
                <w:ilvl w:val="0"/>
                <w:numId w:val="81"/>
              </w:numPr>
              <w:spacing w:after="160" w:line="259" w:lineRule="auto"/>
              <w:rPr>
                <w:lang w:val="en-GB"/>
              </w:rPr>
            </w:pPr>
            <w:r w:rsidRPr="00F4758C">
              <w:rPr>
                <w:lang w:val="en-GB"/>
              </w:rPr>
              <w:t>the brand management team, for the visual identity guidelines,</w:t>
            </w:r>
          </w:p>
          <w:p w14:paraId="4E66D062" w14:textId="77777777" w:rsidR="008D54D8" w:rsidRPr="00F4758C" w:rsidRDefault="008D54D8">
            <w:pPr>
              <w:pStyle w:val="Paragraphedeliste"/>
              <w:numPr>
                <w:ilvl w:val="0"/>
                <w:numId w:val="81"/>
              </w:numPr>
              <w:spacing w:after="160" w:line="259" w:lineRule="auto"/>
              <w:rPr>
                <w:lang w:val="en-GB"/>
              </w:rPr>
            </w:pPr>
            <w:r w:rsidRPr="00F4758C">
              <w:rPr>
                <w:lang w:val="en-GB"/>
              </w:rPr>
              <w:t>procurement teams for updating tenders and contracts,</w:t>
            </w:r>
          </w:p>
          <w:p w14:paraId="595529A0" w14:textId="77777777" w:rsidR="008D54D8" w:rsidRPr="00F4758C" w:rsidRDefault="008D54D8">
            <w:pPr>
              <w:pStyle w:val="Paragraphedeliste"/>
              <w:numPr>
                <w:ilvl w:val="0"/>
                <w:numId w:val="81"/>
              </w:numPr>
              <w:spacing w:after="160" w:line="259" w:lineRule="auto"/>
              <w:rPr>
                <w:lang w:val="en-GB"/>
              </w:rPr>
            </w:pPr>
            <w:r w:rsidRPr="00F4758C">
              <w:rPr>
                <w:lang w:val="en-GB"/>
              </w:rPr>
              <w:t>supplier management teams to follow up with suppliers and influence them on this issue at each quarterly or half-yearly review,</w:t>
            </w:r>
          </w:p>
          <w:p w14:paraId="332AB9CA" w14:textId="3E4244DF" w:rsidR="008D54D8" w:rsidRPr="00F4758C" w:rsidRDefault="008D54D8">
            <w:pPr>
              <w:pStyle w:val="Paragraphedeliste"/>
              <w:numPr>
                <w:ilvl w:val="0"/>
                <w:numId w:val="81"/>
              </w:numPr>
              <w:spacing w:after="160" w:line="259" w:lineRule="auto"/>
              <w:rPr>
                <w:lang w:val="en-GB"/>
              </w:rPr>
            </w:pPr>
            <w:r w:rsidRPr="00F4758C">
              <w:rPr>
                <w:lang w:val="en-GB"/>
              </w:rPr>
              <w:t>Human Resources teams regarding their HRIS tools, to raise awareness of the Group’s initiatives on digital accessibility and to integrate them into our recruitment process,</w:t>
            </w:r>
          </w:p>
          <w:p w14:paraId="09264BFC" w14:textId="77777777" w:rsidR="008D54D8" w:rsidRPr="00F4758C" w:rsidRDefault="008D54D8">
            <w:pPr>
              <w:pStyle w:val="Paragraphedeliste"/>
              <w:numPr>
                <w:ilvl w:val="0"/>
                <w:numId w:val="81"/>
              </w:numPr>
              <w:spacing w:after="160" w:line="259" w:lineRule="auto"/>
              <w:rPr>
                <w:lang w:val="en-GB"/>
              </w:rPr>
            </w:pPr>
            <w:r w:rsidRPr="00F4758C">
              <w:rPr>
                <w:lang w:val="en-GB"/>
              </w:rPr>
              <w:t xml:space="preserve">the various roles within IT, such as developers, project managers and </w:t>
            </w:r>
            <w:r w:rsidRPr="001F2368">
              <w:rPr>
                <w:lang w:val="en-GB"/>
              </w:rPr>
              <w:t>product owners</w:t>
            </w:r>
            <w:r w:rsidRPr="00F4758C">
              <w:rPr>
                <w:lang w:val="en-GB"/>
              </w:rPr>
              <w:t>,</w:t>
            </w:r>
          </w:p>
          <w:p w14:paraId="1D3DAE9B" w14:textId="77777777" w:rsidR="008D54D8" w:rsidRDefault="008D54D8">
            <w:pPr>
              <w:pStyle w:val="Paragraphedeliste"/>
              <w:numPr>
                <w:ilvl w:val="0"/>
                <w:numId w:val="81"/>
              </w:numPr>
              <w:spacing w:after="160" w:line="259" w:lineRule="auto"/>
            </w:pPr>
            <w:r>
              <w:t>the CSR team,</w:t>
            </w:r>
          </w:p>
          <w:p w14:paraId="626042A7" w14:textId="77777777" w:rsidR="008D54D8" w:rsidRPr="00F4758C" w:rsidRDefault="008D54D8">
            <w:pPr>
              <w:pStyle w:val="Paragraphedeliste"/>
              <w:numPr>
                <w:ilvl w:val="0"/>
                <w:numId w:val="81"/>
              </w:numPr>
              <w:spacing w:after="160" w:line="259" w:lineRule="auto"/>
              <w:rPr>
                <w:lang w:val="en-GB"/>
              </w:rPr>
            </w:pPr>
            <w:r w:rsidRPr="00F4758C">
              <w:rPr>
                <w:lang w:val="en-GB"/>
              </w:rPr>
              <w:t>the company’s disability liaison officer,</w:t>
            </w:r>
          </w:p>
          <w:p w14:paraId="21E9F269" w14:textId="77777777" w:rsidR="008D54D8" w:rsidRPr="00F4758C" w:rsidRDefault="008D54D8">
            <w:pPr>
              <w:pStyle w:val="Paragraphedeliste"/>
              <w:numPr>
                <w:ilvl w:val="0"/>
                <w:numId w:val="81"/>
              </w:numPr>
              <w:spacing w:after="160" w:line="259" w:lineRule="auto"/>
              <w:rPr>
                <w:lang w:val="en-GB"/>
              </w:rPr>
            </w:pPr>
            <w:r w:rsidRPr="00F4758C">
              <w:rPr>
                <w:lang w:val="en-GB"/>
              </w:rPr>
              <w:t>the legal team, to support us in understanding the relevant legislation and its application,</w:t>
            </w:r>
          </w:p>
          <w:p w14:paraId="270575A5" w14:textId="77777777" w:rsidR="008D54D8" w:rsidRPr="00F4758C" w:rsidRDefault="008D54D8">
            <w:pPr>
              <w:pStyle w:val="Paragraphedeliste"/>
              <w:numPr>
                <w:ilvl w:val="0"/>
                <w:numId w:val="81"/>
              </w:numPr>
              <w:spacing w:after="160" w:line="259" w:lineRule="auto"/>
              <w:rPr>
                <w:lang w:val="en-GB"/>
              </w:rPr>
            </w:pPr>
            <w:r w:rsidRPr="00F4758C">
              <w:rPr>
                <w:lang w:val="en-GB"/>
              </w:rPr>
              <w:t>the IT teams responsible for Group applications,</w:t>
            </w:r>
          </w:p>
          <w:p w14:paraId="177F0A12" w14:textId="77777777" w:rsidR="008D54D8" w:rsidRPr="00F4758C" w:rsidRDefault="008D54D8">
            <w:pPr>
              <w:pStyle w:val="Paragraphedeliste"/>
              <w:numPr>
                <w:ilvl w:val="0"/>
                <w:numId w:val="81"/>
              </w:numPr>
              <w:spacing w:after="160" w:line="259" w:lineRule="auto"/>
              <w:rPr>
                <w:lang w:val="en-GB"/>
              </w:rPr>
            </w:pPr>
            <w:r w:rsidRPr="00F4758C">
              <w:rPr>
                <w:lang w:val="en-GB"/>
              </w:rPr>
              <w:t>and representatives from two countries – France and the United Kingdom – to stay in touch with the reality on the ground.</w:t>
            </w:r>
          </w:p>
          <w:p w14:paraId="7FB200D1" w14:textId="77777777" w:rsidR="008D54D8" w:rsidRPr="00F4758C" w:rsidRDefault="008D54D8" w:rsidP="00BE4EAB">
            <w:pPr>
              <w:pStyle w:val="Paragraphedeliste"/>
              <w:rPr>
                <w:lang w:val="en-GB"/>
              </w:rPr>
            </w:pPr>
          </w:p>
          <w:p w14:paraId="6AD65F8A" w14:textId="77777777" w:rsidR="008D54D8" w:rsidRPr="00F4758C" w:rsidRDefault="008D54D8">
            <w:pPr>
              <w:pStyle w:val="Paragraphedeliste"/>
              <w:numPr>
                <w:ilvl w:val="0"/>
                <w:numId w:val="82"/>
              </w:numPr>
              <w:spacing w:after="160" w:line="259" w:lineRule="auto"/>
              <w:rPr>
                <w:lang w:val="en-GB"/>
              </w:rPr>
            </w:pPr>
            <w:r w:rsidRPr="00F4758C">
              <w:rPr>
                <w:b/>
                <w:bCs/>
                <w:lang w:val="en-GB"/>
              </w:rPr>
              <w:t xml:space="preserve">Together, we have set up a steering committee for digital accessibility </w:t>
            </w:r>
            <w:r w:rsidRPr="00F4758C">
              <w:rPr>
                <w:lang w:val="en-GB"/>
              </w:rPr>
              <w:t xml:space="preserve">at </w:t>
            </w:r>
            <w:r w:rsidRPr="001F2368">
              <w:rPr>
                <w:lang w:val="en-GB"/>
              </w:rPr>
              <w:t>corporate</w:t>
            </w:r>
            <w:r w:rsidRPr="00F4758C">
              <w:rPr>
                <w:lang w:val="en-GB"/>
              </w:rPr>
              <w:t xml:space="preserve"> level, with the aim of replicating this governance structure at MBU level in the future.</w:t>
            </w:r>
          </w:p>
          <w:p w14:paraId="3D1C16A9" w14:textId="77777777" w:rsidR="008D54D8" w:rsidRPr="00F4758C" w:rsidRDefault="008D54D8" w:rsidP="00BE4EAB">
            <w:pPr>
              <w:rPr>
                <w:lang w:val="en-GB"/>
              </w:rPr>
            </w:pPr>
            <w:r w:rsidRPr="00F4758C">
              <w:rPr>
                <w:lang w:val="en-GB"/>
              </w:rPr>
              <w:t>Our journey has enabled us to:</w:t>
            </w:r>
          </w:p>
          <w:p w14:paraId="799E3007" w14:textId="77777777" w:rsidR="008D54D8" w:rsidRDefault="008D54D8">
            <w:pPr>
              <w:pStyle w:val="Paragraphedeliste"/>
              <w:numPr>
                <w:ilvl w:val="0"/>
                <w:numId w:val="79"/>
              </w:numPr>
              <w:spacing w:after="160" w:line="259" w:lineRule="auto"/>
            </w:pPr>
            <w:r>
              <w:lastRenderedPageBreak/>
              <w:t>Confirm our target audience,</w:t>
            </w:r>
          </w:p>
          <w:p w14:paraId="44A56631" w14:textId="77777777" w:rsidR="008D54D8" w:rsidRPr="00F4758C" w:rsidRDefault="008D54D8">
            <w:pPr>
              <w:pStyle w:val="Paragraphedeliste"/>
              <w:numPr>
                <w:ilvl w:val="0"/>
                <w:numId w:val="79"/>
              </w:numPr>
              <w:spacing w:after="160" w:line="259" w:lineRule="auto"/>
              <w:rPr>
                <w:lang w:val="en-GB"/>
              </w:rPr>
            </w:pPr>
            <w:r w:rsidRPr="00F4758C">
              <w:rPr>
                <w:lang w:val="en-GB"/>
              </w:rPr>
              <w:t>Understand the legal requirements at French, European and international levels,</w:t>
            </w:r>
          </w:p>
          <w:p w14:paraId="184E4423" w14:textId="77777777" w:rsidR="008D54D8" w:rsidRPr="00F4758C" w:rsidRDefault="008D54D8">
            <w:pPr>
              <w:pStyle w:val="Paragraphedeliste"/>
              <w:numPr>
                <w:ilvl w:val="0"/>
                <w:numId w:val="79"/>
              </w:numPr>
              <w:spacing w:after="160" w:line="259" w:lineRule="auto"/>
              <w:rPr>
                <w:lang w:val="en-GB"/>
              </w:rPr>
            </w:pPr>
            <w:r w:rsidRPr="00F4758C">
              <w:rPr>
                <w:lang w:val="en-GB"/>
              </w:rPr>
              <w:t xml:space="preserve">Divide our approach into two parts and treat existing information systems and new information systems separately, seeking to:      </w:t>
            </w:r>
          </w:p>
          <w:p w14:paraId="0D98C07E" w14:textId="77777777" w:rsidR="008D54D8" w:rsidRPr="00F4758C" w:rsidRDefault="008D54D8">
            <w:pPr>
              <w:pStyle w:val="Paragraphedeliste"/>
              <w:numPr>
                <w:ilvl w:val="0"/>
                <w:numId w:val="80"/>
              </w:numPr>
              <w:spacing w:after="160" w:line="259" w:lineRule="auto"/>
              <w:rPr>
                <w:lang w:val="en-GB"/>
              </w:rPr>
            </w:pPr>
            <w:r w:rsidRPr="00F4758C">
              <w:rPr>
                <w:lang w:val="en-GB"/>
              </w:rPr>
              <w:t xml:space="preserve">For existing systems, to gain </w:t>
            </w:r>
            <w:r w:rsidRPr="001F2368">
              <w:rPr>
                <w:lang w:val="en-GB"/>
              </w:rPr>
              <w:t>a high-level</w:t>
            </w:r>
            <w:r w:rsidRPr="00F4758C">
              <w:rPr>
                <w:lang w:val="en-GB"/>
              </w:rPr>
              <w:t xml:space="preserve"> understanding of our IT environment and the people who make decisions and take action on a day-to-day basis to keep it running and improve it,</w:t>
            </w:r>
          </w:p>
          <w:p w14:paraId="381D6A14" w14:textId="77777777" w:rsidR="008D54D8" w:rsidRPr="00F4758C" w:rsidRDefault="008D54D8">
            <w:pPr>
              <w:pStyle w:val="Paragraphedeliste"/>
              <w:numPr>
                <w:ilvl w:val="0"/>
                <w:numId w:val="80"/>
              </w:numPr>
              <w:spacing w:after="160" w:line="259" w:lineRule="auto"/>
              <w:rPr>
                <w:lang w:val="en-GB"/>
              </w:rPr>
            </w:pPr>
            <w:r w:rsidRPr="00F4758C">
              <w:rPr>
                <w:lang w:val="en-GB"/>
              </w:rPr>
              <w:t>For newcomers, let’s look at the key aspects involved in purchasing a new system (technical governance and the procurement process).</w:t>
            </w:r>
          </w:p>
          <w:p w14:paraId="5B7B65F8" w14:textId="7FE5F739" w:rsidR="008D54D8" w:rsidRPr="00F4758C" w:rsidRDefault="008D54D8" w:rsidP="00BE4EAB">
            <w:pPr>
              <w:rPr>
                <w:lang w:val="en-GB"/>
              </w:rPr>
            </w:pPr>
            <w:r w:rsidRPr="00F4758C">
              <w:rPr>
                <w:lang w:val="en-GB"/>
              </w:rPr>
              <w:t xml:space="preserve">It is important to note that our participation in Cigref’s working </w:t>
            </w:r>
            <w:r w:rsidR="00F755EB" w:rsidRPr="00F4758C">
              <w:rPr>
                <w:lang w:val="en-GB"/>
              </w:rPr>
              <w:t xml:space="preserve">groups </w:t>
            </w:r>
            <w:r w:rsidRPr="00F4758C">
              <w:rPr>
                <w:lang w:val="en-GB"/>
              </w:rPr>
              <w:t xml:space="preserve">has been essential to our approach to digital accessibility, as discussions with other companies and the various presentations by experts in the field have helped shape our development. </w:t>
            </w:r>
          </w:p>
          <w:p w14:paraId="2803B9BB" w14:textId="1CDCA333" w:rsidR="008D54D8" w:rsidRPr="00F4758C" w:rsidRDefault="008D54D8" w:rsidP="00BE4EAB">
            <w:pPr>
              <w:rPr>
                <w:lang w:val="en-GB"/>
              </w:rPr>
            </w:pPr>
            <w:r w:rsidRPr="00F4758C">
              <w:rPr>
                <w:lang w:val="en-GB"/>
              </w:rPr>
              <w:t xml:space="preserve">There is still a long way to go, and our aim is to raise awareness of digital accessibility a little more each day – whether amongst developers, project managers, employees creating documents, software vendors selling us their applications, or many others. This will help to make our IT environment more accessible every day.” </w:t>
            </w:r>
          </w:p>
          <w:p w14:paraId="6DAFD315" w14:textId="77777777" w:rsidR="00646CD1" w:rsidRPr="00F4758C" w:rsidRDefault="00646CD1" w:rsidP="00BE4EAB">
            <w:pPr>
              <w:rPr>
                <w:lang w:val="en-GB"/>
              </w:rPr>
            </w:pPr>
          </w:p>
          <w:p w14:paraId="31F8FE38" w14:textId="77777777" w:rsidR="008D54D8" w:rsidRPr="00D62C23" w:rsidRDefault="008D54D8" w:rsidP="00BE4EAB">
            <w:pPr>
              <w:jc w:val="right"/>
              <w:rPr>
                <w:b/>
                <w:bCs/>
              </w:rPr>
            </w:pPr>
            <w:r>
              <w:rPr>
                <w:b/>
                <w:bCs/>
              </w:rPr>
              <w:t>Barbara DEVAUX</w:t>
            </w:r>
            <w:r w:rsidRPr="00BE2C17">
              <w:t>, IT Integration Programme Director</w:t>
            </w:r>
            <w:r w:rsidRPr="00A90E53">
              <w:t xml:space="preserve">, </w:t>
            </w:r>
            <w:r w:rsidRPr="00BE2C17">
              <w:rPr>
                <w:b/>
                <w:bCs/>
              </w:rPr>
              <w:t>EQUANS</w:t>
            </w:r>
          </w:p>
        </w:tc>
      </w:tr>
      <w:tr w:rsidR="0092554C" w:rsidRPr="004B4BDE" w14:paraId="3ACFA010" w14:textId="77777777" w:rsidTr="00072B81">
        <w:trPr>
          <w:jc w:val="center"/>
        </w:trPr>
        <w:tc>
          <w:tcPr>
            <w:tcW w:w="9047" w:type="dxa"/>
            <w:tcBorders>
              <w:left w:val="single" w:sz="18" w:space="0" w:color="155E48"/>
            </w:tcBorders>
            <w:shd w:val="clear" w:color="auto" w:fill="F2F2F2" w:themeFill="background1" w:themeFillShade="F2"/>
          </w:tcPr>
          <w:p w14:paraId="0195FAEF" w14:textId="5DA41A9B" w:rsidR="00754315" w:rsidRDefault="00F94B26" w:rsidP="00754315">
            <w:pPr>
              <w:pStyle w:val="TitreEncart"/>
              <w:rPr>
                <w:color w:val="4A5843"/>
              </w:rPr>
            </w:pPr>
            <w:bookmarkStart w:id="42" w:name="_Toc230257726"/>
            <w:bookmarkEnd w:id="41"/>
            <w:r w:rsidRPr="00754315">
              <w:lastRenderedPageBreak/>
              <w:t>Case Study:</w:t>
            </w:r>
            <w:r w:rsidR="00754315" w:rsidRPr="00754315">
              <w:t xml:space="preserve"> </w:t>
            </w:r>
            <w:r w:rsidR="00754315">
              <w:t xml:space="preserve"> </w:t>
            </w:r>
            <w:r w:rsidR="00754315" w:rsidRPr="00754315">
              <w:t xml:space="preserve">Direction du Numérique des </w:t>
            </w:r>
            <w:r w:rsidR="004F31C5">
              <w:t>M</w:t>
            </w:r>
            <w:r w:rsidR="00754315" w:rsidRPr="00754315">
              <w:t>inist</w:t>
            </w:r>
            <w:r w:rsidR="004F31C5">
              <w:t>è</w:t>
            </w:r>
            <w:r w:rsidR="00754315" w:rsidRPr="00754315">
              <w:t>res de la Transition écologique et de l’Aménagement des territoires</w:t>
            </w:r>
            <w:r w:rsidR="00754315">
              <w:rPr>
                <w:b w:val="0"/>
                <w:bCs/>
                <w:color w:val="4A5843"/>
              </w:rPr>
              <w:t xml:space="preserve"> </w:t>
            </w:r>
          </w:p>
          <w:bookmarkEnd w:id="42"/>
          <w:p w14:paraId="5284E235" w14:textId="061E3708" w:rsidR="0092554C" w:rsidRPr="00F4758C" w:rsidRDefault="0092554C" w:rsidP="0033608D">
            <w:pPr>
              <w:pStyle w:val="TitreencartREX"/>
              <w:rPr>
                <w:lang w:val="en-GB"/>
              </w:rPr>
            </w:pPr>
            <w:r w:rsidRPr="00F4758C">
              <w:rPr>
                <w:lang w:val="en-GB"/>
              </w:rPr>
              <w:t>Analysis of the current situation and definition of the target audiences for the accessibility initiative</w:t>
            </w:r>
          </w:p>
          <w:p w14:paraId="4F116FFF" w14:textId="2B1F746B" w:rsidR="00F671A3" w:rsidRPr="00F4758C" w:rsidRDefault="00F671A3" w:rsidP="00F671A3">
            <w:pPr>
              <w:rPr>
                <w:lang w:val="en-GB"/>
              </w:rPr>
            </w:pPr>
            <w:r w:rsidRPr="00F4758C">
              <w:rPr>
                <w:lang w:val="en-GB"/>
              </w:rPr>
              <w:t xml:space="preserve">“The development of the </w:t>
            </w:r>
            <w:r w:rsidR="00754315">
              <w:rPr>
                <w:lang w:val="en-GB"/>
              </w:rPr>
              <w:t>“</w:t>
            </w:r>
            <w:r w:rsidRPr="00F4758C">
              <w:rPr>
                <w:lang w:val="en-GB"/>
              </w:rPr>
              <w:t xml:space="preserve">Handi et </w:t>
            </w:r>
            <w:r w:rsidR="001459B6" w:rsidRPr="00F4758C">
              <w:rPr>
                <w:lang w:val="en-GB"/>
              </w:rPr>
              <w:t>Numérique</w:t>
            </w:r>
            <w:r w:rsidR="00754315">
              <w:rPr>
                <w:lang w:val="en-GB"/>
              </w:rPr>
              <w:t>”</w:t>
            </w:r>
            <w:r w:rsidRPr="00F4758C">
              <w:rPr>
                <w:lang w:val="en-GB"/>
              </w:rPr>
              <w:t xml:space="preserve"> strategy began by listening to people with disabilities and </w:t>
            </w:r>
            <w:r w:rsidR="00B93F72" w:rsidRPr="00F4758C">
              <w:rPr>
                <w:lang w:val="en-GB"/>
              </w:rPr>
              <w:t xml:space="preserve">by </w:t>
            </w:r>
            <w:r w:rsidRPr="00F4758C">
              <w:rPr>
                <w:lang w:val="en-GB"/>
              </w:rPr>
              <w:t xml:space="preserve">bringing together the initiatives already in place at the time the roadmap was drafted. This initial phase culminated </w:t>
            </w:r>
            <w:r w:rsidR="00B93F72" w:rsidRPr="00F4758C">
              <w:rPr>
                <w:lang w:val="en-GB"/>
              </w:rPr>
              <w:t xml:space="preserve">in 2022 </w:t>
            </w:r>
            <w:r w:rsidRPr="00F4758C">
              <w:rPr>
                <w:lang w:val="en-GB"/>
              </w:rPr>
              <w:t>in the production of a strategic document</w:t>
            </w:r>
            <w:r w:rsidR="00B93F72" w:rsidRPr="00F4758C">
              <w:rPr>
                <w:lang w:val="en-GB"/>
              </w:rPr>
              <w:t xml:space="preserve">, </w:t>
            </w:r>
            <w:r w:rsidRPr="00F4758C">
              <w:rPr>
                <w:lang w:val="en-GB"/>
              </w:rPr>
              <w:t>drawn up in collaboration with all key stakeholders in the initiative (line departments, operators, decentralised services), and supported by a ‘surprise’ report.</w:t>
            </w:r>
          </w:p>
          <w:p w14:paraId="6B025E91" w14:textId="2FFB4FA9" w:rsidR="00F671A3" w:rsidRPr="00F4758C" w:rsidRDefault="00F671A3" w:rsidP="00F671A3">
            <w:pPr>
              <w:rPr>
                <w:lang w:val="en-GB"/>
              </w:rPr>
            </w:pPr>
            <w:r w:rsidRPr="00F4758C">
              <w:rPr>
                <w:lang w:val="en-GB"/>
              </w:rPr>
              <w:t xml:space="preserve">The new </w:t>
            </w:r>
            <w:r w:rsidR="00754315">
              <w:rPr>
                <w:lang w:val="en-GB"/>
              </w:rPr>
              <w:t>“</w:t>
            </w:r>
            <w:r w:rsidRPr="00F4758C">
              <w:rPr>
                <w:lang w:val="en-GB"/>
              </w:rPr>
              <w:t xml:space="preserve">Handi &amp; </w:t>
            </w:r>
            <w:r w:rsidR="001459B6" w:rsidRPr="00F4758C">
              <w:rPr>
                <w:lang w:val="en-GB"/>
              </w:rPr>
              <w:t>Numérique</w:t>
            </w:r>
            <w:r w:rsidR="00754315">
              <w:rPr>
                <w:lang w:val="en-GB"/>
              </w:rPr>
              <w:t>”</w:t>
            </w:r>
            <w:r w:rsidRPr="00F4758C">
              <w:rPr>
                <w:lang w:val="en-GB"/>
              </w:rPr>
              <w:t xml:space="preserve"> programme aimed to put the roadmap into practice by overhauling it, enabling collective progress. </w:t>
            </w:r>
            <w:r w:rsidR="00B93F72" w:rsidRPr="00F4758C">
              <w:rPr>
                <w:lang w:val="en-GB"/>
              </w:rPr>
              <w:t xml:space="preserve">Today, </w:t>
            </w:r>
            <w:r w:rsidRPr="00F4758C">
              <w:rPr>
                <w:lang w:val="en-GB"/>
              </w:rPr>
              <w:t xml:space="preserve">this programme is led at a high level by the General Secretariat and the Director of Digital (providing both high-level sponsorship and operational oversight), with a target date of 2027 to deliver nine actions across three areas: </w:t>
            </w:r>
          </w:p>
          <w:p w14:paraId="54F2C96D" w14:textId="1A02F6B3" w:rsidR="00F671A3" w:rsidRPr="00F4758C" w:rsidRDefault="00F671A3" w:rsidP="00F671A3">
            <w:pPr>
              <w:rPr>
                <w:lang w:val="en-GB"/>
              </w:rPr>
            </w:pPr>
            <w:r w:rsidRPr="00F4758C">
              <w:rPr>
                <w:lang w:val="en-GB"/>
              </w:rPr>
              <w:t>1 – Supporting project owners in developing digital products accessible to all</w:t>
            </w:r>
            <w:r w:rsidR="001459B6" w:rsidRPr="00F4758C">
              <w:rPr>
                <w:lang w:val="en-GB"/>
              </w:rPr>
              <w:t>;</w:t>
            </w:r>
          </w:p>
          <w:p w14:paraId="0126320B" w14:textId="19930DF7" w:rsidR="00F671A3" w:rsidRPr="00F4758C" w:rsidRDefault="00F671A3" w:rsidP="00F671A3">
            <w:pPr>
              <w:rPr>
                <w:lang w:val="en-GB"/>
              </w:rPr>
            </w:pPr>
            <w:r w:rsidRPr="00F4758C">
              <w:rPr>
                <w:lang w:val="en-GB"/>
              </w:rPr>
              <w:t>2 – Developing the Ministry’s digital products and tools with users and staff with disabilities in mind</w:t>
            </w:r>
            <w:r w:rsidR="001459B6" w:rsidRPr="00F4758C">
              <w:rPr>
                <w:lang w:val="en-GB"/>
              </w:rPr>
              <w:t>;</w:t>
            </w:r>
          </w:p>
          <w:p w14:paraId="315A8280" w14:textId="7450E61E" w:rsidR="00F671A3" w:rsidRPr="00F4758C" w:rsidRDefault="00F671A3" w:rsidP="00F671A3">
            <w:pPr>
              <w:rPr>
                <w:lang w:val="en-GB"/>
              </w:rPr>
            </w:pPr>
            <w:r w:rsidRPr="00F4758C">
              <w:rPr>
                <w:lang w:val="en-GB"/>
              </w:rPr>
              <w:t xml:space="preserve">3 - Providing staff with training </w:t>
            </w:r>
            <w:r w:rsidR="0036541B" w:rsidRPr="00F4758C">
              <w:rPr>
                <w:lang w:val="en-GB"/>
              </w:rPr>
              <w:t xml:space="preserve">in digital accessibility </w:t>
            </w:r>
            <w:r w:rsidRPr="00F4758C">
              <w:rPr>
                <w:lang w:val="en-GB"/>
              </w:rPr>
              <w:t xml:space="preserve">so </w:t>
            </w:r>
            <w:r w:rsidR="0036541B" w:rsidRPr="00F4758C">
              <w:rPr>
                <w:lang w:val="en-GB"/>
              </w:rPr>
              <w:t xml:space="preserve">that they can </w:t>
            </w:r>
            <w:r w:rsidRPr="00F4758C">
              <w:rPr>
                <w:lang w:val="en-GB"/>
              </w:rPr>
              <w:t>take action</w:t>
            </w:r>
            <w:r w:rsidR="001459B6" w:rsidRPr="00F4758C">
              <w:rPr>
                <w:lang w:val="en-GB"/>
              </w:rPr>
              <w:t>.</w:t>
            </w:r>
          </w:p>
          <w:p w14:paraId="191ACFFB" w14:textId="62945B6D" w:rsidR="00646CD1" w:rsidRPr="00F4758C" w:rsidRDefault="00F671A3" w:rsidP="00F671A3">
            <w:pPr>
              <w:rPr>
                <w:lang w:val="en-GB"/>
              </w:rPr>
            </w:pPr>
            <w:r w:rsidRPr="00F4758C">
              <w:rPr>
                <w:lang w:val="en-GB"/>
              </w:rPr>
              <w:t xml:space="preserve">The target audience for the </w:t>
            </w:r>
            <w:r w:rsidR="004F31C5" w:rsidRPr="004F31C5">
              <w:rPr>
                <w:lang w:val="en-GB"/>
              </w:rPr>
              <w:t>Ministers for Ecological Transition and Spatial Planning</w:t>
            </w:r>
            <w:r w:rsidR="004F31C5">
              <w:rPr>
                <w:lang w:val="en-GB"/>
              </w:rPr>
              <w:t xml:space="preserve">’s </w:t>
            </w:r>
            <w:r w:rsidRPr="00F4758C">
              <w:rPr>
                <w:lang w:val="en-GB"/>
              </w:rPr>
              <w:t xml:space="preserve">initiative also includes staff with disabilities. Particular and distinctive attention has therefore been paid to the creation </w:t>
            </w:r>
            <w:r w:rsidR="004B69D3" w:rsidRPr="00F4758C">
              <w:rPr>
                <w:lang w:val="en-GB"/>
              </w:rPr>
              <w:t xml:space="preserve">of the Helen Keller Laboratory, </w:t>
            </w:r>
            <w:r w:rsidRPr="00F4758C">
              <w:rPr>
                <w:lang w:val="en-GB"/>
              </w:rPr>
              <w:t xml:space="preserve">a space offering, in particular, equipment, accessories and workstations dedicated to people with disabilities. Indeed, digital accessibility is not limited to the digital realm, just as disability is not limited solely to RQTH (recognition of status as a disabled worker). We need a </w:t>
            </w:r>
            <w:r w:rsidR="00B5346E" w:rsidRPr="00F4758C">
              <w:rPr>
                <w:lang w:val="en-GB"/>
              </w:rPr>
              <w:t xml:space="preserve">multi-equipment </w:t>
            </w:r>
            <w:r w:rsidRPr="00F4758C">
              <w:rPr>
                <w:lang w:val="en-GB"/>
              </w:rPr>
              <w:t xml:space="preserve">approach that </w:t>
            </w:r>
            <w:r w:rsidR="004B69D3" w:rsidRPr="00F4758C">
              <w:rPr>
                <w:lang w:val="en-GB"/>
              </w:rPr>
              <w:t xml:space="preserve">takes </w:t>
            </w:r>
            <w:r w:rsidRPr="00F4758C">
              <w:rPr>
                <w:lang w:val="en-GB"/>
              </w:rPr>
              <w:t xml:space="preserve">into account the entire physical </w:t>
            </w:r>
            <w:r w:rsidRPr="001F2368">
              <w:rPr>
                <w:lang w:val="en-GB"/>
              </w:rPr>
              <w:t xml:space="preserve">and </w:t>
            </w:r>
            <w:r w:rsidRPr="00F4758C">
              <w:rPr>
                <w:lang w:val="en-GB"/>
              </w:rPr>
              <w:t>digital working environment, and</w:t>
            </w:r>
            <w:r w:rsidR="004B69D3" w:rsidRPr="00F4758C">
              <w:rPr>
                <w:lang w:val="en-GB"/>
              </w:rPr>
              <w:t>,</w:t>
            </w:r>
            <w:r w:rsidRPr="00F4758C">
              <w:rPr>
                <w:lang w:val="en-GB"/>
              </w:rPr>
              <w:t xml:space="preserve"> for example</w:t>
            </w:r>
            <w:r w:rsidR="004B69D3" w:rsidRPr="00F4758C">
              <w:rPr>
                <w:lang w:val="en-GB"/>
              </w:rPr>
              <w:t xml:space="preserve">, </w:t>
            </w:r>
            <w:r w:rsidRPr="00F4758C">
              <w:rPr>
                <w:lang w:val="en-GB"/>
              </w:rPr>
              <w:t xml:space="preserve">provides facilities for guide dogs, copies of speeches and minutes </w:t>
            </w:r>
            <w:r w:rsidR="0036541B" w:rsidRPr="00F4758C">
              <w:rPr>
                <w:lang w:val="en-GB"/>
              </w:rPr>
              <w:t>for the hard of hearing</w:t>
            </w:r>
            <w:r w:rsidRPr="00F4758C">
              <w:rPr>
                <w:lang w:val="en-GB"/>
              </w:rPr>
              <w:t>, and adapted desks...</w:t>
            </w:r>
            <w:r w:rsidR="00DC3602" w:rsidRPr="00F4758C">
              <w:rPr>
                <w:lang w:val="en-GB"/>
              </w:rPr>
              <w:t>”.</w:t>
            </w:r>
          </w:p>
          <w:p w14:paraId="2023B953" w14:textId="77777777" w:rsidR="00646CD1" w:rsidRPr="00F4758C" w:rsidRDefault="00646CD1" w:rsidP="00F671A3">
            <w:pPr>
              <w:rPr>
                <w:lang w:val="en-GB"/>
              </w:rPr>
            </w:pPr>
          </w:p>
          <w:p w14:paraId="43A9C6CD" w14:textId="463FBFFD" w:rsidR="00F671A3" w:rsidRPr="00F4758C" w:rsidRDefault="00F671A3" w:rsidP="00646CD1">
            <w:pPr>
              <w:spacing w:before="120"/>
              <w:jc w:val="right"/>
              <w:rPr>
                <w:lang w:val="en-GB"/>
              </w:rPr>
            </w:pPr>
            <w:r w:rsidRPr="00F4758C">
              <w:rPr>
                <w:b/>
                <w:bCs/>
                <w:lang w:val="en-GB"/>
              </w:rPr>
              <w:t>Marie-Laure Bouthière</w:t>
            </w:r>
            <w:r w:rsidRPr="00F4758C">
              <w:rPr>
                <w:lang w:val="en-GB"/>
              </w:rPr>
              <w:t xml:space="preserve">, Programme Manager for the </w:t>
            </w:r>
            <w:r w:rsidR="003C2B41">
              <w:rPr>
                <w:lang w:val="en-GB"/>
              </w:rPr>
              <w:t>“</w:t>
            </w:r>
            <w:r w:rsidRPr="00F4758C">
              <w:rPr>
                <w:lang w:val="en-GB"/>
              </w:rPr>
              <w:t xml:space="preserve">Handi &amp; </w:t>
            </w:r>
            <w:r w:rsidR="00FA3BA0" w:rsidRPr="00F4758C">
              <w:rPr>
                <w:lang w:val="en-GB"/>
              </w:rPr>
              <w:t>Numérique</w:t>
            </w:r>
            <w:r w:rsidR="003C2B41">
              <w:rPr>
                <w:lang w:val="en-GB"/>
              </w:rPr>
              <w:t>”</w:t>
            </w:r>
            <w:r w:rsidR="00FA3BA0" w:rsidRPr="00F4758C">
              <w:rPr>
                <w:lang w:val="en-GB"/>
              </w:rPr>
              <w:t xml:space="preserve"> </w:t>
            </w:r>
            <w:r w:rsidRPr="00F4758C">
              <w:rPr>
                <w:lang w:val="en-GB"/>
              </w:rPr>
              <w:t>programme,</w:t>
            </w:r>
          </w:p>
          <w:p w14:paraId="633C7E83" w14:textId="77777777" w:rsidR="00F671A3" w:rsidRPr="00F4758C" w:rsidRDefault="00F671A3" w:rsidP="00646CD1">
            <w:pPr>
              <w:spacing w:before="120"/>
              <w:jc w:val="right"/>
              <w:rPr>
                <w:lang w:val="en-GB"/>
              </w:rPr>
            </w:pPr>
            <w:r w:rsidRPr="00F4758C">
              <w:rPr>
                <w:b/>
                <w:bCs/>
                <w:lang w:val="en-GB"/>
              </w:rPr>
              <w:t>Jean-Philippe Simonnet</w:t>
            </w:r>
            <w:r w:rsidRPr="00F4758C">
              <w:rPr>
                <w:lang w:val="en-GB"/>
              </w:rPr>
              <w:t>, Digital Accessibility Project Manager,</w:t>
            </w:r>
          </w:p>
          <w:p w14:paraId="22CE51D7" w14:textId="43B3A1F3" w:rsidR="00F671A3" w:rsidRPr="00F4758C" w:rsidRDefault="00F671A3" w:rsidP="00646CD1">
            <w:pPr>
              <w:spacing w:before="120"/>
              <w:jc w:val="right"/>
              <w:rPr>
                <w:lang w:val="en-GB"/>
              </w:rPr>
            </w:pPr>
            <w:r w:rsidRPr="00F4758C">
              <w:rPr>
                <w:b/>
                <w:bCs/>
                <w:lang w:val="en-GB"/>
              </w:rPr>
              <w:t>Geoffrey Arthaud</w:t>
            </w:r>
            <w:r w:rsidRPr="00F4758C">
              <w:rPr>
                <w:lang w:val="en-GB"/>
              </w:rPr>
              <w:t xml:space="preserve">, Head of the </w:t>
            </w:r>
            <w:r w:rsidR="003C2B41">
              <w:rPr>
                <w:lang w:val="en-GB"/>
              </w:rPr>
              <w:t>“</w:t>
            </w:r>
            <w:r w:rsidRPr="00F4758C">
              <w:rPr>
                <w:lang w:val="en-GB"/>
              </w:rPr>
              <w:t>Methods</w:t>
            </w:r>
            <w:r w:rsidR="003C2B41">
              <w:rPr>
                <w:lang w:val="en-GB"/>
              </w:rPr>
              <w:t>”</w:t>
            </w:r>
            <w:r w:rsidRPr="00F4758C">
              <w:rPr>
                <w:lang w:val="en-GB"/>
              </w:rPr>
              <w:t xml:space="preserve"> Group,</w:t>
            </w:r>
          </w:p>
          <w:p w14:paraId="60266E4F" w14:textId="77777777" w:rsidR="00F671A3" w:rsidRPr="00F4758C" w:rsidRDefault="00F671A3" w:rsidP="00646CD1">
            <w:pPr>
              <w:spacing w:before="120"/>
              <w:jc w:val="right"/>
              <w:rPr>
                <w:lang w:val="en-GB"/>
              </w:rPr>
            </w:pPr>
            <w:r w:rsidRPr="00F4758C">
              <w:rPr>
                <w:b/>
                <w:bCs/>
                <w:lang w:val="en-GB"/>
              </w:rPr>
              <w:t>Laetitia Legrand</w:t>
            </w:r>
            <w:r w:rsidRPr="00F4758C">
              <w:rPr>
                <w:lang w:val="en-GB"/>
              </w:rPr>
              <w:t xml:space="preserve">, UX/UI Designer, </w:t>
            </w:r>
          </w:p>
          <w:p w14:paraId="0B00DA9E" w14:textId="648903E2" w:rsidR="0092554C" w:rsidRPr="00F4758C" w:rsidRDefault="00F671A3" w:rsidP="00646CD1">
            <w:pPr>
              <w:spacing w:before="120"/>
              <w:jc w:val="right"/>
              <w:rPr>
                <w:b/>
                <w:bCs/>
                <w:lang w:val="en-GB"/>
              </w:rPr>
            </w:pPr>
            <w:r w:rsidRPr="00F4758C">
              <w:rPr>
                <w:lang w:val="en-GB"/>
              </w:rPr>
              <w:t xml:space="preserve"> </w:t>
            </w:r>
            <w:r w:rsidRPr="00F4758C">
              <w:rPr>
                <w:b/>
                <w:bCs/>
                <w:lang w:val="en-GB"/>
              </w:rPr>
              <w:t xml:space="preserve">General Secretariat, Digital Directorate, Ministries for Ecological Transition, Regional Planning, Transport, Cities and Housing </w:t>
            </w:r>
          </w:p>
        </w:tc>
      </w:tr>
    </w:tbl>
    <w:p w14:paraId="0662CBFC" w14:textId="77777777" w:rsidR="0092554C" w:rsidRPr="00F4758C" w:rsidRDefault="0092554C" w:rsidP="00DE3AAD">
      <w:pPr>
        <w:rPr>
          <w:lang w:val="en-GB" w:eastAsia="fr-FR"/>
        </w:rPr>
      </w:pPr>
    </w:p>
    <w:p w14:paraId="41DEA8D3" w14:textId="09E1B62A" w:rsidR="007B2E61" w:rsidRPr="00F4758C" w:rsidRDefault="007B2E61" w:rsidP="004502A1">
      <w:pPr>
        <w:pStyle w:val="Image"/>
        <w:rPr>
          <w:lang w:val="en-GB"/>
        </w:rPr>
      </w:pP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92554C" w:rsidRPr="00C43137" w14:paraId="222601BA" w14:textId="77777777" w:rsidTr="00AE4E37">
        <w:trPr>
          <w:jc w:val="center"/>
        </w:trPr>
        <w:tc>
          <w:tcPr>
            <w:tcW w:w="9047" w:type="dxa"/>
            <w:tcBorders>
              <w:left w:val="single" w:sz="18" w:space="0" w:color="155E48"/>
            </w:tcBorders>
            <w:shd w:val="clear" w:color="auto" w:fill="F2F2F2" w:themeFill="background1" w:themeFillShade="F2"/>
          </w:tcPr>
          <w:p w14:paraId="75B8009A" w14:textId="2848C606" w:rsidR="0092554C" w:rsidRPr="00F4758C" w:rsidRDefault="00F94B26" w:rsidP="00064C74">
            <w:pPr>
              <w:pStyle w:val="TitreEncart"/>
              <w:rPr>
                <w:lang w:val="en-GB"/>
              </w:rPr>
            </w:pPr>
            <w:bookmarkStart w:id="43" w:name="_Toc230257727"/>
            <w:bookmarkStart w:id="44" w:name="_Hlk226468158"/>
            <w:r w:rsidRPr="00F4758C">
              <w:rPr>
                <w:lang w:val="en-GB"/>
              </w:rPr>
              <w:t xml:space="preserve">Case Study: </w:t>
            </w:r>
            <w:r w:rsidR="0092554C" w:rsidRPr="00F4758C">
              <w:rPr>
                <w:lang w:val="en-GB"/>
              </w:rPr>
              <w:t xml:space="preserve">Caisse des </w:t>
            </w:r>
            <w:r>
              <w:rPr>
                <w:lang w:val="en-GB"/>
              </w:rPr>
              <w:t>D</w:t>
            </w:r>
            <w:r w:rsidR="0092554C" w:rsidRPr="00F4758C">
              <w:rPr>
                <w:lang w:val="en-GB"/>
              </w:rPr>
              <w:t>épôts</w:t>
            </w:r>
            <w:bookmarkEnd w:id="43"/>
            <w:r w:rsidR="0092554C" w:rsidRPr="00F4758C">
              <w:rPr>
                <w:lang w:val="en-GB"/>
              </w:rPr>
              <w:t xml:space="preserve"> </w:t>
            </w:r>
          </w:p>
          <w:p w14:paraId="2EFC08D6" w14:textId="3C57E613" w:rsidR="0092554C" w:rsidRPr="00F4758C" w:rsidRDefault="0092554C" w:rsidP="0033608D">
            <w:pPr>
              <w:pStyle w:val="TitreencartREX"/>
              <w:rPr>
                <w:lang w:val="en-GB"/>
              </w:rPr>
            </w:pPr>
            <w:r w:rsidRPr="00F4758C">
              <w:rPr>
                <w:lang w:val="en-GB"/>
              </w:rPr>
              <w:t xml:space="preserve">Development of a multi-year plan </w:t>
            </w:r>
          </w:p>
          <w:p w14:paraId="2F91AB59" w14:textId="7D91529A" w:rsidR="0092554C" w:rsidRPr="00F4758C" w:rsidRDefault="003C2B41" w:rsidP="0092554C">
            <w:pPr>
              <w:rPr>
                <w:lang w:val="en-GB"/>
              </w:rPr>
            </w:pPr>
            <w:r>
              <w:rPr>
                <w:lang w:val="en-GB"/>
              </w:rPr>
              <w:t>“</w:t>
            </w:r>
            <w:r w:rsidR="0092554C" w:rsidRPr="00F4758C">
              <w:rPr>
                <w:lang w:val="en-GB"/>
              </w:rPr>
              <w:t xml:space="preserve">The multi-year plan is a strategic roadmap </w:t>
            </w:r>
            <w:r w:rsidR="00FA3BA0" w:rsidRPr="00F4758C">
              <w:rPr>
                <w:lang w:val="en-GB"/>
              </w:rPr>
              <w:t xml:space="preserve">designed </w:t>
            </w:r>
            <w:r w:rsidR="0092554C" w:rsidRPr="00F4758C">
              <w:rPr>
                <w:lang w:val="en-GB"/>
              </w:rPr>
              <w:t>to steer digital accessibility, which provides for:</w:t>
            </w:r>
          </w:p>
          <w:p w14:paraId="7968A006" w14:textId="53C53C68" w:rsidR="0092554C" w:rsidRPr="00F4758C" w:rsidRDefault="0092554C">
            <w:pPr>
              <w:pStyle w:val="Paragraphedeliste"/>
              <w:numPr>
                <w:ilvl w:val="0"/>
                <w:numId w:val="19"/>
              </w:numPr>
              <w:rPr>
                <w:lang w:val="en-GB"/>
              </w:rPr>
            </w:pPr>
            <w:r w:rsidRPr="00F4758C">
              <w:rPr>
                <w:lang w:val="en-GB"/>
              </w:rPr>
              <w:t>Sustained implementation led by the Directorate (approved by the C</w:t>
            </w:r>
            <w:r w:rsidR="006F165D">
              <w:rPr>
                <w:lang w:val="en-GB"/>
              </w:rPr>
              <w:t>aisse des Dépôts</w:t>
            </w:r>
            <w:r w:rsidRPr="00F4758C">
              <w:rPr>
                <w:lang w:val="en-GB"/>
              </w:rPr>
              <w:t>’ Chief Information Officer);</w:t>
            </w:r>
          </w:p>
          <w:p w14:paraId="3DD0112C" w14:textId="5A62FAF4" w:rsidR="0092554C" w:rsidRPr="00F4758C" w:rsidRDefault="0092554C">
            <w:pPr>
              <w:pStyle w:val="Paragraphedeliste"/>
              <w:numPr>
                <w:ilvl w:val="0"/>
                <w:numId w:val="19"/>
              </w:numPr>
              <w:rPr>
                <w:lang w:val="en-GB"/>
              </w:rPr>
            </w:pPr>
            <w:r w:rsidRPr="00F4758C">
              <w:rPr>
                <w:lang w:val="en-GB"/>
              </w:rPr>
              <w:t>Precise, time-bound planning (with weekly progress reviews and quarterly reviews);</w:t>
            </w:r>
          </w:p>
          <w:p w14:paraId="722F9CB9" w14:textId="0AF09494" w:rsidR="0092554C" w:rsidRDefault="0092554C">
            <w:pPr>
              <w:pStyle w:val="Paragraphedeliste"/>
              <w:numPr>
                <w:ilvl w:val="0"/>
                <w:numId w:val="19"/>
              </w:numPr>
            </w:pPr>
            <w:r>
              <w:t>Budgeted actions;</w:t>
            </w:r>
          </w:p>
          <w:p w14:paraId="279C59F2" w14:textId="2D488BDD" w:rsidR="0092554C" w:rsidRPr="00F4758C" w:rsidRDefault="0092554C">
            <w:pPr>
              <w:pStyle w:val="Paragraphedeliste"/>
              <w:numPr>
                <w:ilvl w:val="0"/>
                <w:numId w:val="19"/>
              </w:numPr>
              <w:rPr>
                <w:lang w:val="en-GB"/>
              </w:rPr>
            </w:pPr>
            <w:r w:rsidRPr="00F4758C">
              <w:rPr>
                <w:lang w:val="en-GB"/>
              </w:rPr>
              <w:t>Monitoring and updating in line with developments;</w:t>
            </w:r>
          </w:p>
          <w:p w14:paraId="343372C1" w14:textId="086F3236" w:rsidR="0092554C" w:rsidRPr="00F4758C" w:rsidRDefault="0092554C">
            <w:pPr>
              <w:pStyle w:val="Paragraphedeliste"/>
              <w:numPr>
                <w:ilvl w:val="0"/>
                <w:numId w:val="19"/>
              </w:numPr>
              <w:rPr>
                <w:lang w:val="en-GB"/>
              </w:rPr>
            </w:pPr>
            <w:r w:rsidRPr="00F4758C">
              <w:rPr>
                <w:lang w:val="en-GB"/>
              </w:rPr>
              <w:t>Clearly defined and shared responsibilities;</w:t>
            </w:r>
          </w:p>
          <w:p w14:paraId="20BBDB26" w14:textId="45542F6F" w:rsidR="0092554C" w:rsidRPr="00F4758C" w:rsidRDefault="0092554C">
            <w:pPr>
              <w:pStyle w:val="Paragraphedeliste"/>
              <w:numPr>
                <w:ilvl w:val="0"/>
                <w:numId w:val="19"/>
              </w:numPr>
              <w:rPr>
                <w:lang w:val="en-GB"/>
              </w:rPr>
            </w:pPr>
            <w:r w:rsidRPr="00F4758C">
              <w:rPr>
                <w:lang w:val="en-GB"/>
              </w:rPr>
              <w:t>A public document available on the organisation’s website (a true reflection of the work carried out internally).</w:t>
            </w:r>
          </w:p>
          <w:p w14:paraId="2A90645B" w14:textId="7815BA10" w:rsidR="0092554C" w:rsidRPr="00F4758C" w:rsidRDefault="0092554C" w:rsidP="0092554C">
            <w:pPr>
              <w:rPr>
                <w:lang w:val="en-GB"/>
              </w:rPr>
            </w:pPr>
            <w:r w:rsidRPr="00F4758C">
              <w:rPr>
                <w:lang w:val="en-GB"/>
              </w:rPr>
              <w:t xml:space="preserve">The publication of this general policy document and the setting of objectives are mandatory and must be made public. This may take some time (between 4 and 6 months), given the need for approval by the various committees, </w:t>
            </w:r>
            <w:r w:rsidR="008B3F71" w:rsidRPr="00F4758C">
              <w:rPr>
                <w:lang w:val="en-GB"/>
              </w:rPr>
              <w:t xml:space="preserve">but it </w:t>
            </w:r>
            <w:r w:rsidRPr="00F4758C">
              <w:rPr>
                <w:lang w:val="en-GB"/>
              </w:rPr>
              <w:t>also helps to involve decision-makers in this process.</w:t>
            </w:r>
          </w:p>
          <w:p w14:paraId="0066C1FE" w14:textId="25A4CD07" w:rsidR="0092554C" w:rsidRPr="00F4758C" w:rsidRDefault="008B3F71" w:rsidP="0092554C">
            <w:pPr>
              <w:rPr>
                <w:lang w:val="en-GB"/>
              </w:rPr>
            </w:pPr>
            <w:r w:rsidRPr="00F4758C">
              <w:rPr>
                <w:lang w:val="en-GB"/>
              </w:rPr>
              <w:t xml:space="preserve">With regard to </w:t>
            </w:r>
            <w:r w:rsidR="0092554C" w:rsidRPr="00F4758C">
              <w:rPr>
                <w:lang w:val="en-GB"/>
              </w:rPr>
              <w:t xml:space="preserve">the target audiences, consideration for users with disabilities applies </w:t>
            </w:r>
            <w:r w:rsidRPr="00F4758C">
              <w:rPr>
                <w:lang w:val="en-GB"/>
              </w:rPr>
              <w:t xml:space="preserve">both internally to </w:t>
            </w:r>
            <w:r w:rsidR="0092554C" w:rsidRPr="00F4758C">
              <w:rPr>
                <w:lang w:val="en-GB"/>
              </w:rPr>
              <w:t xml:space="preserve">staff and externally </w:t>
            </w:r>
            <w:r w:rsidRPr="00F4758C">
              <w:rPr>
                <w:lang w:val="en-GB"/>
              </w:rPr>
              <w:t xml:space="preserve">to </w:t>
            </w:r>
            <w:r w:rsidR="0092554C" w:rsidRPr="00F4758C">
              <w:rPr>
                <w:lang w:val="en-GB"/>
              </w:rPr>
              <w:t>customers or service users.</w:t>
            </w:r>
          </w:p>
          <w:p w14:paraId="012CD2F7" w14:textId="1529FA2B" w:rsidR="0092554C" w:rsidRPr="00F4758C" w:rsidRDefault="0092554C" w:rsidP="0092554C">
            <w:pPr>
              <w:rPr>
                <w:lang w:val="en-GB"/>
              </w:rPr>
            </w:pPr>
            <w:r w:rsidRPr="00F4758C">
              <w:rPr>
                <w:lang w:val="en-GB"/>
              </w:rPr>
              <w:t xml:space="preserve">The role of accessibility leads is quite distinctive at the CDC, as they work directly with </w:t>
            </w:r>
            <w:r w:rsidRPr="001F2368">
              <w:rPr>
                <w:lang w:val="en-GB"/>
              </w:rPr>
              <w:t xml:space="preserve">business analysts </w:t>
            </w:r>
            <w:r w:rsidRPr="00F4758C">
              <w:rPr>
                <w:lang w:val="en-GB"/>
              </w:rPr>
              <w:t xml:space="preserve">or </w:t>
            </w:r>
            <w:r w:rsidRPr="001F2368">
              <w:rPr>
                <w:lang w:val="en-GB"/>
              </w:rPr>
              <w:t xml:space="preserve">UX/UI designers </w:t>
            </w:r>
            <w:r w:rsidRPr="00F4758C">
              <w:rPr>
                <w:lang w:val="en-GB"/>
              </w:rPr>
              <w:t xml:space="preserve">(for functional design) and </w:t>
            </w:r>
            <w:r w:rsidR="008B3F71" w:rsidRPr="00F4758C">
              <w:rPr>
                <w:lang w:val="en-GB"/>
              </w:rPr>
              <w:t xml:space="preserve">with </w:t>
            </w:r>
            <w:r w:rsidRPr="00F4758C">
              <w:rPr>
                <w:lang w:val="en-GB"/>
              </w:rPr>
              <w:t>developers (for technical aspects). They have a dual role of providing support and monitoring compliance.</w:t>
            </w:r>
          </w:p>
          <w:p w14:paraId="3CE6C06C" w14:textId="1130891D" w:rsidR="00646CD1" w:rsidRPr="00F4758C" w:rsidRDefault="0092554C" w:rsidP="0092554C">
            <w:pPr>
              <w:rPr>
                <w:lang w:val="en-GB"/>
              </w:rPr>
            </w:pPr>
            <w:r w:rsidRPr="00F4758C">
              <w:rPr>
                <w:lang w:val="en-GB"/>
              </w:rPr>
              <w:t>In terms of committee structure, a body (comprising sponsors and senior management) has been set up to share progress on accessibility and meets twice a year. Establishing a body with sponsors is essential for managing accessibility</w:t>
            </w:r>
            <w:r w:rsidR="00DC3602" w:rsidRPr="00F4758C">
              <w:rPr>
                <w:lang w:val="en-GB"/>
              </w:rPr>
              <w:t>.”</w:t>
            </w:r>
          </w:p>
          <w:p w14:paraId="5FED544D" w14:textId="77777777" w:rsidR="00646CD1" w:rsidRPr="00F4758C" w:rsidRDefault="00646CD1" w:rsidP="0092554C">
            <w:pPr>
              <w:rPr>
                <w:lang w:val="en-GB"/>
              </w:rPr>
            </w:pPr>
          </w:p>
          <w:p w14:paraId="7AA584DC" w14:textId="779009F6" w:rsidR="0092554C" w:rsidRDefault="0092554C" w:rsidP="0092554C">
            <w:pPr>
              <w:jc w:val="right"/>
            </w:pPr>
            <w:r w:rsidRPr="0092554C">
              <w:rPr>
                <w:b/>
                <w:bCs/>
              </w:rPr>
              <w:t>Yann Goupil</w:t>
            </w:r>
            <w:r>
              <w:t xml:space="preserve">, Digital Accessibility Lead at </w:t>
            </w:r>
            <w:r w:rsidRPr="0036541B">
              <w:rPr>
                <w:b/>
                <w:bCs/>
              </w:rPr>
              <w:t xml:space="preserve">the </w:t>
            </w:r>
            <w:r w:rsidRPr="001F2368">
              <w:rPr>
                <w:b/>
                <w:bCs/>
              </w:rPr>
              <w:t>Caisse des Dépôts</w:t>
            </w:r>
            <w:r w:rsidRPr="0092554C">
              <w:rPr>
                <w:b/>
                <w:bCs/>
              </w:rPr>
              <w:t xml:space="preserve"> </w:t>
            </w:r>
            <w:r w:rsidRPr="0036541B">
              <w:rPr>
                <w:b/>
                <w:bCs/>
              </w:rPr>
              <w:t>public institution</w:t>
            </w:r>
          </w:p>
          <w:p w14:paraId="0F71F739" w14:textId="2E6C4E18" w:rsidR="0092554C" w:rsidRPr="00C43137" w:rsidRDefault="0092554C" w:rsidP="00646CD1">
            <w:pPr>
              <w:jc w:val="right"/>
            </w:pPr>
            <w:r w:rsidRPr="0092554C">
              <w:rPr>
                <w:b/>
                <w:bCs/>
              </w:rPr>
              <w:t>Délia Garbarini</w:t>
            </w:r>
            <w:r>
              <w:t>, Digital Accessibility Lead</w:t>
            </w:r>
            <w:r w:rsidR="0036541B">
              <w:t xml:space="preserve">, </w:t>
            </w:r>
            <w:r w:rsidRPr="001F2368">
              <w:rPr>
                <w:b/>
                <w:bCs/>
              </w:rPr>
              <w:t>CDC</w:t>
            </w:r>
            <w:r w:rsidRPr="0092554C">
              <w:rPr>
                <w:b/>
                <w:bCs/>
              </w:rPr>
              <w:t xml:space="preserve"> IT</w:t>
            </w:r>
          </w:p>
        </w:tc>
      </w:tr>
      <w:bookmarkEnd w:id="44"/>
    </w:tbl>
    <w:p w14:paraId="6532A5FF" w14:textId="77777777" w:rsidR="0092554C" w:rsidRDefault="0092554C" w:rsidP="0092554C">
      <w:pPr>
        <w:rPr>
          <w:rFonts w:eastAsia="Times New Roman"/>
        </w:rPr>
      </w:pPr>
    </w:p>
    <w:p w14:paraId="02F4FE60" w14:textId="12EB3280" w:rsidR="0092554C" w:rsidRDefault="00FA3BA0" w:rsidP="0092554C">
      <w:pPr>
        <w:pStyle w:val="Titre2"/>
      </w:pPr>
      <w:bookmarkStart w:id="45" w:name="_Toc230077015"/>
      <w:r>
        <w:lastRenderedPageBreak/>
        <w:t xml:space="preserve">Relations </w:t>
      </w:r>
      <w:r w:rsidR="0092554C" w:rsidRPr="0092554C">
        <w:t>with the organisational ecosystem</w:t>
      </w:r>
      <w:bookmarkEnd w:id="45"/>
    </w:p>
    <w:p w14:paraId="26647D64" w14:textId="1A27C674" w:rsidR="0092554C" w:rsidRPr="008227C9" w:rsidRDefault="0092554C" w:rsidP="0092554C">
      <w:pPr>
        <w:pStyle w:val="Titre3"/>
        <w:rPr>
          <w:lang w:val="fr-FR"/>
        </w:rPr>
      </w:pPr>
      <w:bookmarkStart w:id="46" w:name="_Toc230077016"/>
      <w:r w:rsidRPr="008227C9">
        <w:rPr>
          <w:lang w:val="fr-FR"/>
        </w:rPr>
        <w:t>Mainstreaming dialogue between stakeholders</w:t>
      </w:r>
      <w:bookmarkEnd w:id="46"/>
    </w:p>
    <w:p w14:paraId="0BEEC635" w14:textId="72636EB9" w:rsidR="0092554C" w:rsidRPr="00F4758C" w:rsidRDefault="0092554C" w:rsidP="0092554C">
      <w:pPr>
        <w:rPr>
          <w:rFonts w:eastAsia="Times New Roman"/>
          <w:lang w:val="en-GB"/>
        </w:rPr>
      </w:pPr>
      <w:r w:rsidRPr="00F4758C">
        <w:rPr>
          <w:rFonts w:eastAsia="Times New Roman"/>
          <w:lang w:val="en-GB"/>
        </w:rPr>
        <w:t xml:space="preserve">To ensure that the establishment of governance does not remain a dead letter, it seems essential to rapidly build the capabilities of the entire project design and monitoring chain, both internally and externally with service providers, through an iterative cycle of validation and testing that must be standardised </w:t>
      </w:r>
      <w:r w:rsidR="00FA3BA0" w:rsidRPr="00F4758C">
        <w:rPr>
          <w:rFonts w:eastAsia="Times New Roman"/>
          <w:lang w:val="en-GB"/>
        </w:rPr>
        <w:t>as much as possible</w:t>
      </w:r>
      <w:r w:rsidRPr="00F4758C">
        <w:rPr>
          <w:rFonts w:eastAsia="Times New Roman"/>
          <w:lang w:val="en-GB"/>
        </w:rPr>
        <w:t>.</w:t>
      </w:r>
    </w:p>
    <w:p w14:paraId="2CE63D2B" w14:textId="44F6F478" w:rsidR="0092554C" w:rsidRPr="00F4758C" w:rsidRDefault="0092554C" w:rsidP="0092554C">
      <w:pPr>
        <w:rPr>
          <w:rFonts w:eastAsia="Times New Roman"/>
          <w:lang w:val="en-GB"/>
        </w:rPr>
      </w:pPr>
      <w:r w:rsidRPr="00F4758C">
        <w:rPr>
          <w:rFonts w:eastAsia="Times New Roman"/>
          <w:b/>
          <w:bCs/>
          <w:lang w:val="en-GB"/>
        </w:rPr>
        <w:t xml:space="preserve">Internally, the digital accessibility unit must foster interactions with a wide range of stakeholders </w:t>
      </w:r>
      <w:r w:rsidR="007256CE" w:rsidRPr="00F4758C">
        <w:rPr>
          <w:rFonts w:eastAsia="Times New Roman"/>
          <w:b/>
          <w:bCs/>
          <w:lang w:val="en-GB"/>
        </w:rPr>
        <w:t>and ensure these are sustained over the long term</w:t>
      </w:r>
      <w:r w:rsidRPr="00F4758C">
        <w:rPr>
          <w:rFonts w:eastAsia="Times New Roman"/>
          <w:lang w:val="en-GB"/>
        </w:rPr>
        <w:t xml:space="preserve">. The main stakeholders include the department to which the accessibility lead belongs, the IT department, teams responsible for procurement, </w:t>
      </w:r>
      <w:r w:rsidR="0057195C" w:rsidRPr="00F4758C">
        <w:rPr>
          <w:rFonts w:eastAsia="Times New Roman"/>
          <w:lang w:val="en-GB"/>
        </w:rPr>
        <w:t xml:space="preserve">user relations (staff </w:t>
      </w:r>
      <w:r w:rsidRPr="00F4758C">
        <w:rPr>
          <w:rFonts w:eastAsia="Times New Roman"/>
          <w:lang w:val="en-GB"/>
        </w:rPr>
        <w:t xml:space="preserve">and </w:t>
      </w:r>
      <w:r w:rsidR="0057195C" w:rsidRPr="00F4758C">
        <w:rPr>
          <w:rFonts w:eastAsia="Times New Roman"/>
          <w:lang w:val="en-GB"/>
        </w:rPr>
        <w:t>customers)</w:t>
      </w:r>
      <w:r w:rsidRPr="00F4758C">
        <w:rPr>
          <w:rFonts w:eastAsia="Times New Roman"/>
          <w:lang w:val="en-GB"/>
        </w:rPr>
        <w:t>, any training departments, project teams, service providers, etc.</w:t>
      </w:r>
      <w:r w:rsidR="0057195C" w:rsidRPr="00F4758C">
        <w:rPr>
          <w:rFonts w:eastAsia="Times New Roman"/>
          <w:lang w:val="en-GB"/>
        </w:rPr>
        <w:t xml:space="preserve">, </w:t>
      </w:r>
      <w:r w:rsidRPr="00F4758C">
        <w:rPr>
          <w:rFonts w:eastAsia="Times New Roman"/>
          <w:lang w:val="en-GB"/>
        </w:rPr>
        <w:t xml:space="preserve">as </w:t>
      </w:r>
      <w:r w:rsidR="0057195C" w:rsidRPr="00F4758C">
        <w:rPr>
          <w:rFonts w:eastAsia="Times New Roman"/>
          <w:lang w:val="en-GB"/>
        </w:rPr>
        <w:t>illustrated</w:t>
      </w:r>
      <w:r w:rsidRPr="00F4758C">
        <w:rPr>
          <w:rFonts w:eastAsia="Times New Roman"/>
          <w:lang w:val="en-GB"/>
        </w:rPr>
        <w:t xml:space="preserve"> in the diagram below from the Caisse des Dépôts, which shows all the relationships maintained by the digital accessibility unit of the</w:t>
      </w:r>
      <w:r w:rsidR="00064021">
        <w:rPr>
          <w:rFonts w:eastAsia="Times New Roman"/>
          <w:lang w:val="en-GB"/>
        </w:rPr>
        <w:t xml:space="preserve"> “</w:t>
      </w:r>
      <w:r w:rsidR="00064021" w:rsidRPr="00064021">
        <w:rPr>
          <w:rFonts w:eastAsia="Times New Roman"/>
          <w:lang w:val="en-GB"/>
        </w:rPr>
        <w:t>É</w:t>
      </w:r>
      <w:r w:rsidR="00064021">
        <w:rPr>
          <w:rFonts w:eastAsia="Times New Roman"/>
          <w:lang w:val="en-GB"/>
        </w:rPr>
        <w:t>tablissement Public” (P</w:t>
      </w:r>
      <w:r w:rsidRPr="00F4758C">
        <w:rPr>
          <w:rFonts w:eastAsia="Times New Roman"/>
          <w:lang w:val="en-GB"/>
        </w:rPr>
        <w:t>ublic</w:t>
      </w:r>
      <w:r w:rsidR="00064021">
        <w:rPr>
          <w:rFonts w:eastAsia="Times New Roman"/>
          <w:lang w:val="en-GB"/>
        </w:rPr>
        <w:t xml:space="preserve"> I</w:t>
      </w:r>
      <w:r w:rsidRPr="00F4758C">
        <w:rPr>
          <w:rFonts w:eastAsia="Times New Roman"/>
          <w:lang w:val="en-GB"/>
        </w:rPr>
        <w:t>nstitution</w:t>
      </w:r>
      <w:r w:rsidR="00064021">
        <w:rPr>
          <w:rFonts w:eastAsia="Times New Roman"/>
          <w:lang w:val="en-GB"/>
        </w:rPr>
        <w:t>)</w:t>
      </w:r>
      <w:r w:rsidRPr="00F4758C">
        <w:rPr>
          <w:rFonts w:eastAsia="Times New Roman"/>
          <w:lang w:val="en-GB"/>
        </w:rPr>
        <w:t>:</w:t>
      </w:r>
      <w:r w:rsidR="00064021">
        <w:rPr>
          <w:rFonts w:eastAsia="Times New Roman"/>
          <w:lang w:val="en-GB"/>
        </w:rPr>
        <w:t xml:space="preserve"> </w:t>
      </w:r>
    </w:p>
    <w:p w14:paraId="21B122D5" w14:textId="0EBE6176" w:rsidR="0092554C" w:rsidRDefault="00F8302B" w:rsidP="00A73EDB">
      <w:r>
        <w:rPr>
          <w:noProof/>
        </w:rPr>
        <w:drawing>
          <wp:inline distT="0" distB="0" distL="0" distR="0" wp14:anchorId="38AD948E" wp14:editId="35D4761F">
            <wp:extent cx="6189980" cy="2717321"/>
            <wp:effectExtent l="0" t="0" r="1270" b="6985"/>
            <wp:docPr id="1067161669" name="Graphique 1" descr="Organisational chart of the Caisse des Dépôts, showing the interactions between the Public Institution’s (EP) Digital Accessibility Division and its internal partners (IT Department, Mission Handicap, project teams) and its external service providers (Access42, Urbi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161669" name="Graphique 1" descr="Organisational chart of the Caisse des Dépôts, showing the interactions between the Public Institution’s (EP) Digital Accessibility Division and its internal partners (IT Department, Mission Handicap, project teams) and its external service providers (Access42, Urbilog)"/>
                    <pic:cNvPicPr/>
                  </pic:nvPicPr>
                  <pic:blipFill rotWithShape="1">
                    <a:blip r:embed="rId21">
                      <a:extLst>
                        <a:ext uri="{96DAC541-7B7A-43D3-8B79-37D633B846F1}">
                          <asvg:svgBlip xmlns:asvg="http://schemas.microsoft.com/office/drawing/2016/SVG/main" r:embed="rId22"/>
                        </a:ext>
                      </a:extLst>
                    </a:blip>
                    <a:srcRect t="7447" b="11667"/>
                    <a:stretch>
                      <a:fillRect/>
                    </a:stretch>
                  </pic:blipFill>
                  <pic:spPr bwMode="auto">
                    <a:xfrm>
                      <a:off x="0" y="0"/>
                      <a:ext cx="6194032" cy="2719100"/>
                    </a:xfrm>
                    <a:prstGeom prst="rect">
                      <a:avLst/>
                    </a:prstGeom>
                    <a:ln>
                      <a:noFill/>
                    </a:ln>
                    <a:extLst>
                      <a:ext uri="{53640926-AAD7-44D8-BBD7-CCE9431645EC}">
                        <a14:shadowObscured xmlns:a14="http://schemas.microsoft.com/office/drawing/2010/main"/>
                      </a:ext>
                    </a:extLst>
                  </pic:spPr>
                </pic:pic>
              </a:graphicData>
            </a:graphic>
          </wp:inline>
        </w:drawing>
      </w:r>
    </w:p>
    <w:p w14:paraId="2F268BE8" w14:textId="452C7C8A" w:rsidR="0092554C" w:rsidRPr="00F4758C" w:rsidRDefault="0092554C" w:rsidP="0092554C">
      <w:pPr>
        <w:pStyle w:val="Lgende"/>
        <w:jc w:val="right"/>
        <w:rPr>
          <w:lang w:val="en-GB"/>
        </w:rPr>
      </w:pPr>
      <w:bookmarkStart w:id="47" w:name="_Toc230192046"/>
      <w:r w:rsidRPr="00F4758C">
        <w:rPr>
          <w:lang w:val="en-GB"/>
        </w:rPr>
        <w:t>®Caisse des Dépôts_Presentation to the Cigref Working Group_2024</w:t>
      </w:r>
      <w:bookmarkEnd w:id="47"/>
    </w:p>
    <w:p w14:paraId="24AC8415" w14:textId="4620A813" w:rsidR="0057195C" w:rsidRPr="00F4758C" w:rsidRDefault="0092554C" w:rsidP="0092554C">
      <w:pPr>
        <w:rPr>
          <w:lang w:val="en-GB"/>
        </w:rPr>
      </w:pPr>
      <w:r w:rsidRPr="00F4758C">
        <w:rPr>
          <w:lang w:val="en-GB"/>
        </w:rPr>
        <w:t xml:space="preserve">The aim of this </w:t>
      </w:r>
      <w:r w:rsidR="003C2B41">
        <w:rPr>
          <w:lang w:val="en-GB"/>
        </w:rPr>
        <w:t>“</w:t>
      </w:r>
      <w:r w:rsidRPr="00F4758C">
        <w:rPr>
          <w:lang w:val="en-GB"/>
        </w:rPr>
        <w:t>centring</w:t>
      </w:r>
      <w:r w:rsidR="003C2B41">
        <w:rPr>
          <w:lang w:val="en-GB"/>
        </w:rPr>
        <w:t>”</w:t>
      </w:r>
      <w:r w:rsidRPr="00F4758C">
        <w:rPr>
          <w:lang w:val="en-GB"/>
        </w:rPr>
        <w:t xml:space="preserve"> approach is to </w:t>
      </w:r>
      <w:r w:rsidR="00C86DBB" w:rsidRPr="00F4758C">
        <w:rPr>
          <w:lang w:val="en-GB"/>
        </w:rPr>
        <w:t xml:space="preserve">foster </w:t>
      </w:r>
      <w:r w:rsidRPr="00F4758C">
        <w:rPr>
          <w:lang w:val="en-GB"/>
        </w:rPr>
        <w:t xml:space="preserve">cross-functional collaboration </w:t>
      </w:r>
      <w:r w:rsidR="000637F0" w:rsidRPr="00F4758C">
        <w:rPr>
          <w:lang w:val="en-GB"/>
        </w:rPr>
        <w:t xml:space="preserve">and </w:t>
      </w:r>
      <w:r w:rsidR="001B5418" w:rsidRPr="00F4758C">
        <w:rPr>
          <w:lang w:val="en-GB"/>
        </w:rPr>
        <w:t xml:space="preserve">to </w:t>
      </w:r>
      <w:r w:rsidRPr="00F4758C">
        <w:rPr>
          <w:lang w:val="en-GB"/>
        </w:rPr>
        <w:t>position accessibility at the appropriate organisational level</w:t>
      </w:r>
      <w:r w:rsidR="001B5418" w:rsidRPr="00F4758C">
        <w:rPr>
          <w:lang w:val="en-GB"/>
        </w:rPr>
        <w:t xml:space="preserve">. </w:t>
      </w:r>
    </w:p>
    <w:p w14:paraId="7729CA44" w14:textId="2A3DECA7" w:rsidR="0092554C" w:rsidRPr="00F4758C" w:rsidRDefault="00B461BE" w:rsidP="0092554C">
      <w:pPr>
        <w:rPr>
          <w:lang w:val="en-GB"/>
        </w:rPr>
      </w:pPr>
      <w:r w:rsidRPr="00F4758C">
        <w:rPr>
          <w:lang w:val="en-GB"/>
        </w:rPr>
        <w:t>Various actions can therefore be undertaken:</w:t>
      </w:r>
    </w:p>
    <w:p w14:paraId="10262C48" w14:textId="24E3DC3F" w:rsidR="008227C9" w:rsidRPr="00F4758C" w:rsidRDefault="0092554C">
      <w:pPr>
        <w:pStyle w:val="Paragraphedeliste"/>
        <w:numPr>
          <w:ilvl w:val="0"/>
          <w:numId w:val="20"/>
        </w:numPr>
        <w:rPr>
          <w:lang w:val="en-GB"/>
        </w:rPr>
      </w:pPr>
      <w:r w:rsidRPr="00F4758C">
        <w:rPr>
          <w:b/>
          <w:bCs/>
          <w:lang w:val="en-GB"/>
        </w:rPr>
        <w:t xml:space="preserve">Raise staff awareness </w:t>
      </w:r>
      <w:r w:rsidRPr="00F4758C">
        <w:rPr>
          <w:lang w:val="en-GB"/>
        </w:rPr>
        <w:t>of digital technology use for people with disabilities</w:t>
      </w:r>
      <w:r w:rsidR="00B461BE" w:rsidRPr="00F4758C">
        <w:rPr>
          <w:lang w:val="en-GB"/>
        </w:rPr>
        <w:t xml:space="preserve">, </w:t>
      </w:r>
      <w:r w:rsidR="00691E7E" w:rsidRPr="00F4758C">
        <w:rPr>
          <w:lang w:val="en-GB"/>
        </w:rPr>
        <w:t xml:space="preserve">targeting both digital staff and managers of departments less directly involved in these issues, in order to gradually spread awareness and embed this issue throughout the organisation. Provide </w:t>
      </w:r>
      <w:r w:rsidRPr="00F4758C">
        <w:rPr>
          <w:lang w:val="en-GB"/>
        </w:rPr>
        <w:t>a minimum amount of training (for example, two hours) before any project is launched</w:t>
      </w:r>
      <w:r w:rsidR="00691E7E" w:rsidRPr="00F4758C">
        <w:rPr>
          <w:lang w:val="en-GB"/>
        </w:rPr>
        <w:t xml:space="preserve">; produce </w:t>
      </w:r>
      <w:r w:rsidR="000637F0" w:rsidRPr="00F4758C">
        <w:rPr>
          <w:lang w:val="en-GB"/>
        </w:rPr>
        <w:t xml:space="preserve">and share </w:t>
      </w:r>
      <w:r w:rsidR="00691E7E" w:rsidRPr="00F4758C">
        <w:rPr>
          <w:lang w:val="en-GB"/>
        </w:rPr>
        <w:t>testimonials from people with disabilities about their everyday digital lives, including demonstrations of practical use cases</w:t>
      </w:r>
      <w:r w:rsidR="001459B6" w:rsidRPr="00F4758C">
        <w:rPr>
          <w:lang w:val="en-GB"/>
        </w:rPr>
        <w:t>,</w:t>
      </w:r>
      <w:r w:rsidR="00691E7E" w:rsidRPr="00F4758C">
        <w:rPr>
          <w:lang w:val="en-GB"/>
        </w:rPr>
        <w:t xml:space="preserve"> as </w:t>
      </w:r>
      <w:r w:rsidR="000637F0" w:rsidRPr="00F4758C">
        <w:rPr>
          <w:lang w:val="en-GB"/>
        </w:rPr>
        <w:t xml:space="preserve">was </w:t>
      </w:r>
      <w:r w:rsidR="00691E7E" w:rsidRPr="00F4758C">
        <w:rPr>
          <w:lang w:val="en-GB"/>
        </w:rPr>
        <w:t xml:space="preserve">done </w:t>
      </w:r>
      <w:r w:rsidR="001459B6" w:rsidRPr="00F4758C">
        <w:rPr>
          <w:lang w:val="en-GB"/>
        </w:rPr>
        <w:t xml:space="preserve">as part of our working group </w:t>
      </w:r>
      <w:r w:rsidR="00691E7E" w:rsidRPr="00F4758C">
        <w:rPr>
          <w:lang w:val="en-GB"/>
        </w:rPr>
        <w:t>with Jamshid Kohandel, Accessibility Officer at DINUM and a person with visual impairment</w:t>
      </w:r>
      <w:r w:rsidR="001459B6" w:rsidRPr="00F4758C">
        <w:rPr>
          <w:lang w:val="en-GB"/>
        </w:rPr>
        <w:t xml:space="preserve">, whose </w:t>
      </w:r>
      <w:r w:rsidR="00661E67" w:rsidRPr="00F4758C">
        <w:rPr>
          <w:lang w:val="en-GB"/>
        </w:rPr>
        <w:lastRenderedPageBreak/>
        <w:t>testimony</w:t>
      </w:r>
      <w:r w:rsidR="001459B6" w:rsidRPr="00F4758C">
        <w:rPr>
          <w:lang w:val="en-GB"/>
        </w:rPr>
        <w:t xml:space="preserve"> can be found </w:t>
      </w:r>
      <w:r w:rsidR="00337D43" w:rsidRPr="00F4758C">
        <w:rPr>
          <w:lang w:val="en-GB"/>
        </w:rPr>
        <w:t xml:space="preserve">in </w:t>
      </w:r>
      <w:hyperlink r:id="rId23" w:history="1">
        <w:r w:rsidR="00337D43" w:rsidRPr="00F4758C">
          <w:rPr>
            <w:rStyle w:val="Lienhypertexte"/>
            <w:lang w:val="en-GB"/>
          </w:rPr>
          <w:t xml:space="preserve">our </w:t>
        </w:r>
        <w:r w:rsidR="001459B6" w:rsidRPr="00F4758C">
          <w:rPr>
            <w:rStyle w:val="Lienhypertexte"/>
            <w:lang w:val="en-GB"/>
          </w:rPr>
          <w:t xml:space="preserve">video </w:t>
        </w:r>
        <w:r w:rsidR="003C2B41">
          <w:rPr>
            <w:rStyle w:val="Lienhypertexte"/>
            <w:lang w:val="en-GB"/>
          </w:rPr>
          <w:t>“</w:t>
        </w:r>
        <w:r w:rsidR="00337D43" w:rsidRPr="00F4758C">
          <w:rPr>
            <w:rStyle w:val="Lienhypertexte"/>
            <w:lang w:val="en-GB"/>
          </w:rPr>
          <w:t>Digital accessibility in everyday life: testimony and demonstration by Jamshid Kohandel</w:t>
        </w:r>
      </w:hyperlink>
      <w:r w:rsidR="003C2B41">
        <w:rPr>
          <w:lang w:val="en-GB"/>
        </w:rPr>
        <w:t>”</w:t>
      </w:r>
      <w:r w:rsidR="00337D43" w:rsidRPr="00F4758C">
        <w:rPr>
          <w:lang w:val="en-GB"/>
        </w:rPr>
        <w:t>.</w:t>
      </w:r>
    </w:p>
    <w:p w14:paraId="3FC145EA" w14:textId="08389132" w:rsidR="00DE5262" w:rsidRDefault="00337D43" w:rsidP="00337D43">
      <w:pPr>
        <w:pStyle w:val="Paragraphedeliste"/>
        <w:keepNext/>
        <w:jc w:val="center"/>
      </w:pPr>
      <w:r>
        <w:rPr>
          <w:noProof/>
        </w:rPr>
        <w:drawing>
          <wp:inline distT="0" distB="0" distL="0" distR="0" wp14:anchorId="72786DE6" wp14:editId="0330AAA9">
            <wp:extent cx="1394460" cy="1394460"/>
            <wp:effectExtent l="0" t="0" r="0" b="0"/>
            <wp:docPr id="460276386" name="Image 2" descr="QR code et lien vers la vidéo « L'accessibilité numérique au quotidien : témoignage et démonstration de Jamshid Kohandel ».">
              <a:hlinkClick xmlns:a="http://schemas.openxmlformats.org/drawingml/2006/main" r:id="rId23"/>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276386" name="Image 2" descr="QR code et lien vers la vidéo « L'accessibilité numérique au quotidien : témoignage et démonstration de Jamshid Kohandel ».">
                      <a:hlinkClick r:id="rId23"/>
                      <a:extLst>
                        <a:ext uri="{C183D7F6-B498-43B3-948B-1728B52AA6E4}">
                          <adec:decorative xmlns:adec="http://schemas.microsoft.com/office/drawing/2017/decorative" val="0"/>
                        </a:ext>
                      </a:extLst>
                    </pic:cNvPr>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394460" cy="1394460"/>
                    </a:xfrm>
                    <a:prstGeom prst="rect">
                      <a:avLst/>
                    </a:prstGeom>
                  </pic:spPr>
                </pic:pic>
              </a:graphicData>
            </a:graphic>
          </wp:inline>
        </w:drawing>
      </w:r>
    </w:p>
    <w:p w14:paraId="4FE819F7" w14:textId="1040A6B0" w:rsidR="0092554C" w:rsidRPr="00F4758C" w:rsidRDefault="0092554C">
      <w:pPr>
        <w:pStyle w:val="Paragraphedeliste"/>
        <w:numPr>
          <w:ilvl w:val="0"/>
          <w:numId w:val="20"/>
        </w:numPr>
        <w:rPr>
          <w:lang w:val="en-GB"/>
        </w:rPr>
      </w:pPr>
      <w:r w:rsidRPr="00F4758C">
        <w:rPr>
          <w:b/>
          <w:bCs/>
          <w:lang w:val="en-GB"/>
        </w:rPr>
        <w:t xml:space="preserve">To promote the ongoing professional development </w:t>
      </w:r>
      <w:r w:rsidRPr="00F4758C">
        <w:rPr>
          <w:lang w:val="en-GB"/>
        </w:rPr>
        <w:t xml:space="preserve">of staff </w:t>
      </w:r>
      <w:r w:rsidR="00B461BE" w:rsidRPr="00F4758C">
        <w:rPr>
          <w:lang w:val="en-GB"/>
        </w:rPr>
        <w:t xml:space="preserve">by </w:t>
      </w:r>
      <w:r w:rsidRPr="00F4758C">
        <w:rPr>
          <w:lang w:val="en-GB"/>
        </w:rPr>
        <w:t>making training on digital accessibility a</w:t>
      </w:r>
      <w:r w:rsidR="00B461BE" w:rsidRPr="00F4758C">
        <w:rPr>
          <w:lang w:val="en-GB"/>
        </w:rPr>
        <w:t xml:space="preserve"> compulsory </w:t>
      </w:r>
      <w:r w:rsidRPr="00F4758C">
        <w:rPr>
          <w:lang w:val="en-GB"/>
        </w:rPr>
        <w:t>part of organisations’ training programmes (project management, interface design, content writing, auditing digital services, etc.);</w:t>
      </w:r>
    </w:p>
    <w:p w14:paraId="1638F891" w14:textId="77777777" w:rsidR="0092554C" w:rsidRPr="00F4758C" w:rsidRDefault="0092554C">
      <w:pPr>
        <w:pStyle w:val="Paragraphedeliste"/>
        <w:numPr>
          <w:ilvl w:val="0"/>
          <w:numId w:val="20"/>
        </w:numPr>
        <w:rPr>
          <w:lang w:val="en-GB"/>
        </w:rPr>
      </w:pPr>
      <w:r w:rsidRPr="00F4758C">
        <w:rPr>
          <w:b/>
          <w:bCs/>
          <w:lang w:val="en-GB"/>
        </w:rPr>
        <w:t xml:space="preserve">To disseminate best practices </w:t>
      </w:r>
      <w:r w:rsidRPr="00F4758C">
        <w:rPr>
          <w:lang w:val="en-GB"/>
        </w:rPr>
        <w:t>to be incorporated into projects in order to comply with relevant legal obligations (methodological resources);</w:t>
      </w:r>
    </w:p>
    <w:p w14:paraId="3093EA80" w14:textId="22A4925E" w:rsidR="0092554C" w:rsidRPr="00F4758C" w:rsidRDefault="0092554C">
      <w:pPr>
        <w:pStyle w:val="Paragraphedeliste"/>
        <w:numPr>
          <w:ilvl w:val="0"/>
          <w:numId w:val="20"/>
        </w:numPr>
        <w:rPr>
          <w:lang w:val="en-GB"/>
        </w:rPr>
      </w:pPr>
      <w:r w:rsidRPr="00F4758C">
        <w:rPr>
          <w:b/>
          <w:bCs/>
          <w:lang w:val="en-GB"/>
        </w:rPr>
        <w:t xml:space="preserve">Provide information on the subject and foster a sustainable </w:t>
      </w:r>
      <w:r w:rsidRPr="00F4758C">
        <w:rPr>
          <w:lang w:val="en-GB"/>
        </w:rPr>
        <w:t xml:space="preserve">accessibility </w:t>
      </w:r>
      <w:r w:rsidRPr="00F4758C">
        <w:rPr>
          <w:b/>
          <w:bCs/>
          <w:lang w:val="en-GB"/>
        </w:rPr>
        <w:t xml:space="preserve">community </w:t>
      </w:r>
      <w:r w:rsidRPr="00F4758C">
        <w:rPr>
          <w:lang w:val="en-GB"/>
        </w:rPr>
        <w:t>or ecosystem (news, monitoring, events, etc.).</w:t>
      </w: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973CB5" w:rsidRPr="004B4BDE" w14:paraId="2159B249" w14:textId="77777777" w:rsidTr="00533C79">
        <w:trPr>
          <w:jc w:val="center"/>
        </w:trPr>
        <w:tc>
          <w:tcPr>
            <w:tcW w:w="9047" w:type="dxa"/>
            <w:tcBorders>
              <w:left w:val="single" w:sz="18" w:space="0" w:color="155E48"/>
            </w:tcBorders>
            <w:shd w:val="clear" w:color="auto" w:fill="F2F2F2" w:themeFill="background1" w:themeFillShade="F2"/>
          </w:tcPr>
          <w:p w14:paraId="26425F3D" w14:textId="2F4D79CA" w:rsidR="00973CB5" w:rsidRPr="00F4758C" w:rsidRDefault="00F94B26" w:rsidP="00BE4EAB">
            <w:pPr>
              <w:pStyle w:val="TitreEncart"/>
              <w:rPr>
                <w:lang w:val="en-GB"/>
              </w:rPr>
            </w:pPr>
            <w:bookmarkStart w:id="48" w:name="_Toc230257728"/>
            <w:r w:rsidRPr="00F4758C">
              <w:rPr>
                <w:lang w:val="en-GB"/>
              </w:rPr>
              <w:lastRenderedPageBreak/>
              <w:t xml:space="preserve">Case Study: </w:t>
            </w:r>
            <w:r w:rsidR="00973CB5" w:rsidRPr="00F4758C">
              <w:rPr>
                <w:lang w:val="en-GB"/>
              </w:rPr>
              <w:t>DINUM</w:t>
            </w:r>
            <w:bookmarkEnd w:id="48"/>
            <w:r w:rsidR="00973CB5" w:rsidRPr="00F4758C">
              <w:rPr>
                <w:lang w:val="en-GB"/>
              </w:rPr>
              <w:t xml:space="preserve"> </w:t>
            </w:r>
          </w:p>
          <w:p w14:paraId="5B4C5DC8" w14:textId="77777777" w:rsidR="00973CB5" w:rsidRPr="00F4758C" w:rsidRDefault="00973CB5" w:rsidP="00F25788">
            <w:pPr>
              <w:pStyle w:val="TitreencartREX"/>
              <w:rPr>
                <w:lang w:val="en-GB"/>
              </w:rPr>
            </w:pPr>
            <w:r w:rsidRPr="00F4758C">
              <w:rPr>
                <w:lang w:val="en-GB"/>
              </w:rPr>
              <w:t xml:space="preserve">Overseeing and coordinating the accessibility approach across several organisations </w:t>
            </w:r>
          </w:p>
          <w:p w14:paraId="1BB6AB75" w14:textId="7EB06D05" w:rsidR="00973CB5" w:rsidRPr="00F4758C" w:rsidRDefault="00973CB5" w:rsidP="00BE4EAB">
            <w:pPr>
              <w:rPr>
                <w:lang w:val="en-GB"/>
              </w:rPr>
            </w:pPr>
            <w:r w:rsidRPr="00F4758C">
              <w:rPr>
                <w:lang w:val="en-GB"/>
              </w:rPr>
              <w:t>“The</w:t>
            </w:r>
            <w:r w:rsidR="00064021">
              <w:rPr>
                <w:lang w:val="en-GB"/>
              </w:rPr>
              <w:t xml:space="preserve"> </w:t>
            </w:r>
            <w:r w:rsidR="00064021" w:rsidRPr="00F4758C">
              <w:rPr>
                <w:lang w:val="en-GB"/>
              </w:rPr>
              <w:t>DINUM</w:t>
            </w:r>
            <w:r w:rsidRPr="00F4758C">
              <w:rPr>
                <w:lang w:val="en-GB"/>
              </w:rPr>
              <w:t xml:space="preserve"> </w:t>
            </w:r>
            <w:r w:rsidR="00064021">
              <w:rPr>
                <w:lang w:val="en-GB"/>
              </w:rPr>
              <w:t>(</w:t>
            </w:r>
            <w:r w:rsidRPr="00F4758C">
              <w:rPr>
                <w:lang w:val="en-GB"/>
              </w:rPr>
              <w:t>Interministerial Directorate for Digital Affairs</w:t>
            </w:r>
            <w:r w:rsidR="00064021">
              <w:rPr>
                <w:lang w:val="en-GB"/>
              </w:rPr>
              <w:t>)</w:t>
            </w:r>
            <w:r w:rsidRPr="00F4758C">
              <w:rPr>
                <w:lang w:val="en-GB"/>
              </w:rPr>
              <w:t xml:space="preserve"> has set up a digital accessibility support programme structured around three main areas of action: </w:t>
            </w:r>
            <w:r w:rsidRPr="00F4758C">
              <w:rPr>
                <w:b/>
                <w:bCs/>
                <w:lang w:val="en-GB"/>
              </w:rPr>
              <w:t>expertise</w:t>
            </w:r>
            <w:r w:rsidRPr="00F4758C">
              <w:rPr>
                <w:lang w:val="en-GB"/>
              </w:rPr>
              <w:t xml:space="preserve">, </w:t>
            </w:r>
            <w:r w:rsidRPr="00F4758C">
              <w:rPr>
                <w:b/>
                <w:bCs/>
                <w:lang w:val="en-GB"/>
              </w:rPr>
              <w:t xml:space="preserve">training and awareness-raising, </w:t>
            </w:r>
            <w:r w:rsidRPr="00F4758C">
              <w:rPr>
                <w:lang w:val="en-GB"/>
              </w:rPr>
              <w:t xml:space="preserve">and </w:t>
            </w:r>
            <w:r w:rsidRPr="00F4758C">
              <w:rPr>
                <w:b/>
                <w:bCs/>
                <w:lang w:val="en-GB"/>
              </w:rPr>
              <w:t>funding</w:t>
            </w:r>
            <w:r w:rsidRPr="00F4758C">
              <w:rPr>
                <w:lang w:val="en-GB"/>
              </w:rPr>
              <w:t>.</w:t>
            </w:r>
          </w:p>
          <w:p w14:paraId="49DC6D43" w14:textId="6B49D1EF" w:rsidR="00973CB5" w:rsidRPr="00F4758C" w:rsidRDefault="00973CB5" w:rsidP="00BE4EAB">
            <w:pPr>
              <w:rPr>
                <w:lang w:val="en-GB"/>
              </w:rPr>
            </w:pPr>
            <w:r w:rsidRPr="00F4758C">
              <w:rPr>
                <w:lang w:val="en-GB"/>
              </w:rPr>
              <w:t xml:space="preserve">This initiative, led by the </w:t>
            </w:r>
            <w:r w:rsidRPr="00F4758C">
              <w:rPr>
                <w:b/>
                <w:bCs/>
                <w:lang w:val="en-GB"/>
              </w:rPr>
              <w:t xml:space="preserve">Digital Intervention Brigade </w:t>
            </w:r>
            <w:r w:rsidRPr="00F4758C">
              <w:rPr>
                <w:lang w:val="en-GB"/>
              </w:rPr>
              <w:t>(</w:t>
            </w:r>
            <w:r w:rsidR="00064021">
              <w:rPr>
                <w:lang w:val="en-GB"/>
              </w:rPr>
              <w:t>DIB</w:t>
            </w:r>
            <w:r w:rsidRPr="00F4758C">
              <w:rPr>
                <w:lang w:val="en-GB"/>
              </w:rPr>
              <w:t>), aims to ensure that government digital products are designed, developed and operated in accordance with best practice to maximise the service provided to users.</w:t>
            </w:r>
          </w:p>
          <w:p w14:paraId="2858814D" w14:textId="165164F0" w:rsidR="00973CB5" w:rsidRPr="00F4758C" w:rsidRDefault="00973CB5" w:rsidP="00BE4EAB">
            <w:pPr>
              <w:rPr>
                <w:lang w:val="en-GB"/>
              </w:rPr>
            </w:pPr>
            <w:r w:rsidRPr="00F4758C">
              <w:rPr>
                <w:lang w:val="en-GB"/>
              </w:rPr>
              <w:t xml:space="preserve">Through the </w:t>
            </w:r>
            <w:r w:rsidR="00064021">
              <w:rPr>
                <w:lang w:val="en-GB"/>
              </w:rPr>
              <w:t>DIB</w:t>
            </w:r>
            <w:r w:rsidRPr="00F4758C">
              <w:rPr>
                <w:lang w:val="en-GB"/>
              </w:rPr>
              <w:t xml:space="preserve">, DINUM works directly with government departments to provide them with </w:t>
            </w:r>
            <w:r w:rsidRPr="00F4758C">
              <w:rPr>
                <w:b/>
                <w:bCs/>
                <w:lang w:val="en-GB"/>
              </w:rPr>
              <w:t>technical expertise</w:t>
            </w:r>
            <w:r w:rsidRPr="00F4758C">
              <w:rPr>
                <w:lang w:val="en-GB"/>
              </w:rPr>
              <w:t xml:space="preserve">, although responsibility for the products and services remains with the departments themselves. This expertise is channelled both towards </w:t>
            </w:r>
            <w:r w:rsidRPr="00F4758C">
              <w:rPr>
                <w:b/>
                <w:bCs/>
                <w:lang w:val="en-GB"/>
              </w:rPr>
              <w:t>users</w:t>
            </w:r>
            <w:r w:rsidRPr="00F4758C">
              <w:rPr>
                <w:lang w:val="en-GB"/>
              </w:rPr>
              <w:t xml:space="preserve">, for the most frequently used procedures, and towards </w:t>
            </w:r>
            <w:r w:rsidRPr="00F4758C">
              <w:rPr>
                <w:b/>
                <w:bCs/>
                <w:lang w:val="en-GB"/>
              </w:rPr>
              <w:t>civil servants</w:t>
            </w:r>
            <w:r w:rsidRPr="00F4758C">
              <w:rPr>
                <w:lang w:val="en-GB"/>
              </w:rPr>
              <w:t>, via tools designed for them, adopting an approach that gives equal attention to both users and civil servants.</w:t>
            </w:r>
          </w:p>
          <w:p w14:paraId="66653845" w14:textId="77777777" w:rsidR="00973CB5" w:rsidRPr="00F4758C" w:rsidRDefault="00973CB5" w:rsidP="00BE4EAB">
            <w:pPr>
              <w:rPr>
                <w:lang w:val="en-GB"/>
              </w:rPr>
            </w:pPr>
            <w:r w:rsidRPr="00F4758C">
              <w:rPr>
                <w:lang w:val="en-GB"/>
              </w:rPr>
              <w:t>These expert interventions can take several forms:</w:t>
            </w:r>
          </w:p>
          <w:p w14:paraId="542C8BFA" w14:textId="77777777" w:rsidR="00973CB5" w:rsidRPr="00F4758C" w:rsidRDefault="00973CB5" w:rsidP="00BE4EAB">
            <w:pPr>
              <w:numPr>
                <w:ilvl w:val="0"/>
                <w:numId w:val="23"/>
              </w:numPr>
              <w:rPr>
                <w:lang w:val="en-GB"/>
              </w:rPr>
            </w:pPr>
            <w:r w:rsidRPr="00F4758C">
              <w:rPr>
                <w:b/>
                <w:bCs/>
                <w:lang w:val="en-GB"/>
              </w:rPr>
              <w:t>Audits and assessments</w:t>
            </w:r>
            <w:r w:rsidRPr="00F4758C">
              <w:rPr>
                <w:lang w:val="en-GB"/>
              </w:rPr>
              <w:t>: conducting RGAA audits (flash or full) via the ARA website</w:t>
            </w:r>
            <w:r>
              <w:rPr>
                <w:rStyle w:val="Appelnotedebasdep"/>
              </w:rPr>
              <w:footnoteReference w:id="24"/>
            </w:r>
            <w:r w:rsidRPr="00F4758C">
              <w:rPr>
                <w:lang w:val="en-GB"/>
              </w:rPr>
              <w:t xml:space="preserve"> ;</w:t>
            </w:r>
          </w:p>
          <w:p w14:paraId="4C02D8A6" w14:textId="77777777" w:rsidR="00973CB5" w:rsidRPr="00F4758C" w:rsidRDefault="00973CB5" w:rsidP="00BE4EAB">
            <w:pPr>
              <w:numPr>
                <w:ilvl w:val="0"/>
                <w:numId w:val="23"/>
              </w:numPr>
              <w:rPr>
                <w:lang w:val="en-GB"/>
              </w:rPr>
            </w:pPr>
            <w:r w:rsidRPr="00F4758C">
              <w:rPr>
                <w:b/>
                <w:bCs/>
                <w:lang w:val="en-GB"/>
              </w:rPr>
              <w:t>Technical recommendations</w:t>
            </w:r>
            <w:r w:rsidRPr="00F4758C">
              <w:rPr>
                <w:lang w:val="en-GB"/>
              </w:rPr>
              <w:t>: drawing up recommendations to make a service accessible and organising technical discussions with development teams;</w:t>
            </w:r>
          </w:p>
          <w:p w14:paraId="243E488D" w14:textId="77777777" w:rsidR="00973CB5" w:rsidRPr="00F4758C" w:rsidRDefault="00973CB5" w:rsidP="00BE4EAB">
            <w:pPr>
              <w:numPr>
                <w:ilvl w:val="0"/>
                <w:numId w:val="23"/>
              </w:numPr>
              <w:rPr>
                <w:lang w:val="en-GB"/>
              </w:rPr>
            </w:pPr>
            <w:r w:rsidRPr="00F4758C">
              <w:rPr>
                <w:b/>
                <w:bCs/>
                <w:lang w:val="en-GB"/>
              </w:rPr>
              <w:t>User testing</w:t>
            </w:r>
            <w:r w:rsidRPr="00F4758C">
              <w:rPr>
                <w:lang w:val="en-GB"/>
              </w:rPr>
              <w:t>: organising service testing by users, particularly those with disabilities, which raises genuine awareness of the real impact of inaccessibility.</w:t>
            </w:r>
          </w:p>
          <w:p w14:paraId="04720073" w14:textId="77777777" w:rsidR="00973CB5" w:rsidRPr="00F4758C" w:rsidRDefault="00973CB5" w:rsidP="00BE4EAB">
            <w:pPr>
              <w:rPr>
                <w:lang w:val="en-GB"/>
              </w:rPr>
            </w:pPr>
            <w:r w:rsidRPr="00F4758C">
              <w:rPr>
                <w:lang w:val="en-GB"/>
              </w:rPr>
              <w:t xml:space="preserve">The BIN also provides </w:t>
            </w:r>
            <w:r w:rsidRPr="00F4758C">
              <w:rPr>
                <w:b/>
                <w:bCs/>
                <w:lang w:val="en-GB"/>
              </w:rPr>
              <w:t xml:space="preserve">training and awareness-raising </w:t>
            </w:r>
            <w:r w:rsidRPr="00F4758C">
              <w:rPr>
                <w:lang w:val="en-GB"/>
              </w:rPr>
              <w:t xml:space="preserve">on accessibility, and offers </w:t>
            </w:r>
            <w:r w:rsidRPr="001F2368">
              <w:rPr>
                <w:lang w:val="en-GB"/>
              </w:rPr>
              <w:t>e-learning</w:t>
            </w:r>
            <w:r w:rsidRPr="00F4758C">
              <w:rPr>
                <w:lang w:val="en-GB"/>
              </w:rPr>
              <w:t xml:space="preserve"> modules. This is crucial to ensuring that accessibility is maintained over time. Staff are, in particular, made aware of the need to produce accessible content and to carry out simple checks on the accessibility of developments provided by their service providers.</w:t>
            </w:r>
          </w:p>
          <w:p w14:paraId="7F34D669" w14:textId="0A72D091" w:rsidR="00646CD1" w:rsidRPr="00F4758C" w:rsidRDefault="00973CB5" w:rsidP="00BE4EAB">
            <w:pPr>
              <w:rPr>
                <w:lang w:val="en-GB"/>
              </w:rPr>
            </w:pPr>
            <w:r w:rsidRPr="00F4758C">
              <w:rPr>
                <w:lang w:val="en-GB"/>
              </w:rPr>
              <w:t xml:space="preserve">Finally, the DINUM offers </w:t>
            </w:r>
            <w:r w:rsidRPr="00F4758C">
              <w:rPr>
                <w:b/>
                <w:bCs/>
                <w:lang w:val="en-GB"/>
              </w:rPr>
              <w:t>a funding scheme</w:t>
            </w:r>
            <w:r w:rsidRPr="00F4758C">
              <w:rPr>
                <w:lang w:val="en-GB"/>
              </w:rPr>
              <w:t>: government departments can apply for financial support to make their digital services accessible (essential procedures and staff tools). It should be noted that private companies are not eligible for these measures due to resource constraints and competition considerations</w:t>
            </w:r>
            <w:r w:rsidR="00DC3602" w:rsidRPr="00F4758C">
              <w:rPr>
                <w:lang w:val="en-GB"/>
              </w:rPr>
              <w:t xml:space="preserve">.” </w:t>
            </w:r>
          </w:p>
          <w:p w14:paraId="0D31CAF4" w14:textId="77777777" w:rsidR="00973CB5" w:rsidRPr="00F4758C" w:rsidRDefault="00973CB5" w:rsidP="00BE4EAB">
            <w:pPr>
              <w:jc w:val="right"/>
              <w:rPr>
                <w:b/>
                <w:bCs/>
                <w:lang w:val="en-GB"/>
              </w:rPr>
            </w:pPr>
            <w:r w:rsidRPr="00F4758C">
              <w:rPr>
                <w:b/>
                <w:bCs/>
                <w:lang w:val="en-GB"/>
              </w:rPr>
              <w:t>Jamshid KOHANDEL</w:t>
            </w:r>
            <w:r w:rsidRPr="00F4758C">
              <w:rPr>
                <w:lang w:val="en-GB"/>
              </w:rPr>
              <w:t xml:space="preserve">, Accessibility Project Manager at </w:t>
            </w:r>
            <w:r w:rsidRPr="00F4758C">
              <w:rPr>
                <w:b/>
                <w:bCs/>
                <w:lang w:val="en-GB"/>
              </w:rPr>
              <w:t>DINUM</w:t>
            </w:r>
          </w:p>
          <w:p w14:paraId="4A43AD3C" w14:textId="77777777" w:rsidR="00973CB5" w:rsidRPr="00F4758C" w:rsidRDefault="00973CB5" w:rsidP="00BE4EAB">
            <w:pPr>
              <w:jc w:val="right"/>
              <w:rPr>
                <w:b/>
                <w:bCs/>
                <w:lang w:val="en-GB"/>
              </w:rPr>
            </w:pPr>
            <w:r w:rsidRPr="00F4758C">
              <w:rPr>
                <w:b/>
                <w:bCs/>
                <w:lang w:val="en-GB"/>
              </w:rPr>
              <w:t>Stéphanie NAZARIAN</w:t>
            </w:r>
            <w:r w:rsidRPr="00F4758C">
              <w:rPr>
                <w:lang w:val="en-GB"/>
              </w:rPr>
              <w:t xml:space="preserve">, Head of the Digital Intervention Unit at </w:t>
            </w:r>
            <w:r w:rsidRPr="00F4758C">
              <w:rPr>
                <w:b/>
                <w:bCs/>
                <w:lang w:val="en-GB"/>
              </w:rPr>
              <w:t>DINUM</w:t>
            </w:r>
          </w:p>
        </w:tc>
      </w:tr>
      <w:tr w:rsidR="00973CB5" w:rsidRPr="004B4BDE" w14:paraId="42D3C4D2" w14:textId="77777777" w:rsidTr="00533C79">
        <w:trPr>
          <w:jc w:val="center"/>
        </w:trPr>
        <w:tc>
          <w:tcPr>
            <w:tcW w:w="9047" w:type="dxa"/>
            <w:tcBorders>
              <w:left w:val="single" w:sz="18" w:space="0" w:color="155E48"/>
            </w:tcBorders>
            <w:shd w:val="clear" w:color="auto" w:fill="F2F2F2" w:themeFill="background1" w:themeFillShade="F2"/>
          </w:tcPr>
          <w:p w14:paraId="5A90BF76" w14:textId="1C8B6426" w:rsidR="004F31C5" w:rsidRDefault="00F94B26" w:rsidP="004F31C5">
            <w:pPr>
              <w:pStyle w:val="TitreEncart"/>
              <w:rPr>
                <w:color w:val="4A5843"/>
              </w:rPr>
            </w:pPr>
            <w:bookmarkStart w:id="49" w:name="_Toc230257729"/>
            <w:r w:rsidRPr="004F31C5">
              <w:lastRenderedPageBreak/>
              <w:t xml:space="preserve">Case Study: </w:t>
            </w:r>
            <w:bookmarkEnd w:id="49"/>
            <w:r w:rsidR="004F31C5" w:rsidRPr="004F31C5">
              <w:t xml:space="preserve">Direction du Numérique des </w:t>
            </w:r>
            <w:r w:rsidR="004F31C5">
              <w:t>M</w:t>
            </w:r>
            <w:r w:rsidR="004F31C5" w:rsidRPr="004F31C5">
              <w:t>inist</w:t>
            </w:r>
            <w:r w:rsidR="004F31C5">
              <w:t>è</w:t>
            </w:r>
            <w:r w:rsidR="004F31C5" w:rsidRPr="004F31C5">
              <w:t>res de la Transition écologique et de l’Aménagement des territoires</w:t>
            </w:r>
            <w:r w:rsidR="004F31C5">
              <w:rPr>
                <w:b w:val="0"/>
                <w:bCs/>
                <w:color w:val="4A5843"/>
              </w:rPr>
              <w:t xml:space="preserve"> </w:t>
            </w:r>
          </w:p>
          <w:p w14:paraId="2F52AD73" w14:textId="77777777" w:rsidR="00973CB5" w:rsidRPr="00F4758C" w:rsidRDefault="00973CB5" w:rsidP="0033608D">
            <w:pPr>
              <w:pStyle w:val="TitreencartREX"/>
              <w:rPr>
                <w:lang w:val="en-GB"/>
              </w:rPr>
            </w:pPr>
            <w:r w:rsidRPr="004F31C5">
              <w:t xml:space="preserve"> </w:t>
            </w:r>
            <w:r w:rsidRPr="00F4758C">
              <w:rPr>
                <w:lang w:val="en-GB"/>
              </w:rPr>
              <w:t xml:space="preserve">A structured governance framework for scaling up </w:t>
            </w:r>
          </w:p>
          <w:p w14:paraId="11D4EB3F" w14:textId="390DFC96" w:rsidR="00973CB5" w:rsidRPr="00F4758C" w:rsidRDefault="00973CB5" w:rsidP="00BE4EAB">
            <w:pPr>
              <w:rPr>
                <w:lang w:val="en-GB"/>
              </w:rPr>
            </w:pPr>
            <w:r w:rsidRPr="00F4758C">
              <w:rPr>
                <w:lang w:val="en-GB"/>
              </w:rPr>
              <w:t xml:space="preserve">The first ministerial roadmap on accessibility was drawn up in 2022 and updated in 2025. It is implemented through a dedicated project-based governance structure, featuring a committee that meets regularly and includes two staff members with disabilities. This committee is responsible, in particular, for monitoring the progress of the initiatives. The programme includes a programme director and six </w:t>
            </w:r>
            <w:r w:rsidR="00A25D43">
              <w:rPr>
                <w:lang w:val="en-GB"/>
              </w:rPr>
              <w:t>digital accessibility lead</w:t>
            </w:r>
            <w:r w:rsidR="00A25D43" w:rsidRPr="00F4758C">
              <w:rPr>
                <w:lang w:val="en-GB"/>
              </w:rPr>
              <w:t xml:space="preserve"> </w:t>
            </w:r>
            <w:r w:rsidRPr="00F4758C">
              <w:rPr>
                <w:lang w:val="en-GB"/>
              </w:rPr>
              <w:t xml:space="preserve">for the roadmap’s various components and actions; here are some concrete examples to be rolled out by 2027: </w:t>
            </w:r>
          </w:p>
          <w:p w14:paraId="30519AE4" w14:textId="77777777" w:rsidR="00973CB5" w:rsidRPr="00F4758C" w:rsidRDefault="00973CB5">
            <w:pPr>
              <w:pStyle w:val="Paragraphedeliste"/>
              <w:numPr>
                <w:ilvl w:val="0"/>
                <w:numId w:val="72"/>
              </w:numPr>
              <w:rPr>
                <w:lang w:val="en-GB"/>
              </w:rPr>
            </w:pPr>
            <w:r w:rsidRPr="00F4758C">
              <w:rPr>
                <w:lang w:val="en-GB"/>
              </w:rPr>
              <w:t>Supporting project owners in developing digital products that are accessible to all.</w:t>
            </w:r>
          </w:p>
          <w:p w14:paraId="45AFEFD9" w14:textId="2E52E6DC" w:rsidR="00973CB5" w:rsidRPr="00F4758C" w:rsidRDefault="00973CB5" w:rsidP="00BE4EAB">
            <w:pPr>
              <w:numPr>
                <w:ilvl w:val="0"/>
                <w:numId w:val="24"/>
              </w:numPr>
              <w:rPr>
                <w:lang w:val="en-GB"/>
              </w:rPr>
            </w:pPr>
            <w:r w:rsidRPr="00F4758C">
              <w:rPr>
                <w:lang w:val="en-GB"/>
              </w:rPr>
              <w:t>Examples of actions: 1. Strengthening the compliance of digital products with the RGAA</w:t>
            </w:r>
            <w:r w:rsidR="00064021">
              <w:rPr>
                <w:lang w:val="en-GB"/>
              </w:rPr>
              <w:t xml:space="preserve"> (France’s </w:t>
            </w:r>
            <w:r w:rsidR="00064021" w:rsidRPr="00064021">
              <w:rPr>
                <w:lang w:val="en-GB"/>
              </w:rPr>
              <w:t>General Framework for Improving Accessibility</w:t>
            </w:r>
            <w:r w:rsidRPr="00F4758C">
              <w:rPr>
                <w:lang w:val="en-GB"/>
              </w:rPr>
              <w:t>); 2. Assisting with the implementation of the government’s design system for digitally accessible products.</w:t>
            </w:r>
          </w:p>
          <w:p w14:paraId="09913B91" w14:textId="77777777" w:rsidR="00973CB5" w:rsidRPr="00F4758C" w:rsidRDefault="00973CB5">
            <w:pPr>
              <w:pStyle w:val="Paragraphedeliste"/>
              <w:numPr>
                <w:ilvl w:val="0"/>
                <w:numId w:val="72"/>
              </w:numPr>
              <w:rPr>
                <w:lang w:val="en-GB"/>
              </w:rPr>
            </w:pPr>
            <w:r w:rsidRPr="00F4758C">
              <w:rPr>
                <w:lang w:val="en-GB"/>
              </w:rPr>
              <w:t>Develop the Ministry’s digital products and tools with users and staff with disabilities in mind.</w:t>
            </w:r>
          </w:p>
          <w:p w14:paraId="23A6D416" w14:textId="77777777" w:rsidR="00973CB5" w:rsidRPr="00F4758C" w:rsidRDefault="00973CB5" w:rsidP="00BE4EAB">
            <w:pPr>
              <w:numPr>
                <w:ilvl w:val="0"/>
                <w:numId w:val="25"/>
              </w:numPr>
              <w:rPr>
                <w:lang w:val="en-GB"/>
              </w:rPr>
            </w:pPr>
            <w:r w:rsidRPr="00F4758C">
              <w:rPr>
                <w:lang w:val="en-GB"/>
              </w:rPr>
              <w:t>Example of action: empowering staff to play an active role in the transformation.</w:t>
            </w:r>
          </w:p>
          <w:p w14:paraId="5223227D" w14:textId="738211BD" w:rsidR="00973CB5" w:rsidRPr="00F4758C" w:rsidRDefault="00973CB5">
            <w:pPr>
              <w:pStyle w:val="Paragraphedeliste"/>
              <w:numPr>
                <w:ilvl w:val="0"/>
                <w:numId w:val="72"/>
              </w:numPr>
              <w:rPr>
                <w:lang w:val="en-GB"/>
              </w:rPr>
            </w:pPr>
            <w:r w:rsidRPr="00F4758C">
              <w:rPr>
                <w:lang w:val="en-GB"/>
              </w:rPr>
              <w:t>Provide staff with training on digital accessibility so that they can take action</w:t>
            </w:r>
            <w:r w:rsidR="00DC3602" w:rsidRPr="00F4758C">
              <w:rPr>
                <w:lang w:val="en-GB"/>
              </w:rPr>
              <w:t>.</w:t>
            </w:r>
          </w:p>
          <w:p w14:paraId="28EEEEBA" w14:textId="77777777" w:rsidR="00973CB5" w:rsidRPr="00F4758C" w:rsidRDefault="00973CB5" w:rsidP="00BE4EAB">
            <w:pPr>
              <w:numPr>
                <w:ilvl w:val="0"/>
                <w:numId w:val="26"/>
              </w:numPr>
              <w:rPr>
                <w:lang w:val="en-GB"/>
              </w:rPr>
            </w:pPr>
            <w:r w:rsidRPr="00F4758C">
              <w:rPr>
                <w:lang w:val="en-GB"/>
              </w:rPr>
              <w:t xml:space="preserve">Example of an initiative: raising awareness amongst all staff, and providing more targeted training for other stakeholders whilst ensuring the continuity of expertise. </w:t>
            </w:r>
          </w:p>
          <w:p w14:paraId="702CA5F3" w14:textId="77777777" w:rsidR="00646CD1" w:rsidRPr="00F4758C" w:rsidRDefault="00646CD1" w:rsidP="00646CD1">
            <w:pPr>
              <w:rPr>
                <w:lang w:val="en-GB"/>
              </w:rPr>
            </w:pPr>
          </w:p>
          <w:p w14:paraId="71491CD3" w14:textId="4ED82669" w:rsidR="00973CB5" w:rsidRPr="00F4758C" w:rsidRDefault="00973CB5" w:rsidP="00BE4EAB">
            <w:pPr>
              <w:jc w:val="right"/>
              <w:rPr>
                <w:lang w:val="en-GB"/>
              </w:rPr>
            </w:pPr>
            <w:r w:rsidRPr="00F4758C">
              <w:rPr>
                <w:b/>
                <w:bCs/>
                <w:lang w:val="en-GB"/>
              </w:rPr>
              <w:t>Marie-Laure Bouthière</w:t>
            </w:r>
            <w:r w:rsidRPr="00F4758C">
              <w:rPr>
                <w:lang w:val="en-GB"/>
              </w:rPr>
              <w:t xml:space="preserve">, Programme Manager for the </w:t>
            </w:r>
            <w:r w:rsidR="003C2B41">
              <w:rPr>
                <w:lang w:val="en-GB"/>
              </w:rPr>
              <w:t>“</w:t>
            </w:r>
            <w:r w:rsidRPr="00F4758C">
              <w:rPr>
                <w:lang w:val="en-GB"/>
              </w:rPr>
              <w:t>Handi &amp; Numérique</w:t>
            </w:r>
            <w:r w:rsidR="003C2B41">
              <w:rPr>
                <w:lang w:val="en-GB"/>
              </w:rPr>
              <w:t xml:space="preserve">” </w:t>
            </w:r>
            <w:r w:rsidRPr="00F4758C">
              <w:rPr>
                <w:lang w:val="en-GB"/>
              </w:rPr>
              <w:t>programme,</w:t>
            </w:r>
          </w:p>
          <w:p w14:paraId="1CE3C0E4" w14:textId="77777777" w:rsidR="00973CB5" w:rsidRPr="00F4758C" w:rsidRDefault="00973CB5" w:rsidP="00BE4EAB">
            <w:pPr>
              <w:jc w:val="right"/>
              <w:rPr>
                <w:lang w:val="en-GB"/>
              </w:rPr>
            </w:pPr>
            <w:r w:rsidRPr="00F4758C">
              <w:rPr>
                <w:lang w:val="en-GB"/>
              </w:rPr>
              <w:t xml:space="preserve"> </w:t>
            </w:r>
            <w:r w:rsidRPr="00F4758C">
              <w:rPr>
                <w:b/>
                <w:bCs/>
                <w:lang w:val="en-GB"/>
              </w:rPr>
              <w:t>Jean-Philippe Simonnet</w:t>
            </w:r>
            <w:r w:rsidRPr="00F4758C">
              <w:rPr>
                <w:lang w:val="en-GB"/>
              </w:rPr>
              <w:t xml:space="preserve">, Digital Hospitality Project Manager, </w:t>
            </w:r>
          </w:p>
          <w:p w14:paraId="686BB694" w14:textId="5252DED2" w:rsidR="00973CB5" w:rsidRPr="00F4758C" w:rsidRDefault="00973CB5" w:rsidP="00BE4EAB">
            <w:pPr>
              <w:jc w:val="right"/>
              <w:rPr>
                <w:lang w:val="en-GB"/>
              </w:rPr>
            </w:pPr>
            <w:r w:rsidRPr="00F4758C">
              <w:rPr>
                <w:b/>
                <w:bCs/>
                <w:lang w:val="en-GB"/>
              </w:rPr>
              <w:t>Geoffrey Arthaud</w:t>
            </w:r>
            <w:r w:rsidRPr="00F4758C">
              <w:rPr>
                <w:lang w:val="en-GB"/>
              </w:rPr>
              <w:t>, Head of the Methods’ Group,</w:t>
            </w:r>
          </w:p>
          <w:p w14:paraId="07483E1C" w14:textId="77777777" w:rsidR="00973CB5" w:rsidRPr="00F4758C" w:rsidRDefault="00973CB5" w:rsidP="00BE4EAB">
            <w:pPr>
              <w:jc w:val="right"/>
              <w:rPr>
                <w:lang w:val="en-GB"/>
              </w:rPr>
            </w:pPr>
            <w:r w:rsidRPr="00F4758C">
              <w:rPr>
                <w:lang w:val="en-GB"/>
              </w:rPr>
              <w:t xml:space="preserve"> </w:t>
            </w:r>
            <w:r w:rsidRPr="00F4758C">
              <w:rPr>
                <w:b/>
                <w:bCs/>
                <w:lang w:val="en-GB"/>
              </w:rPr>
              <w:t>Laetitia Legrand</w:t>
            </w:r>
            <w:r w:rsidRPr="00F4758C">
              <w:rPr>
                <w:lang w:val="en-GB"/>
              </w:rPr>
              <w:t>, UX/UI Designer,</w:t>
            </w:r>
          </w:p>
          <w:p w14:paraId="798372B0" w14:textId="77777777" w:rsidR="00973CB5" w:rsidRPr="00F4758C" w:rsidRDefault="00973CB5" w:rsidP="00BE4EAB">
            <w:pPr>
              <w:jc w:val="right"/>
              <w:rPr>
                <w:b/>
                <w:bCs/>
                <w:lang w:val="en-GB"/>
              </w:rPr>
            </w:pPr>
            <w:r w:rsidRPr="00F4758C">
              <w:rPr>
                <w:b/>
                <w:bCs/>
                <w:lang w:val="en-GB"/>
              </w:rPr>
              <w:t>General Secretariat, Digital Directorate, Ministries for Ecological Transition, Regional Planning, Transport, Cities and Housing</w:t>
            </w:r>
          </w:p>
        </w:tc>
      </w:tr>
    </w:tbl>
    <w:p w14:paraId="273437E6" w14:textId="77777777" w:rsidR="00973CB5" w:rsidRPr="00F4758C" w:rsidRDefault="00973CB5" w:rsidP="00973CB5">
      <w:pPr>
        <w:rPr>
          <w:lang w:val="en-GB"/>
        </w:rPr>
      </w:pPr>
    </w:p>
    <w:p w14:paraId="25ED5492" w14:textId="47D608EC" w:rsidR="0092554C" w:rsidRPr="00F4758C" w:rsidRDefault="0092554C" w:rsidP="0092554C">
      <w:pPr>
        <w:pStyle w:val="Titre3"/>
        <w:rPr>
          <w:lang w:val="en-GB"/>
        </w:rPr>
      </w:pPr>
      <w:bookmarkStart w:id="50" w:name="_Toc230077017"/>
      <w:r w:rsidRPr="00F4758C">
        <w:rPr>
          <w:lang w:val="en-GB"/>
        </w:rPr>
        <w:t>Involving procurement departments, service providers and software publishers</w:t>
      </w:r>
      <w:bookmarkEnd w:id="50"/>
    </w:p>
    <w:p w14:paraId="1474D9C4" w14:textId="43EE4A74" w:rsidR="0092554C" w:rsidRPr="00064021" w:rsidRDefault="0092554C" w:rsidP="0092554C">
      <w:pPr>
        <w:rPr>
          <w:lang w:val="en-GB" w:eastAsia="fr-FR"/>
        </w:rPr>
      </w:pPr>
      <w:r w:rsidRPr="00F4758C">
        <w:rPr>
          <w:b/>
          <w:bCs/>
          <w:lang w:val="en-GB" w:eastAsia="fr-FR"/>
        </w:rPr>
        <w:t>At the interface between internal and external operations</w:t>
      </w:r>
      <w:r w:rsidR="008040A2" w:rsidRPr="00F4758C">
        <w:rPr>
          <w:b/>
          <w:bCs/>
          <w:lang w:val="en-GB" w:eastAsia="fr-FR"/>
        </w:rPr>
        <w:t xml:space="preserve">, procurement processes </w:t>
      </w:r>
      <w:r w:rsidRPr="00F4758C">
        <w:rPr>
          <w:b/>
          <w:bCs/>
          <w:lang w:val="en-GB" w:eastAsia="fr-FR"/>
        </w:rPr>
        <w:t xml:space="preserve">must </w:t>
      </w:r>
      <w:r w:rsidR="008040A2" w:rsidRPr="00F4758C">
        <w:rPr>
          <w:b/>
          <w:bCs/>
          <w:lang w:val="en-GB" w:eastAsia="fr-FR"/>
        </w:rPr>
        <w:t>incorporate accessibility requirements</w:t>
      </w:r>
      <w:r w:rsidRPr="00F4758C">
        <w:rPr>
          <w:lang w:val="en-GB" w:eastAsia="fr-FR"/>
        </w:rPr>
        <w:t xml:space="preserve">, whether in calls for tenders, specifications, contractual clauses </w:t>
      </w:r>
      <w:r w:rsidR="002D0F5B" w:rsidRPr="00F4758C">
        <w:rPr>
          <w:lang w:val="en-GB" w:eastAsia="fr-FR"/>
        </w:rPr>
        <w:t xml:space="preserve">(see the </w:t>
      </w:r>
      <w:r w:rsidR="002D0F5B" w:rsidRPr="00F4758C">
        <w:rPr>
          <w:lang w:val="en-GB" w:eastAsia="fr-FR"/>
        </w:rPr>
        <w:lastRenderedPageBreak/>
        <w:t xml:space="preserve">case study on </w:t>
      </w:r>
      <w:r w:rsidR="00064021">
        <w:rPr>
          <w:lang w:val="en-GB" w:eastAsia="fr-FR"/>
        </w:rPr>
        <w:t>“</w:t>
      </w:r>
      <w:r w:rsidR="002D0F5B" w:rsidRPr="00F4758C">
        <w:rPr>
          <w:lang w:val="en-GB" w:eastAsia="fr-FR"/>
        </w:rPr>
        <w:t>La Poste Group</w:t>
      </w:r>
      <w:r w:rsidR="00064021">
        <w:rPr>
          <w:lang w:val="en-GB" w:eastAsia="fr-FR"/>
        </w:rPr>
        <w:t>”</w:t>
      </w:r>
      <w:r w:rsidR="002D0F5B" w:rsidRPr="00F4758C">
        <w:rPr>
          <w:lang w:val="en-GB" w:eastAsia="fr-FR"/>
        </w:rPr>
        <w:t xml:space="preserve"> below), </w:t>
      </w:r>
      <w:r w:rsidRPr="00F4758C">
        <w:rPr>
          <w:lang w:val="en-GB" w:eastAsia="fr-FR"/>
        </w:rPr>
        <w:t xml:space="preserve">or contract renegotiations. </w:t>
      </w:r>
      <w:r w:rsidRPr="00064021">
        <w:rPr>
          <w:lang w:val="en-GB" w:eastAsia="fr-FR"/>
        </w:rPr>
        <w:t>Two types of measures can facilitate this integration:</w:t>
      </w:r>
    </w:p>
    <w:p w14:paraId="29FDA6FF" w14:textId="3DC77C29" w:rsidR="0092554C" w:rsidRPr="00F4758C" w:rsidRDefault="008904B2">
      <w:pPr>
        <w:pStyle w:val="Paragraphedeliste"/>
        <w:numPr>
          <w:ilvl w:val="0"/>
          <w:numId w:val="21"/>
        </w:numPr>
        <w:rPr>
          <w:lang w:val="en-GB" w:eastAsia="fr-FR"/>
        </w:rPr>
      </w:pPr>
      <w:r w:rsidRPr="00F4758C">
        <w:rPr>
          <w:b/>
          <w:bCs/>
          <w:lang w:val="en-GB" w:eastAsia="fr-FR"/>
        </w:rPr>
        <w:t xml:space="preserve">For </w:t>
      </w:r>
      <w:r w:rsidR="0092554C" w:rsidRPr="00F4758C">
        <w:rPr>
          <w:b/>
          <w:bCs/>
          <w:lang w:val="en-GB" w:eastAsia="fr-FR"/>
        </w:rPr>
        <w:t xml:space="preserve">providers </w:t>
      </w:r>
      <w:r w:rsidR="001E440D" w:rsidRPr="00F4758C">
        <w:rPr>
          <w:b/>
          <w:bCs/>
          <w:lang w:val="en-GB" w:eastAsia="fr-FR"/>
        </w:rPr>
        <w:t>of</w:t>
      </w:r>
      <w:r w:rsidR="0092554C" w:rsidRPr="00F4758C">
        <w:rPr>
          <w:b/>
          <w:bCs/>
          <w:lang w:val="en-GB" w:eastAsia="fr-FR"/>
        </w:rPr>
        <w:t xml:space="preserve"> digital products and services </w:t>
      </w:r>
      <w:r w:rsidR="001E440D" w:rsidRPr="00F4758C">
        <w:rPr>
          <w:b/>
          <w:bCs/>
          <w:lang w:val="en-GB" w:eastAsia="fr-FR"/>
        </w:rPr>
        <w:t xml:space="preserve">and intellectual services, </w:t>
      </w:r>
      <w:r w:rsidR="0092554C" w:rsidRPr="00F4758C">
        <w:rPr>
          <w:b/>
          <w:bCs/>
          <w:lang w:val="en-GB" w:eastAsia="fr-FR"/>
        </w:rPr>
        <w:t xml:space="preserve">the provision of a document setting out accessibility requirements </w:t>
      </w:r>
      <w:r w:rsidR="0092554C" w:rsidRPr="00F4758C">
        <w:rPr>
          <w:lang w:val="en-GB" w:eastAsia="fr-FR"/>
        </w:rPr>
        <w:t xml:space="preserve">is a key differentiating factor for </w:t>
      </w:r>
      <w:r w:rsidR="00863B53" w:rsidRPr="00F4758C">
        <w:rPr>
          <w:lang w:val="en-GB" w:eastAsia="fr-FR"/>
        </w:rPr>
        <w:t xml:space="preserve">its integration </w:t>
      </w:r>
      <w:r w:rsidR="0092554C" w:rsidRPr="00F4758C">
        <w:rPr>
          <w:lang w:val="en-GB" w:eastAsia="fr-FR"/>
        </w:rPr>
        <w:t xml:space="preserve">at all levels. </w:t>
      </w:r>
    </w:p>
    <w:p w14:paraId="3E51ED8B" w14:textId="119CBB89" w:rsidR="00661E67" w:rsidRPr="00F4758C" w:rsidRDefault="00863B53" w:rsidP="00661E67">
      <w:pPr>
        <w:ind w:left="708"/>
        <w:rPr>
          <w:lang w:val="en-GB" w:eastAsia="fr-FR"/>
        </w:rPr>
      </w:pPr>
      <w:r w:rsidRPr="00F4758C">
        <w:rPr>
          <w:lang w:val="en-GB" w:eastAsia="fr-FR"/>
        </w:rPr>
        <w:t xml:space="preserve">Digital accessibility must form part of the selection criteria, </w:t>
      </w:r>
      <w:r w:rsidR="0092554C" w:rsidRPr="00F4758C">
        <w:rPr>
          <w:lang w:val="en-GB" w:eastAsia="fr-FR"/>
        </w:rPr>
        <w:t xml:space="preserve">regardless of the type of product or service, </w:t>
      </w:r>
      <w:r w:rsidRPr="00F4758C">
        <w:rPr>
          <w:lang w:val="en-GB" w:eastAsia="fr-FR"/>
        </w:rPr>
        <w:t xml:space="preserve">provided </w:t>
      </w:r>
      <w:r w:rsidR="00DE5262" w:rsidRPr="00F4758C">
        <w:rPr>
          <w:lang w:val="en-GB" w:eastAsia="fr-FR"/>
        </w:rPr>
        <w:t xml:space="preserve">that it </w:t>
      </w:r>
      <w:r w:rsidR="0092554C" w:rsidRPr="00F4758C">
        <w:rPr>
          <w:lang w:val="en-GB" w:eastAsia="fr-FR"/>
        </w:rPr>
        <w:t xml:space="preserve">offers graphical user interfaces (website, cloud platform, mobile app, </w:t>
      </w:r>
      <w:r w:rsidR="0092554C" w:rsidRPr="001F2368">
        <w:rPr>
          <w:lang w:val="en-GB" w:eastAsia="fr-FR"/>
        </w:rPr>
        <w:t>e-learning</w:t>
      </w:r>
      <w:r w:rsidR="0092554C" w:rsidRPr="00F4758C">
        <w:rPr>
          <w:lang w:val="en-GB" w:eastAsia="fr-FR"/>
        </w:rPr>
        <w:t xml:space="preserve"> module, etc.), </w:t>
      </w:r>
      <w:r w:rsidR="00F003E8" w:rsidRPr="00F4758C">
        <w:rPr>
          <w:lang w:val="en-GB" w:eastAsia="fr-FR"/>
        </w:rPr>
        <w:t>whether through the establishment of standard clauses or by requiring training for service providers</w:t>
      </w:r>
      <w:r w:rsidR="005E30C1" w:rsidRPr="00F4758C">
        <w:rPr>
          <w:lang w:val="en-GB" w:eastAsia="fr-FR"/>
        </w:rPr>
        <w:t xml:space="preserve">. </w:t>
      </w:r>
      <w:r w:rsidR="00661E67" w:rsidRPr="00F4758C">
        <w:rPr>
          <w:lang w:val="en-GB" w:eastAsia="fr-FR"/>
        </w:rPr>
        <w:t xml:space="preserve">For example, the </w:t>
      </w:r>
      <w:r w:rsidR="0014347D" w:rsidRPr="00F4758C">
        <w:rPr>
          <w:bCs/>
          <w:lang w:val="en-GB"/>
        </w:rPr>
        <w:t>Minist</w:t>
      </w:r>
      <w:r w:rsidR="0014347D">
        <w:rPr>
          <w:bCs/>
          <w:lang w:val="en-GB"/>
        </w:rPr>
        <w:t>ère de l’Intérieur</w:t>
      </w:r>
      <w:r w:rsidR="0014347D" w:rsidRPr="00F4758C">
        <w:rPr>
          <w:lang w:val="en-GB" w:eastAsia="fr-FR"/>
        </w:rPr>
        <w:t xml:space="preserve"> </w:t>
      </w:r>
      <w:r w:rsidR="0014347D">
        <w:rPr>
          <w:lang w:val="en-GB" w:eastAsia="fr-FR"/>
        </w:rPr>
        <w:t>(</w:t>
      </w:r>
      <w:r w:rsidR="00661E67" w:rsidRPr="00F4758C">
        <w:rPr>
          <w:lang w:val="en-GB" w:eastAsia="fr-FR"/>
        </w:rPr>
        <w:t>Ministry of the Interior</w:t>
      </w:r>
      <w:r w:rsidR="0014347D">
        <w:rPr>
          <w:lang w:val="en-GB" w:eastAsia="fr-FR"/>
        </w:rPr>
        <w:t>)</w:t>
      </w:r>
      <w:r w:rsidR="00661E67" w:rsidRPr="00F4758C">
        <w:rPr>
          <w:lang w:val="en-GB" w:eastAsia="fr-FR"/>
        </w:rPr>
        <w:t xml:space="preserve"> has drawn up a model digital accessibility clause for its calls for tenders. This model can be adapted to suit the needs and constraints of each organisation</w:t>
      </w:r>
      <w:r w:rsidR="00661E67">
        <w:rPr>
          <w:rStyle w:val="Appelnotedebasdep"/>
          <w:lang w:eastAsia="fr-FR"/>
        </w:rPr>
        <w:footnoteReference w:id="25"/>
      </w:r>
      <w:r w:rsidR="00661E67" w:rsidRPr="00F4758C">
        <w:rPr>
          <w:lang w:val="en-GB" w:eastAsia="fr-FR"/>
        </w:rPr>
        <w:t xml:space="preserve"> .</w:t>
      </w:r>
      <w:r w:rsidR="00792F23" w:rsidRPr="00F4758C">
        <w:rPr>
          <w:lang w:val="en-GB" w:eastAsia="fr-FR"/>
        </w:rPr>
        <w:t xml:space="preserve"> In May 2026, the Economic Observatory for Public Procurement (OECP) also published a guide entitled </w:t>
      </w:r>
      <w:r w:rsidR="003C2B41">
        <w:rPr>
          <w:lang w:val="en-GB" w:eastAsia="fr-FR"/>
        </w:rPr>
        <w:t>“</w:t>
      </w:r>
      <w:r w:rsidR="00792F23" w:rsidRPr="00F4758C">
        <w:rPr>
          <w:lang w:val="en-GB" w:eastAsia="fr-FR"/>
        </w:rPr>
        <w:t>Clauses and recommendations for digital accessibility in public procurement</w:t>
      </w:r>
      <w:r w:rsidR="003C2B41">
        <w:rPr>
          <w:lang w:val="en-GB" w:eastAsia="fr-FR"/>
        </w:rPr>
        <w:t>”</w:t>
      </w:r>
      <w:r w:rsidR="00792F23" w:rsidRPr="00F4758C">
        <w:rPr>
          <w:lang w:val="en-GB" w:eastAsia="fr-FR"/>
        </w:rPr>
        <w:t>, which is a leading methodological resource and from which private companies can draw useful inspiration for their own practices</w:t>
      </w:r>
      <w:r w:rsidR="00792F23">
        <w:rPr>
          <w:rStyle w:val="Appelnotedebasdep"/>
          <w:lang w:eastAsia="fr-FR"/>
        </w:rPr>
        <w:footnoteReference w:id="26"/>
      </w:r>
      <w:r w:rsidR="00792F23" w:rsidRPr="00F4758C">
        <w:rPr>
          <w:lang w:val="en-GB" w:eastAsia="fr-FR"/>
        </w:rPr>
        <w:t xml:space="preserve"> .</w:t>
      </w:r>
    </w:p>
    <w:p w14:paraId="74C65A5D" w14:textId="7D3AD0C9" w:rsidR="0092554C" w:rsidRPr="00F4758C" w:rsidRDefault="0098395F" w:rsidP="00DC3602">
      <w:pPr>
        <w:pStyle w:val="Paragraphedeliste"/>
        <w:contextualSpacing w:val="0"/>
        <w:rPr>
          <w:lang w:val="en-GB" w:eastAsia="fr-FR"/>
        </w:rPr>
      </w:pPr>
      <w:r w:rsidRPr="00F4758C">
        <w:rPr>
          <w:lang w:val="en-GB" w:eastAsia="fr-FR"/>
        </w:rPr>
        <w:t xml:space="preserve">Consulting a specialist lawyer enables the drafting of standard documents that safeguard contract clauses and tender documents by clearly defining responsibilities at an early stage. This proactive approach prevents numerous misunderstandings and the additional costs associated with any subsequent corrective back-and-forth. However, it remains difficult to contractually impose a strict obligation of result on a service provider in terms of compliance, as this depends heavily on parameters specific to the client. </w:t>
      </w:r>
      <w:r w:rsidR="00ED0CB6" w:rsidRPr="00F4758C">
        <w:rPr>
          <w:lang w:val="en-GB" w:eastAsia="fr-FR"/>
        </w:rPr>
        <w:t>To this end</w:t>
      </w:r>
      <w:r w:rsidR="00661E67" w:rsidRPr="00F4758C">
        <w:rPr>
          <w:lang w:val="en-GB" w:eastAsia="fr-FR"/>
        </w:rPr>
        <w:t xml:space="preserve">, </w:t>
      </w:r>
      <w:r w:rsidR="00ED0CB6" w:rsidRPr="00F4758C">
        <w:rPr>
          <w:lang w:val="en-GB" w:eastAsia="fr-FR"/>
        </w:rPr>
        <w:t xml:space="preserve">it </w:t>
      </w:r>
      <w:r w:rsidR="00661E67" w:rsidRPr="00F4758C">
        <w:rPr>
          <w:lang w:val="en-GB" w:eastAsia="fr-FR"/>
        </w:rPr>
        <w:t xml:space="preserve">may be worthwhile </w:t>
      </w:r>
      <w:r w:rsidR="0092554C" w:rsidRPr="00F4758C">
        <w:rPr>
          <w:lang w:val="en-GB" w:eastAsia="fr-FR"/>
        </w:rPr>
        <w:t xml:space="preserve">adopting a win-win approach, with criteria to be met for new calls for tenders and </w:t>
      </w:r>
      <w:r w:rsidR="00ED0CB6" w:rsidRPr="00F4758C">
        <w:rPr>
          <w:lang w:val="en-GB" w:eastAsia="fr-FR"/>
        </w:rPr>
        <w:t xml:space="preserve">for </w:t>
      </w:r>
      <w:r w:rsidR="0092554C" w:rsidRPr="00F4758C">
        <w:rPr>
          <w:lang w:val="en-GB" w:eastAsia="fr-FR"/>
        </w:rPr>
        <w:t xml:space="preserve">contract renegotiations, possibly including an offer for an initial audit. Furthermore, the digital accessibility unit must ensure that </w:t>
      </w:r>
      <w:r w:rsidR="00DE5262" w:rsidRPr="00F4758C">
        <w:rPr>
          <w:lang w:val="en-GB" w:eastAsia="fr-FR"/>
        </w:rPr>
        <w:t>external</w:t>
      </w:r>
      <w:r w:rsidR="0092554C" w:rsidRPr="00F4758C">
        <w:rPr>
          <w:lang w:val="en-GB" w:eastAsia="fr-FR"/>
        </w:rPr>
        <w:t xml:space="preserve"> requirements placed on service providers are no less stringent than internal ones. To ensure this, it can introduce measures such as the systematic provision of minimum training for service providers and software suppliers, if only to highlight technical difficulties and compatibility challenges with </w:t>
      </w:r>
      <w:r w:rsidR="0092554C" w:rsidRPr="001F2368">
        <w:rPr>
          <w:lang w:val="en-GB" w:eastAsia="fr-FR"/>
        </w:rPr>
        <w:t>legacy systems</w:t>
      </w:r>
      <w:r w:rsidR="0092554C" w:rsidRPr="00F4758C">
        <w:rPr>
          <w:lang w:val="en-GB" w:eastAsia="fr-FR"/>
        </w:rPr>
        <w:t>.</w:t>
      </w:r>
    </w:p>
    <w:p w14:paraId="039502DB" w14:textId="2ECBB1C8" w:rsidR="0092554C" w:rsidRPr="00F4758C" w:rsidRDefault="008B4152">
      <w:pPr>
        <w:pStyle w:val="Paragraphedeliste"/>
        <w:numPr>
          <w:ilvl w:val="0"/>
          <w:numId w:val="21"/>
        </w:numPr>
        <w:rPr>
          <w:lang w:val="en-GB" w:eastAsia="fr-FR"/>
        </w:rPr>
      </w:pPr>
      <w:r w:rsidRPr="00F4758C">
        <w:rPr>
          <w:b/>
          <w:bCs/>
          <w:lang w:val="en-GB" w:eastAsia="fr-FR"/>
        </w:rPr>
        <w:t xml:space="preserve">With regard to </w:t>
      </w:r>
      <w:r w:rsidR="0092554C" w:rsidRPr="00F4758C">
        <w:rPr>
          <w:b/>
          <w:bCs/>
          <w:lang w:val="en-GB" w:eastAsia="fr-FR"/>
        </w:rPr>
        <w:t>procurement</w:t>
      </w:r>
      <w:r w:rsidRPr="00F4758C">
        <w:rPr>
          <w:b/>
          <w:bCs/>
          <w:lang w:val="en-GB" w:eastAsia="fr-FR"/>
        </w:rPr>
        <w:t xml:space="preserve"> departments</w:t>
      </w:r>
      <w:r w:rsidR="0092554C" w:rsidRPr="00F4758C">
        <w:rPr>
          <w:b/>
          <w:bCs/>
          <w:lang w:val="en-GB" w:eastAsia="fr-FR"/>
        </w:rPr>
        <w:t xml:space="preserve">, mapping out </w:t>
      </w:r>
      <w:r w:rsidRPr="00F4758C">
        <w:rPr>
          <w:b/>
          <w:bCs/>
          <w:lang w:val="en-GB" w:eastAsia="fr-FR"/>
        </w:rPr>
        <w:t xml:space="preserve">the main </w:t>
      </w:r>
      <w:r w:rsidR="0092554C" w:rsidRPr="00F4758C">
        <w:rPr>
          <w:b/>
          <w:bCs/>
          <w:lang w:val="en-GB" w:eastAsia="fr-FR"/>
        </w:rPr>
        <w:t xml:space="preserve">scenarios for service provision </w:t>
      </w:r>
      <w:r w:rsidR="0092554C" w:rsidRPr="00F4758C">
        <w:rPr>
          <w:lang w:val="en-GB" w:eastAsia="fr-FR"/>
        </w:rPr>
        <w:t>helps to simplify the integration of digital accessibility into the preliminary project methodology</w:t>
      </w:r>
      <w:r w:rsidR="008904B2" w:rsidRPr="00F4758C">
        <w:rPr>
          <w:lang w:val="en-GB" w:eastAsia="fr-FR"/>
        </w:rPr>
        <w:t>.</w:t>
      </w:r>
      <w:r w:rsidR="0092554C" w:rsidRPr="00F4758C">
        <w:rPr>
          <w:lang w:val="en-GB" w:eastAsia="fr-FR"/>
        </w:rPr>
        <w:t xml:space="preserve"> The case study from the Caisse des Dépôts </w:t>
      </w:r>
      <w:r w:rsidR="008904B2" w:rsidRPr="00F4758C">
        <w:rPr>
          <w:lang w:val="en-GB" w:eastAsia="fr-FR"/>
        </w:rPr>
        <w:t xml:space="preserve">presented </w:t>
      </w:r>
      <w:r w:rsidR="00DE5262" w:rsidRPr="00F4758C">
        <w:rPr>
          <w:lang w:val="en-GB" w:eastAsia="fr-FR"/>
        </w:rPr>
        <w:t xml:space="preserve">below </w:t>
      </w:r>
      <w:r w:rsidR="008904B2" w:rsidRPr="00F4758C">
        <w:rPr>
          <w:lang w:val="en-GB" w:eastAsia="fr-FR"/>
        </w:rPr>
        <w:t xml:space="preserve">illustrates how </w:t>
      </w:r>
      <w:r w:rsidR="0092554C" w:rsidRPr="00F4758C">
        <w:rPr>
          <w:lang w:val="en-GB" w:eastAsia="fr-FR"/>
        </w:rPr>
        <w:t xml:space="preserve">breaking down these scenarios in terms of financial and man-hour costs </w:t>
      </w:r>
      <w:r w:rsidR="00BD2E34" w:rsidRPr="00F4758C">
        <w:rPr>
          <w:lang w:val="en-GB" w:eastAsia="fr-FR"/>
        </w:rPr>
        <w:t xml:space="preserve">can provide </w:t>
      </w:r>
      <w:r w:rsidR="0092554C" w:rsidRPr="00F4758C">
        <w:rPr>
          <w:lang w:val="en-GB" w:eastAsia="fr-FR"/>
        </w:rPr>
        <w:t xml:space="preserve">transparency and standardisation </w:t>
      </w:r>
      <w:r w:rsidR="00BD2E34" w:rsidRPr="00F4758C">
        <w:rPr>
          <w:lang w:val="en-GB" w:eastAsia="fr-FR"/>
        </w:rPr>
        <w:t xml:space="preserve">that facilitate </w:t>
      </w:r>
      <w:r w:rsidR="0092554C" w:rsidRPr="00F4758C">
        <w:rPr>
          <w:lang w:val="en-GB" w:eastAsia="fr-FR"/>
        </w:rPr>
        <w:t>decision-making and the allocation of fixed and recurring resources.</w:t>
      </w:r>
    </w:p>
    <w:p w14:paraId="7A62BFD0" w14:textId="77777777" w:rsidR="0024012F" w:rsidRPr="00F4758C" w:rsidRDefault="0024012F" w:rsidP="0024012F">
      <w:pPr>
        <w:rPr>
          <w:lang w:val="en-GB" w:eastAsia="fr-FR"/>
        </w:rPr>
      </w:pP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C234C3" w:rsidRPr="00C43137" w14:paraId="4E8330B6" w14:textId="77777777" w:rsidTr="003D4270">
        <w:trPr>
          <w:jc w:val="center"/>
        </w:trPr>
        <w:tc>
          <w:tcPr>
            <w:tcW w:w="9047" w:type="dxa"/>
            <w:tcBorders>
              <w:left w:val="single" w:sz="18" w:space="0" w:color="155E48"/>
            </w:tcBorders>
            <w:shd w:val="clear" w:color="auto" w:fill="F2F2F2" w:themeFill="background1" w:themeFillShade="F2"/>
          </w:tcPr>
          <w:p w14:paraId="6584D304" w14:textId="49AEDA07" w:rsidR="00C234C3" w:rsidRPr="00F4758C" w:rsidRDefault="00F94B26" w:rsidP="00F43551">
            <w:pPr>
              <w:pStyle w:val="TitreEncart"/>
              <w:rPr>
                <w:lang w:val="en-GB"/>
              </w:rPr>
            </w:pPr>
            <w:bookmarkStart w:id="51" w:name="_Toc230257730"/>
            <w:r w:rsidRPr="00F4758C">
              <w:rPr>
                <w:lang w:val="en-GB"/>
              </w:rPr>
              <w:lastRenderedPageBreak/>
              <w:t xml:space="preserve">Case Study: </w:t>
            </w:r>
            <w:r w:rsidR="00C234C3" w:rsidRPr="00F4758C">
              <w:rPr>
                <w:lang w:val="en-GB"/>
              </w:rPr>
              <w:t xml:space="preserve">Caisse des Dépôts </w:t>
            </w:r>
            <w:bookmarkEnd w:id="51"/>
          </w:p>
          <w:p w14:paraId="33A03617" w14:textId="77777777" w:rsidR="00C234C3" w:rsidRPr="00F4758C" w:rsidRDefault="00C234C3" w:rsidP="0033608D">
            <w:pPr>
              <w:pStyle w:val="TitreencartREX"/>
              <w:rPr>
                <w:lang w:val="en-GB"/>
              </w:rPr>
            </w:pPr>
            <w:r w:rsidRPr="00F4758C">
              <w:rPr>
                <w:lang w:val="en-GB"/>
              </w:rPr>
              <w:t xml:space="preserve">Preliminary design methodology </w:t>
            </w:r>
          </w:p>
          <w:p w14:paraId="2447F0F1" w14:textId="7C2C6A03" w:rsidR="00C234C3" w:rsidRPr="00F4758C" w:rsidRDefault="003C2B41" w:rsidP="00F43551">
            <w:pPr>
              <w:rPr>
                <w:lang w:val="en-GB"/>
              </w:rPr>
            </w:pPr>
            <w:r>
              <w:rPr>
                <w:lang w:val="en-GB"/>
              </w:rPr>
              <w:t>“</w:t>
            </w:r>
            <w:r w:rsidR="00C234C3" w:rsidRPr="00F4758C">
              <w:rPr>
                <w:lang w:val="en-GB"/>
              </w:rPr>
              <w:t>To determine how to organise the integration of digital accessibility requirements into the project phase in practical terms, the Caisse des Dépôts team responsible for digital accessibility developed four distinct scenarios, proposing a procedure for each possible case:</w:t>
            </w:r>
          </w:p>
          <w:p w14:paraId="76F30632" w14:textId="77777777" w:rsidR="00C234C3" w:rsidRPr="00F4758C" w:rsidRDefault="00C234C3">
            <w:pPr>
              <w:numPr>
                <w:ilvl w:val="0"/>
                <w:numId w:val="22"/>
              </w:numPr>
              <w:rPr>
                <w:lang w:val="en-GB"/>
              </w:rPr>
            </w:pPr>
            <w:r w:rsidRPr="00F4758C">
              <w:rPr>
                <w:lang w:val="en-GB"/>
              </w:rPr>
              <w:t xml:space="preserve">Scenario A1: </w:t>
            </w:r>
            <w:r w:rsidRPr="00F4758C">
              <w:rPr>
                <w:b/>
                <w:bCs/>
                <w:lang w:val="en-GB"/>
              </w:rPr>
              <w:t xml:space="preserve">The digital service is developed in-house </w:t>
            </w:r>
            <w:r w:rsidRPr="00F4758C">
              <w:rPr>
                <w:lang w:val="en-GB"/>
              </w:rPr>
              <w:t>and implements user interfaces aimed at more than 100 people. This involves upskilling the teams (</w:t>
            </w:r>
            <w:r w:rsidRPr="001F2368">
              <w:rPr>
                <w:lang w:val="en-GB"/>
              </w:rPr>
              <w:t>Product Owner, business analysts</w:t>
            </w:r>
            <w:r w:rsidRPr="00F4758C">
              <w:rPr>
                <w:lang w:val="en-GB"/>
              </w:rPr>
              <w:t>, developers), an accessibility budget to be covered by the project – including the cost of an RGAA audit (up to €6,300 including VAT) – and the allocation of a maximum of 15 man-days of support.</w:t>
            </w:r>
          </w:p>
          <w:p w14:paraId="6441924A" w14:textId="77777777" w:rsidR="00C234C3" w:rsidRPr="00F4758C" w:rsidRDefault="00C234C3">
            <w:pPr>
              <w:numPr>
                <w:ilvl w:val="0"/>
                <w:numId w:val="22"/>
              </w:numPr>
              <w:rPr>
                <w:lang w:val="en-GB"/>
              </w:rPr>
            </w:pPr>
            <w:r w:rsidRPr="00F4758C">
              <w:rPr>
                <w:lang w:val="en-GB"/>
              </w:rPr>
              <w:t xml:space="preserve">Scenario A2: </w:t>
            </w:r>
            <w:r w:rsidRPr="00F4758C">
              <w:rPr>
                <w:b/>
                <w:bCs/>
                <w:lang w:val="en-GB"/>
              </w:rPr>
              <w:t xml:space="preserve">The digital service is a SaaS solution contracted with a software provider </w:t>
            </w:r>
            <w:r w:rsidRPr="00F4758C">
              <w:rPr>
                <w:lang w:val="en-GB"/>
              </w:rPr>
              <w:t>and features user interfaces intended for more than 100 people. This involves incorporating digital accessibility requirements into the tender documents, an accessibility budget to be covered by the project (including the cost of an RGAA audit, up to €6,300 including VAT) and the allocation of a maximum of 5 man-days of support.</w:t>
            </w:r>
          </w:p>
          <w:p w14:paraId="429610E7" w14:textId="38B05428" w:rsidR="00C234C3" w:rsidRPr="00F4758C" w:rsidRDefault="00C234C3">
            <w:pPr>
              <w:numPr>
                <w:ilvl w:val="0"/>
                <w:numId w:val="22"/>
              </w:numPr>
              <w:rPr>
                <w:lang w:val="en-GB"/>
              </w:rPr>
            </w:pPr>
            <w:r w:rsidRPr="00F4758C">
              <w:rPr>
                <w:lang w:val="en-GB"/>
              </w:rPr>
              <w:t xml:space="preserve">Scenario B: </w:t>
            </w:r>
            <w:r w:rsidRPr="00F4758C">
              <w:rPr>
                <w:b/>
                <w:bCs/>
                <w:lang w:val="en-GB"/>
              </w:rPr>
              <w:t xml:space="preserve">The digital service is intended for fewer than 100 users, </w:t>
            </w:r>
            <w:r w:rsidRPr="00F4758C">
              <w:rPr>
                <w:lang w:val="en-GB"/>
              </w:rPr>
              <w:t xml:space="preserve">or the target number of users is unknown at this stage. It is necessary to contact the accessibility leads to discuss the scope and objectives of the project. Following these discussions, the project will either transition to scenarios A1/A2 or </w:t>
            </w:r>
            <w:r w:rsidR="00DE5262" w:rsidRPr="00F4758C">
              <w:rPr>
                <w:lang w:val="en-GB"/>
              </w:rPr>
              <w:t xml:space="preserve">continue under </w:t>
            </w:r>
            <w:r w:rsidRPr="00F4758C">
              <w:rPr>
                <w:lang w:val="en-GB"/>
              </w:rPr>
              <w:t>scenario B, which therefore applies to a project with a very limited scope (</w:t>
            </w:r>
            <w:r w:rsidR="00DE5262" w:rsidRPr="00F4758C">
              <w:rPr>
                <w:lang w:val="en-GB"/>
              </w:rPr>
              <w:t xml:space="preserve">from a </w:t>
            </w:r>
            <w:r w:rsidRPr="00F4758C">
              <w:rPr>
                <w:lang w:val="en-GB"/>
              </w:rPr>
              <w:t xml:space="preserve">functional </w:t>
            </w:r>
            <w:r w:rsidR="00DE5262" w:rsidRPr="00F4758C">
              <w:rPr>
                <w:lang w:val="en-GB"/>
              </w:rPr>
              <w:t xml:space="preserve">perspective </w:t>
            </w:r>
            <w:r w:rsidRPr="00F4758C">
              <w:rPr>
                <w:lang w:val="en-GB"/>
              </w:rPr>
              <w:t>or in terms of target users, or even budget) and which will involve a small amount of skills development and brief support from the accessibility leads (up to 3 man-days of support).</w:t>
            </w:r>
          </w:p>
          <w:p w14:paraId="1213369A" w14:textId="7F81707F" w:rsidR="00C234C3" w:rsidRPr="00F4758C" w:rsidRDefault="00C234C3">
            <w:pPr>
              <w:numPr>
                <w:ilvl w:val="0"/>
                <w:numId w:val="22"/>
              </w:numPr>
              <w:rPr>
                <w:lang w:val="en-GB"/>
              </w:rPr>
            </w:pPr>
            <w:r w:rsidRPr="00F4758C">
              <w:rPr>
                <w:lang w:val="en-GB"/>
              </w:rPr>
              <w:t xml:space="preserve">Scenario C: Accessibility considerations do not apply if </w:t>
            </w:r>
            <w:r w:rsidRPr="00F4758C">
              <w:rPr>
                <w:b/>
                <w:bCs/>
                <w:lang w:val="en-GB"/>
              </w:rPr>
              <w:t xml:space="preserve">user interfaces </w:t>
            </w:r>
            <w:r w:rsidRPr="00F4758C">
              <w:rPr>
                <w:lang w:val="en-GB"/>
              </w:rPr>
              <w:t>are not implemented</w:t>
            </w:r>
            <w:r w:rsidR="00DC3602" w:rsidRPr="00F4758C">
              <w:rPr>
                <w:lang w:val="en-GB"/>
              </w:rPr>
              <w:t>.”</w:t>
            </w:r>
          </w:p>
          <w:p w14:paraId="06226CC5" w14:textId="1F2AC537" w:rsidR="00C234C3" w:rsidRDefault="000623E0" w:rsidP="00F43551">
            <w:r w:rsidRPr="000623E0">
              <w:rPr>
                <w:noProof/>
              </w:rPr>
              <w:lastRenderedPageBreak/>
              <w:drawing>
                <wp:inline distT="0" distB="0" distL="0" distR="0" wp14:anchorId="46DC8EAB" wp14:editId="3D517FD2">
                  <wp:extent cx="5384165" cy="4961890"/>
                  <wp:effectExtent l="1588" t="0" r="8572" b="8573"/>
                  <wp:docPr id="1399483172" name="Image 1" descr="Flowchart from the Caisse des Dépôts, illustrating the process for addressing accessibility requirements across the three main scenarios described abo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483172" name="Image 1" descr="Flowchart from the Caisse des Dépôts, illustrating the process for addressing accessibility requirements across the three main scenarios described above."/>
                          <pic:cNvPicPr/>
                        </pic:nvPicPr>
                        <pic:blipFill>
                          <a:blip r:embed="rId25"/>
                          <a:stretch>
                            <a:fillRect/>
                          </a:stretch>
                        </pic:blipFill>
                        <pic:spPr>
                          <a:xfrm rot="5400000">
                            <a:off x="0" y="0"/>
                            <a:ext cx="5384165" cy="4961890"/>
                          </a:xfrm>
                          <a:prstGeom prst="rect">
                            <a:avLst/>
                          </a:prstGeom>
                        </pic:spPr>
                      </pic:pic>
                    </a:graphicData>
                  </a:graphic>
                </wp:inline>
              </w:drawing>
            </w:r>
          </w:p>
          <w:p w14:paraId="71B3653B" w14:textId="77F4C29D" w:rsidR="00C234C3" w:rsidRDefault="008E27A3" w:rsidP="008E27A3">
            <w:pPr>
              <w:pStyle w:val="Lgende"/>
            </w:pPr>
            <w:bookmarkStart w:id="52" w:name="_Toc230192047"/>
            <w:r w:rsidRPr="008E27A3">
              <w:t xml:space="preserve">Flowchart of </w:t>
            </w:r>
            <w:r>
              <w:t>scenarios_Caisse des Dépôts</w:t>
            </w:r>
            <w:bookmarkEnd w:id="52"/>
          </w:p>
          <w:p w14:paraId="0A8AAD03" w14:textId="77777777" w:rsidR="00646CD1" w:rsidRPr="00646CD1" w:rsidRDefault="00646CD1" w:rsidP="00646CD1"/>
          <w:p w14:paraId="0A3F73F6" w14:textId="647C6B97" w:rsidR="00C234C3" w:rsidRDefault="00C234C3" w:rsidP="00F43551">
            <w:pPr>
              <w:jc w:val="right"/>
            </w:pPr>
            <w:r w:rsidRPr="0092554C">
              <w:rPr>
                <w:b/>
                <w:bCs/>
              </w:rPr>
              <w:t>Yann Goupil</w:t>
            </w:r>
            <w:r>
              <w:t xml:space="preserve">, Digital Accessibility Lead at </w:t>
            </w:r>
            <w:r w:rsidRPr="008E27A3">
              <w:rPr>
                <w:b/>
                <w:bCs/>
              </w:rPr>
              <w:t xml:space="preserve">the </w:t>
            </w:r>
            <w:r w:rsidRPr="0092554C">
              <w:rPr>
                <w:b/>
                <w:bCs/>
              </w:rPr>
              <w:t xml:space="preserve">Caisse des Dépôts </w:t>
            </w:r>
            <w:r w:rsidRPr="008E27A3">
              <w:rPr>
                <w:b/>
                <w:bCs/>
              </w:rPr>
              <w:t>public institution</w:t>
            </w:r>
          </w:p>
          <w:p w14:paraId="064CE1E8" w14:textId="762EE32C" w:rsidR="00C234C3" w:rsidRPr="00C43137" w:rsidRDefault="00C234C3" w:rsidP="00646CD1">
            <w:pPr>
              <w:jc w:val="right"/>
            </w:pPr>
            <w:r w:rsidRPr="0092554C">
              <w:rPr>
                <w:b/>
                <w:bCs/>
              </w:rPr>
              <w:t>Délia Garbarini</w:t>
            </w:r>
            <w:r>
              <w:t>, Digital Accessibility Lead</w:t>
            </w:r>
            <w:r w:rsidR="00DE5262">
              <w:t xml:space="preserve">, </w:t>
            </w:r>
            <w:r w:rsidRPr="0092554C">
              <w:rPr>
                <w:b/>
                <w:bCs/>
              </w:rPr>
              <w:t>CDC IT</w:t>
            </w:r>
          </w:p>
        </w:tc>
      </w:tr>
    </w:tbl>
    <w:p w14:paraId="4F9D30C7" w14:textId="77777777" w:rsidR="00C234C3" w:rsidRPr="005E30C1" w:rsidRDefault="00C234C3" w:rsidP="005E30C1">
      <w:pPr>
        <w:rPr>
          <w:lang w:eastAsia="fr-FR"/>
        </w:rPr>
      </w:pPr>
    </w:p>
    <w:p w14:paraId="79AE5820" w14:textId="77777777" w:rsidR="003169F8" w:rsidRDefault="003169F8" w:rsidP="0024012F">
      <w:pPr>
        <w:rPr>
          <w:lang w:eastAsia="fr-FR"/>
        </w:rPr>
      </w:pP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3169F8" w:rsidRPr="00C43137" w14:paraId="383EBC9C" w14:textId="77777777" w:rsidTr="0006239A">
        <w:trPr>
          <w:cantSplit/>
          <w:jc w:val="center"/>
        </w:trPr>
        <w:tc>
          <w:tcPr>
            <w:tcW w:w="9047" w:type="dxa"/>
            <w:tcBorders>
              <w:left w:val="single" w:sz="18" w:space="0" w:color="155E48"/>
            </w:tcBorders>
            <w:shd w:val="clear" w:color="auto" w:fill="F2F2F2" w:themeFill="background1" w:themeFillShade="F2"/>
          </w:tcPr>
          <w:p w14:paraId="110697C7" w14:textId="0D216578" w:rsidR="003169F8" w:rsidRPr="00F4758C" w:rsidRDefault="003169F8" w:rsidP="006C25DE">
            <w:pPr>
              <w:pStyle w:val="TitreEncart"/>
              <w:rPr>
                <w:lang w:val="en-GB"/>
              </w:rPr>
            </w:pPr>
            <w:bookmarkStart w:id="53" w:name="_Toc230257731"/>
            <w:r w:rsidRPr="00F4758C">
              <w:rPr>
                <w:lang w:val="en-GB"/>
              </w:rPr>
              <w:lastRenderedPageBreak/>
              <w:t>Case Study: La Poste Group</w:t>
            </w:r>
            <w:bookmarkEnd w:id="53"/>
            <w:r w:rsidR="00681E5D">
              <w:rPr>
                <w:lang w:val="en-GB"/>
              </w:rPr>
              <w:t xml:space="preserve"> </w:t>
            </w:r>
          </w:p>
          <w:p w14:paraId="44F97021" w14:textId="37D10E1F" w:rsidR="003169F8" w:rsidRPr="00F4758C" w:rsidRDefault="003169F8" w:rsidP="00F25788">
            <w:pPr>
              <w:pStyle w:val="TitreencartREX"/>
              <w:rPr>
                <w:lang w:val="en-GB"/>
              </w:rPr>
            </w:pPr>
            <w:r w:rsidRPr="00F4758C">
              <w:rPr>
                <w:lang w:val="en-GB"/>
              </w:rPr>
              <w:t xml:space="preserve">Criteria applied during procurement processes for </w:t>
            </w:r>
            <w:r w:rsidR="00064021">
              <w:rPr>
                <w:lang w:val="en-GB"/>
              </w:rPr>
              <w:t>digital accessibility</w:t>
            </w:r>
            <w:r w:rsidRPr="00F4758C">
              <w:rPr>
                <w:lang w:val="en-GB"/>
              </w:rPr>
              <w:t xml:space="preserve"> on the i-TEAM side</w:t>
            </w:r>
            <w:r w:rsidR="006A7E8F" w:rsidRPr="00F4758C">
              <w:rPr>
                <w:lang w:val="en-GB"/>
              </w:rPr>
              <w:t xml:space="preserve">, </w:t>
            </w:r>
            <w:r w:rsidRPr="00F4758C">
              <w:rPr>
                <w:lang w:val="en-GB"/>
              </w:rPr>
              <w:t xml:space="preserve">regardless of the IT procurement area </w:t>
            </w:r>
          </w:p>
          <w:p w14:paraId="0087EE14" w14:textId="75498800" w:rsidR="003169F8" w:rsidRPr="00F4758C" w:rsidRDefault="00DC3602" w:rsidP="003169F8">
            <w:pPr>
              <w:rPr>
                <w:lang w:val="en-GB"/>
              </w:rPr>
            </w:pPr>
            <w:r w:rsidRPr="00F4758C">
              <w:rPr>
                <w:lang w:val="en-GB"/>
              </w:rPr>
              <w:t>“</w:t>
            </w:r>
            <w:r w:rsidR="003169F8" w:rsidRPr="00F4758C">
              <w:rPr>
                <w:lang w:val="en-GB"/>
              </w:rPr>
              <w:t xml:space="preserve">i-TEAM, a division of La Poste Group’s IT Department, delivers digital services to internal customers (the general public, mail and parcels, postal banking, subsidiaries), historically via the shared IT system, the HRIS, the Finance IT system and all </w:t>
            </w:r>
            <w:r w:rsidR="003169F8" w:rsidRPr="001F2368">
              <w:rPr>
                <w:lang w:val="en-GB"/>
              </w:rPr>
              <w:t>corporate</w:t>
            </w:r>
            <w:r w:rsidR="003169F8" w:rsidRPr="00F4758C">
              <w:rPr>
                <w:lang w:val="en-GB"/>
              </w:rPr>
              <w:t xml:space="preserve"> IT systems. i-TEAM has over 1,000 staff spread across 10 sites.” As a public service organisation, La Poste is committed to promoting ethical, inclusive and resource-efficient digital solutions. The Group is implementing an end-to-end approach to integrate accessibility from the early stages of projects right through to </w:t>
            </w:r>
            <w:r w:rsidR="003169F8" w:rsidRPr="001F2368">
              <w:rPr>
                <w:lang w:val="en-GB"/>
              </w:rPr>
              <w:t>operation</w:t>
            </w:r>
            <w:r w:rsidR="003169F8" w:rsidRPr="00F4758C">
              <w:rPr>
                <w:lang w:val="en-GB"/>
              </w:rPr>
              <w:t xml:space="preserve">, including the procurement phase. </w:t>
            </w:r>
          </w:p>
          <w:p w14:paraId="65336201" w14:textId="7B2AB929" w:rsidR="00BC7739" w:rsidRPr="00F4758C" w:rsidRDefault="003169F8" w:rsidP="003169F8">
            <w:pPr>
              <w:rPr>
                <w:lang w:val="en-GB"/>
              </w:rPr>
            </w:pPr>
            <w:r w:rsidRPr="00F4758C">
              <w:rPr>
                <w:lang w:val="en-GB"/>
              </w:rPr>
              <w:t xml:space="preserve">A target of at least 70 per cent compliance </w:t>
            </w:r>
            <w:r w:rsidR="00A76094" w:rsidRPr="00F4758C">
              <w:rPr>
                <w:lang w:val="en-GB"/>
              </w:rPr>
              <w:t xml:space="preserve">is being pursued </w:t>
            </w:r>
            <w:r w:rsidR="001C77FE" w:rsidRPr="00F4758C">
              <w:rPr>
                <w:lang w:val="en-GB"/>
              </w:rPr>
              <w:t xml:space="preserve">as an interim step, </w:t>
            </w:r>
            <w:r w:rsidRPr="00F4758C">
              <w:rPr>
                <w:lang w:val="en-GB"/>
              </w:rPr>
              <w:t xml:space="preserve">both internally and in relation to software vendors. As the software industry is not considered sufficiently mature, the contractual requirement is structured around progress plans and </w:t>
            </w:r>
            <w:r w:rsidRPr="001F2368">
              <w:rPr>
                <w:lang w:val="en-GB"/>
              </w:rPr>
              <w:t xml:space="preserve">roadmaps </w:t>
            </w:r>
            <w:r w:rsidRPr="00F4758C">
              <w:rPr>
                <w:lang w:val="en-GB"/>
              </w:rPr>
              <w:t>rather than exclusionary thresholds during consultation. All IT contracts include standard clauses on digital accessibility</w:t>
            </w:r>
            <w:r w:rsidR="00DC3602" w:rsidRPr="00F4758C">
              <w:rPr>
                <w:lang w:val="en-GB"/>
              </w:rPr>
              <w:t>.</w:t>
            </w:r>
          </w:p>
          <w:p w14:paraId="2922E908" w14:textId="3EC3F6FC" w:rsidR="00BC7739" w:rsidRPr="00F4758C" w:rsidRDefault="003169F8" w:rsidP="00C70366">
            <w:pPr>
              <w:keepNext/>
              <w:keepLines/>
              <w:rPr>
                <w:lang w:val="en-GB"/>
              </w:rPr>
            </w:pPr>
            <w:r w:rsidRPr="00F4758C">
              <w:rPr>
                <w:lang w:val="en-GB"/>
              </w:rPr>
              <w:t xml:space="preserve">Here are a few examples: </w:t>
            </w:r>
          </w:p>
          <w:tbl>
            <w:tblPr>
              <w:tblW w:w="8628" w:type="dxa"/>
              <w:tblBorders>
                <w:top w:val="single" w:sz="4" w:space="0" w:color="767171" w:themeColor="background2" w:themeShade="80"/>
                <w:left w:val="single" w:sz="4" w:space="0" w:color="767171" w:themeColor="background2" w:themeShade="80"/>
                <w:bottom w:val="single" w:sz="4" w:space="0" w:color="767171" w:themeColor="background2" w:themeShade="80"/>
                <w:right w:val="single" w:sz="4" w:space="0" w:color="767171" w:themeColor="background2" w:themeShade="80"/>
                <w:insideH w:val="single" w:sz="4" w:space="0" w:color="767171" w:themeColor="background2" w:themeShade="80"/>
                <w:insideV w:val="single" w:sz="4" w:space="0" w:color="767171" w:themeColor="background2" w:themeShade="80"/>
              </w:tblBorders>
              <w:tblCellMar>
                <w:left w:w="0" w:type="dxa"/>
                <w:right w:w="0" w:type="dxa"/>
              </w:tblCellMar>
              <w:tblLook w:val="06A0" w:firstRow="1" w:lastRow="0" w:firstColumn="1" w:lastColumn="0" w:noHBand="1" w:noVBand="1"/>
            </w:tblPr>
            <w:tblGrid>
              <w:gridCol w:w="1238"/>
              <w:gridCol w:w="1275"/>
              <w:gridCol w:w="3057"/>
              <w:gridCol w:w="66"/>
              <w:gridCol w:w="2992"/>
            </w:tblGrid>
            <w:tr w:rsidR="003169F8" w:rsidRPr="00284805" w14:paraId="2EBF9EE1" w14:textId="77777777" w:rsidTr="004C4D0B">
              <w:trPr>
                <w:cantSplit/>
                <w:trHeight w:val="544"/>
                <w:tblHeader/>
              </w:trPr>
              <w:tc>
                <w:tcPr>
                  <w:tcW w:w="1238" w:type="dxa"/>
                  <w:shd w:val="clear" w:color="auto" w:fill="307A55"/>
                  <w:tcMar>
                    <w:top w:w="4" w:type="dxa"/>
                    <w:left w:w="4" w:type="dxa"/>
                    <w:bottom w:w="0" w:type="dxa"/>
                    <w:right w:w="4" w:type="dxa"/>
                  </w:tcMar>
                  <w:vAlign w:val="center"/>
                  <w:hideMark/>
                </w:tcPr>
                <w:p w14:paraId="57C5F6CF" w14:textId="77777777" w:rsidR="003169F8" w:rsidRPr="00F65268" w:rsidRDefault="003169F8" w:rsidP="00C70366">
                  <w:pPr>
                    <w:keepNext/>
                    <w:keepLines/>
                    <w:jc w:val="center"/>
                    <w:rPr>
                      <w:color w:val="FFFFFF" w:themeColor="background1"/>
                    </w:rPr>
                  </w:pPr>
                  <w:bookmarkStart w:id="54" w:name="_Hlk230168500"/>
                  <w:r w:rsidRPr="00F65268">
                    <w:rPr>
                      <w:b/>
                      <w:bCs/>
                      <w:color w:val="FFFFFF" w:themeColor="background1"/>
                    </w:rPr>
                    <w:t>Functional area</w:t>
                  </w:r>
                </w:p>
              </w:tc>
              <w:tc>
                <w:tcPr>
                  <w:tcW w:w="1275" w:type="dxa"/>
                  <w:shd w:val="clear" w:color="auto" w:fill="307A55"/>
                  <w:tcMar>
                    <w:top w:w="4" w:type="dxa"/>
                    <w:left w:w="4" w:type="dxa"/>
                    <w:bottom w:w="0" w:type="dxa"/>
                    <w:right w:w="4" w:type="dxa"/>
                  </w:tcMar>
                  <w:vAlign w:val="center"/>
                  <w:hideMark/>
                </w:tcPr>
                <w:p w14:paraId="609A4F8B" w14:textId="77777777" w:rsidR="003169F8" w:rsidRPr="00F65268" w:rsidRDefault="003169F8" w:rsidP="00C70366">
                  <w:pPr>
                    <w:keepNext/>
                    <w:keepLines/>
                    <w:jc w:val="center"/>
                    <w:rPr>
                      <w:color w:val="FFFFFF" w:themeColor="background1"/>
                    </w:rPr>
                  </w:pPr>
                  <w:r w:rsidRPr="00F65268">
                    <w:rPr>
                      <w:b/>
                      <w:bCs/>
                      <w:color w:val="FFFFFF" w:themeColor="background1"/>
                    </w:rPr>
                    <w:t>Objective</w:t>
                  </w:r>
                </w:p>
              </w:tc>
              <w:tc>
                <w:tcPr>
                  <w:tcW w:w="3057" w:type="dxa"/>
                  <w:shd w:val="clear" w:color="auto" w:fill="307A55"/>
                  <w:tcMar>
                    <w:top w:w="4" w:type="dxa"/>
                    <w:left w:w="4" w:type="dxa"/>
                    <w:bottom w:w="0" w:type="dxa"/>
                    <w:right w:w="4" w:type="dxa"/>
                  </w:tcMar>
                  <w:vAlign w:val="center"/>
                  <w:hideMark/>
                </w:tcPr>
                <w:p w14:paraId="1AEA7A5D" w14:textId="77777777" w:rsidR="003169F8" w:rsidRPr="00F65268" w:rsidRDefault="003169F8" w:rsidP="00C70366">
                  <w:pPr>
                    <w:keepNext/>
                    <w:keepLines/>
                    <w:jc w:val="center"/>
                    <w:rPr>
                      <w:color w:val="FFFFFF" w:themeColor="background1"/>
                    </w:rPr>
                  </w:pPr>
                  <w:r w:rsidRPr="00F65268">
                    <w:rPr>
                      <w:b/>
                      <w:bCs/>
                      <w:color w:val="FFFFFF" w:themeColor="background1"/>
                    </w:rPr>
                    <w:t>Questions</w:t>
                  </w:r>
                </w:p>
              </w:tc>
              <w:tc>
                <w:tcPr>
                  <w:tcW w:w="3058" w:type="dxa"/>
                  <w:gridSpan w:val="2"/>
                  <w:shd w:val="clear" w:color="auto" w:fill="307A55"/>
                  <w:tcMar>
                    <w:top w:w="4" w:type="dxa"/>
                    <w:left w:w="4" w:type="dxa"/>
                    <w:bottom w:w="0" w:type="dxa"/>
                    <w:right w:w="4" w:type="dxa"/>
                  </w:tcMar>
                  <w:vAlign w:val="center"/>
                  <w:hideMark/>
                </w:tcPr>
                <w:p w14:paraId="306506B8" w14:textId="77777777" w:rsidR="003169F8" w:rsidRPr="00F65268" w:rsidRDefault="003169F8" w:rsidP="00C70366">
                  <w:pPr>
                    <w:keepNext/>
                    <w:keepLines/>
                    <w:jc w:val="center"/>
                    <w:rPr>
                      <w:color w:val="FFFFFF" w:themeColor="background1"/>
                    </w:rPr>
                  </w:pPr>
                  <w:r w:rsidRPr="00F65268">
                    <w:rPr>
                      <w:b/>
                      <w:bCs/>
                      <w:color w:val="FFFFFF" w:themeColor="background1"/>
                    </w:rPr>
                    <w:t>Evidence to be provided</w:t>
                  </w:r>
                </w:p>
              </w:tc>
            </w:tr>
            <w:bookmarkEnd w:id="54"/>
            <w:tr w:rsidR="003169F8" w:rsidRPr="004B4BDE" w14:paraId="27AC5BFD" w14:textId="77777777" w:rsidTr="004C4D0B">
              <w:trPr>
                <w:cantSplit/>
                <w:trHeight w:val="1793"/>
              </w:trPr>
              <w:tc>
                <w:tcPr>
                  <w:tcW w:w="1238" w:type="dxa"/>
                  <w:shd w:val="clear" w:color="auto" w:fill="307A55"/>
                  <w:tcMar>
                    <w:top w:w="4" w:type="dxa"/>
                    <w:left w:w="4" w:type="dxa"/>
                    <w:bottom w:w="0" w:type="dxa"/>
                    <w:right w:w="4" w:type="dxa"/>
                  </w:tcMar>
                  <w:vAlign w:val="center"/>
                  <w:hideMark/>
                </w:tcPr>
                <w:p w14:paraId="083EF602" w14:textId="77777777" w:rsidR="003169F8" w:rsidRPr="00231BFF" w:rsidRDefault="003169F8" w:rsidP="00C70366">
                  <w:pPr>
                    <w:keepNext/>
                    <w:keepLines/>
                    <w:spacing w:before="120"/>
                    <w:ind w:left="57" w:right="57"/>
                    <w:jc w:val="center"/>
                    <w:rPr>
                      <w:sz w:val="18"/>
                      <w:szCs w:val="18"/>
                    </w:rPr>
                  </w:pPr>
                  <w:r w:rsidRPr="00231BFF">
                    <w:rPr>
                      <w:b/>
                      <w:bCs/>
                      <w:color w:val="FFFFFF" w:themeColor="background1"/>
                      <w:sz w:val="18"/>
                      <w:szCs w:val="18"/>
                    </w:rPr>
                    <w:t>AN-01</w:t>
                  </w:r>
                </w:p>
              </w:tc>
              <w:tc>
                <w:tcPr>
                  <w:tcW w:w="1275" w:type="dxa"/>
                  <w:shd w:val="clear" w:color="auto" w:fill="E7F1F1"/>
                  <w:tcMar>
                    <w:top w:w="4" w:type="dxa"/>
                    <w:left w:w="4" w:type="dxa"/>
                    <w:bottom w:w="0" w:type="dxa"/>
                    <w:right w:w="4" w:type="dxa"/>
                  </w:tcMar>
                  <w:vAlign w:val="center"/>
                  <w:hideMark/>
                </w:tcPr>
                <w:p w14:paraId="72705D27" w14:textId="21F29E28" w:rsidR="003169F8" w:rsidRPr="00F4758C" w:rsidRDefault="003169F8" w:rsidP="00C70366">
                  <w:pPr>
                    <w:keepNext/>
                    <w:keepLines/>
                    <w:spacing w:before="120"/>
                    <w:ind w:left="57" w:right="57"/>
                    <w:jc w:val="left"/>
                    <w:rPr>
                      <w:sz w:val="18"/>
                      <w:szCs w:val="18"/>
                      <w:lang w:val="en-GB"/>
                    </w:rPr>
                  </w:pPr>
                  <w:r w:rsidRPr="00F4758C">
                    <w:rPr>
                      <w:sz w:val="18"/>
                      <w:szCs w:val="18"/>
                      <w:lang w:val="en-GB"/>
                    </w:rPr>
                    <w:t>Check that the solution complies</w:t>
                  </w:r>
                </w:p>
              </w:tc>
              <w:tc>
                <w:tcPr>
                  <w:tcW w:w="3057" w:type="dxa"/>
                  <w:shd w:val="clear" w:color="auto" w:fill="E7F1F1"/>
                  <w:tcMar>
                    <w:top w:w="4" w:type="dxa"/>
                    <w:left w:w="4" w:type="dxa"/>
                    <w:bottom w:w="0" w:type="dxa"/>
                    <w:right w:w="4" w:type="dxa"/>
                  </w:tcMar>
                  <w:hideMark/>
                </w:tcPr>
                <w:p w14:paraId="34B92E3E" w14:textId="77777777" w:rsidR="00DC3602" w:rsidRPr="00F4758C" w:rsidRDefault="003169F8" w:rsidP="00C70366">
                  <w:pPr>
                    <w:keepNext/>
                    <w:keepLines/>
                    <w:spacing w:before="120"/>
                    <w:ind w:left="57" w:right="57"/>
                    <w:contextualSpacing/>
                    <w:jc w:val="left"/>
                    <w:rPr>
                      <w:sz w:val="18"/>
                      <w:szCs w:val="18"/>
                      <w:lang w:val="en-GB"/>
                    </w:rPr>
                  </w:pPr>
                  <w:r w:rsidRPr="00F4758C">
                    <w:rPr>
                      <w:sz w:val="18"/>
                      <w:szCs w:val="18"/>
                      <w:u w:val="single"/>
                      <w:lang w:val="en-GB"/>
                    </w:rPr>
                    <w:t>Software package:</w:t>
                  </w:r>
                  <w:r w:rsidRPr="00F4758C">
                    <w:rPr>
                      <w:sz w:val="18"/>
                      <w:szCs w:val="18"/>
                      <w:u w:val="single"/>
                      <w:lang w:val="en-GB"/>
                    </w:rPr>
                    <w:br/>
                  </w:r>
                  <w:r w:rsidR="00DC3602" w:rsidRPr="00F4758C">
                    <w:rPr>
                      <w:sz w:val="18"/>
                      <w:szCs w:val="18"/>
                      <w:lang w:val="en-GB"/>
                    </w:rPr>
                    <w:t xml:space="preserve">- </w:t>
                  </w:r>
                  <w:r w:rsidRPr="00F4758C">
                    <w:rPr>
                      <w:sz w:val="18"/>
                      <w:szCs w:val="18"/>
                      <w:lang w:val="en-GB"/>
                    </w:rPr>
                    <w:t xml:space="preserve">Do you </w:t>
                  </w:r>
                  <w:r w:rsidR="00DC3602" w:rsidRPr="00F4758C">
                    <w:rPr>
                      <w:sz w:val="18"/>
                      <w:szCs w:val="18"/>
                      <w:lang w:val="en-GB"/>
                    </w:rPr>
                    <w:t>comply</w:t>
                  </w:r>
                  <w:r w:rsidRPr="00F4758C">
                    <w:rPr>
                      <w:sz w:val="18"/>
                      <w:szCs w:val="18"/>
                      <w:lang w:val="en-GB"/>
                    </w:rPr>
                    <w:t xml:space="preserve">, for digital solutions produced in-house or outsourced (software, digital solutions or components) / </w:t>
                  </w:r>
                  <w:r w:rsidR="004853C0" w:rsidRPr="00F4758C">
                    <w:rPr>
                      <w:sz w:val="18"/>
                      <w:szCs w:val="18"/>
                      <w:lang w:val="en-GB"/>
                    </w:rPr>
                    <w:t xml:space="preserve">and for </w:t>
                  </w:r>
                  <w:r w:rsidRPr="00F4758C">
                    <w:rPr>
                      <w:sz w:val="18"/>
                      <w:szCs w:val="18"/>
                      <w:lang w:val="en-GB"/>
                    </w:rPr>
                    <w:t>the digital media generated (PDF documents</w:t>
                  </w:r>
                  <w:r w:rsidR="004853C0" w:rsidRPr="00F4758C">
                    <w:rPr>
                      <w:sz w:val="18"/>
                      <w:szCs w:val="18"/>
                      <w:lang w:val="en-GB"/>
                    </w:rPr>
                    <w:t xml:space="preserve">, </w:t>
                  </w:r>
                  <w:r w:rsidRPr="00F4758C">
                    <w:rPr>
                      <w:sz w:val="18"/>
                      <w:szCs w:val="18"/>
                      <w:lang w:val="en-GB"/>
                    </w:rPr>
                    <w:t>screens</w:t>
                  </w:r>
                  <w:r w:rsidR="004853C0" w:rsidRPr="00F4758C">
                    <w:rPr>
                      <w:sz w:val="18"/>
                      <w:szCs w:val="18"/>
                      <w:lang w:val="en-GB"/>
                    </w:rPr>
                    <w:t xml:space="preserve">, </w:t>
                  </w:r>
                  <w:r w:rsidRPr="00F4758C">
                    <w:rPr>
                      <w:sz w:val="18"/>
                      <w:szCs w:val="18"/>
                      <w:lang w:val="en-GB"/>
                    </w:rPr>
                    <w:t xml:space="preserve">web pages, etc.), with </w:t>
                  </w:r>
                  <w:r w:rsidR="004853C0" w:rsidRPr="00F4758C">
                    <w:rPr>
                      <w:sz w:val="18"/>
                      <w:szCs w:val="18"/>
                      <w:lang w:val="en-GB"/>
                    </w:rPr>
                    <w:t xml:space="preserve">all or part </w:t>
                  </w:r>
                  <w:r w:rsidRPr="00F4758C">
                    <w:rPr>
                      <w:sz w:val="18"/>
                      <w:szCs w:val="18"/>
                      <w:lang w:val="en-GB"/>
                    </w:rPr>
                    <w:t xml:space="preserve">of the General Accessibility Improvement Framework (RGAA) version 4.1.2? </w:t>
                  </w:r>
                  <w:r w:rsidRPr="00F4758C">
                    <w:rPr>
                      <w:sz w:val="18"/>
                      <w:szCs w:val="18"/>
                      <w:lang w:val="en-GB"/>
                    </w:rPr>
                    <w:br/>
                  </w:r>
                  <w:r w:rsidRPr="00F4758C">
                    <w:rPr>
                      <w:sz w:val="18"/>
                      <w:szCs w:val="18"/>
                      <w:u w:val="single"/>
                      <w:lang w:val="en-GB"/>
                    </w:rPr>
                    <w:t xml:space="preserve">Development services: </w:t>
                  </w:r>
                </w:p>
                <w:p w14:paraId="5BB2845F" w14:textId="3E6AAD2D" w:rsidR="003169F8" w:rsidRPr="00F4758C" w:rsidRDefault="00DC3602" w:rsidP="00C70366">
                  <w:pPr>
                    <w:keepNext/>
                    <w:keepLines/>
                    <w:spacing w:before="120"/>
                    <w:ind w:left="57" w:right="57"/>
                    <w:contextualSpacing/>
                    <w:jc w:val="left"/>
                    <w:rPr>
                      <w:sz w:val="18"/>
                      <w:szCs w:val="18"/>
                      <w:lang w:val="en-GB"/>
                    </w:rPr>
                  </w:pPr>
                  <w:r w:rsidRPr="00F4758C">
                    <w:rPr>
                      <w:sz w:val="18"/>
                      <w:szCs w:val="18"/>
                      <w:lang w:val="en-GB"/>
                    </w:rPr>
                    <w:t xml:space="preserve">- </w:t>
                  </w:r>
                  <w:r w:rsidR="003169F8" w:rsidRPr="00F4758C">
                    <w:rPr>
                      <w:sz w:val="18"/>
                      <w:szCs w:val="18"/>
                      <w:lang w:val="en-GB"/>
                    </w:rPr>
                    <w:t>For your in-house or outsourced development work, do you comply with all or part of the General Accessibility Improvement Framework (RGAA) version 4.1.2?</w:t>
                  </w:r>
                  <w:r w:rsidR="003169F8" w:rsidRPr="00F4758C">
                    <w:rPr>
                      <w:sz w:val="18"/>
                      <w:szCs w:val="18"/>
                      <w:lang w:val="en-GB"/>
                    </w:rPr>
                    <w:br/>
                  </w:r>
                  <w:r w:rsidR="003169F8" w:rsidRPr="00F4758C">
                    <w:rPr>
                      <w:i/>
                      <w:iCs/>
                      <w:sz w:val="16"/>
                      <w:szCs w:val="16"/>
                      <w:lang w:val="en-GB"/>
                    </w:rPr>
                    <w:t>N.B.: RGAA version 4.1.2 is based on the European standard: EN 301 549 V2.1.2 (2018-08)</w:t>
                  </w:r>
                  <w:r w:rsidR="00E65801" w:rsidRPr="00F4758C">
                    <w:rPr>
                      <w:i/>
                      <w:iCs/>
                      <w:sz w:val="16"/>
                      <w:szCs w:val="16"/>
                      <w:lang w:val="en-GB"/>
                    </w:rPr>
                    <w:t xml:space="preserve">, </w:t>
                  </w:r>
                  <w:r w:rsidR="003169F8" w:rsidRPr="00F4758C">
                    <w:rPr>
                      <w:i/>
                      <w:iCs/>
                      <w:sz w:val="16"/>
                      <w:szCs w:val="16"/>
                      <w:lang w:val="en-GB"/>
                    </w:rPr>
                    <w:t xml:space="preserve">which is itself based on the Web Content Accessibility Guidelines </w:t>
                  </w:r>
                  <w:r w:rsidR="004853C0" w:rsidRPr="00F4758C">
                    <w:rPr>
                      <w:i/>
                      <w:iCs/>
                      <w:sz w:val="16"/>
                      <w:szCs w:val="16"/>
                      <w:lang w:val="en-GB"/>
                    </w:rPr>
                    <w:t>(</w:t>
                  </w:r>
                  <w:r w:rsidR="003169F8" w:rsidRPr="00F4758C">
                    <w:rPr>
                      <w:i/>
                      <w:iCs/>
                      <w:sz w:val="16"/>
                      <w:szCs w:val="16"/>
                      <w:lang w:val="en-GB"/>
                    </w:rPr>
                    <w:t>WCAG</w:t>
                  </w:r>
                  <w:r w:rsidR="004853C0" w:rsidRPr="00F4758C">
                    <w:rPr>
                      <w:i/>
                      <w:iCs/>
                      <w:sz w:val="16"/>
                      <w:szCs w:val="16"/>
                      <w:lang w:val="en-GB"/>
                    </w:rPr>
                    <w:t>)</w:t>
                  </w:r>
                  <w:r w:rsidR="003169F8" w:rsidRPr="00F4758C">
                    <w:rPr>
                      <w:i/>
                      <w:iCs/>
                      <w:sz w:val="16"/>
                      <w:szCs w:val="16"/>
                      <w:lang w:val="en-GB"/>
                    </w:rPr>
                    <w:t xml:space="preserve"> 2.2. </w:t>
                  </w:r>
                </w:p>
              </w:tc>
              <w:tc>
                <w:tcPr>
                  <w:tcW w:w="3058" w:type="dxa"/>
                  <w:gridSpan w:val="2"/>
                  <w:shd w:val="clear" w:color="auto" w:fill="E7F1F1"/>
                  <w:tcMar>
                    <w:top w:w="4" w:type="dxa"/>
                    <w:left w:w="4" w:type="dxa"/>
                    <w:bottom w:w="0" w:type="dxa"/>
                    <w:right w:w="4" w:type="dxa"/>
                  </w:tcMar>
                  <w:hideMark/>
                </w:tcPr>
                <w:p w14:paraId="057CA354" w14:textId="5413B908" w:rsidR="00C2078B" w:rsidRPr="00F4758C" w:rsidRDefault="003169F8" w:rsidP="00C70366">
                  <w:pPr>
                    <w:keepNext/>
                    <w:keepLines/>
                    <w:spacing w:before="120"/>
                    <w:ind w:left="57" w:right="57"/>
                    <w:contextualSpacing/>
                    <w:jc w:val="left"/>
                    <w:rPr>
                      <w:sz w:val="18"/>
                      <w:szCs w:val="18"/>
                      <w:lang w:val="en-GB"/>
                    </w:rPr>
                  </w:pPr>
                  <w:r w:rsidRPr="00F4758C">
                    <w:rPr>
                      <w:sz w:val="18"/>
                      <w:szCs w:val="18"/>
                      <w:u w:val="single"/>
                      <w:lang w:val="en-GB"/>
                    </w:rPr>
                    <w:t>Software package:</w:t>
                  </w:r>
                  <w:r w:rsidRPr="00F4758C">
                    <w:rPr>
                      <w:sz w:val="18"/>
                      <w:szCs w:val="18"/>
                      <w:lang w:val="en-GB"/>
                    </w:rPr>
                    <w:br/>
                    <w:t>Please provide, for your digital solution, the latest available RGAA V4.1.2 compliance audit report and a declaration of conformity.</w:t>
                  </w:r>
                </w:p>
                <w:p w14:paraId="6E9EFA35" w14:textId="77777777" w:rsidR="006A7E8F" w:rsidRPr="00F4758C" w:rsidRDefault="006A7E8F" w:rsidP="00C70366">
                  <w:pPr>
                    <w:keepNext/>
                    <w:keepLines/>
                    <w:spacing w:before="120"/>
                    <w:ind w:left="57" w:right="57"/>
                    <w:contextualSpacing/>
                    <w:jc w:val="left"/>
                    <w:rPr>
                      <w:sz w:val="18"/>
                      <w:szCs w:val="18"/>
                      <w:u w:val="single"/>
                      <w:lang w:val="en-GB"/>
                    </w:rPr>
                  </w:pPr>
                </w:p>
                <w:p w14:paraId="2F792210" w14:textId="77777777" w:rsidR="006A7E8F" w:rsidRPr="00F4758C" w:rsidRDefault="006A7E8F" w:rsidP="00C70366">
                  <w:pPr>
                    <w:keepNext/>
                    <w:keepLines/>
                    <w:spacing w:before="120"/>
                    <w:ind w:left="57" w:right="57"/>
                    <w:contextualSpacing/>
                    <w:jc w:val="left"/>
                    <w:rPr>
                      <w:sz w:val="18"/>
                      <w:szCs w:val="18"/>
                      <w:u w:val="single"/>
                      <w:lang w:val="en-GB"/>
                    </w:rPr>
                  </w:pPr>
                </w:p>
                <w:p w14:paraId="70AFF1A7" w14:textId="77777777" w:rsidR="006A7E8F" w:rsidRPr="00F4758C" w:rsidRDefault="006A7E8F" w:rsidP="00C70366">
                  <w:pPr>
                    <w:keepNext/>
                    <w:keepLines/>
                    <w:spacing w:before="120"/>
                    <w:ind w:left="57" w:right="57"/>
                    <w:contextualSpacing/>
                    <w:jc w:val="left"/>
                    <w:rPr>
                      <w:sz w:val="18"/>
                      <w:szCs w:val="18"/>
                      <w:u w:val="single"/>
                      <w:lang w:val="en-GB"/>
                    </w:rPr>
                  </w:pPr>
                </w:p>
                <w:p w14:paraId="24928E7B" w14:textId="77777777" w:rsidR="00DC3602" w:rsidRPr="00F4758C" w:rsidRDefault="00DC3602" w:rsidP="00C70366">
                  <w:pPr>
                    <w:keepNext/>
                    <w:keepLines/>
                    <w:spacing w:before="120"/>
                    <w:ind w:left="57" w:right="57"/>
                    <w:contextualSpacing/>
                    <w:jc w:val="left"/>
                    <w:rPr>
                      <w:sz w:val="18"/>
                      <w:szCs w:val="18"/>
                      <w:u w:val="single"/>
                      <w:lang w:val="en-GB"/>
                    </w:rPr>
                  </w:pPr>
                </w:p>
                <w:p w14:paraId="42A74FC7" w14:textId="2F8F3936" w:rsidR="003169F8" w:rsidRPr="00F4758C" w:rsidRDefault="003169F8" w:rsidP="00C70366">
                  <w:pPr>
                    <w:keepNext/>
                    <w:keepLines/>
                    <w:spacing w:before="120"/>
                    <w:ind w:left="57" w:right="57"/>
                    <w:contextualSpacing/>
                    <w:jc w:val="left"/>
                    <w:rPr>
                      <w:sz w:val="18"/>
                      <w:szCs w:val="18"/>
                      <w:lang w:val="en-GB"/>
                    </w:rPr>
                  </w:pPr>
                  <w:r w:rsidRPr="00F4758C">
                    <w:rPr>
                      <w:sz w:val="18"/>
                      <w:szCs w:val="18"/>
                      <w:u w:val="single"/>
                      <w:lang w:val="en-GB"/>
                    </w:rPr>
                    <w:t>Development proposal:</w:t>
                  </w:r>
                  <w:r w:rsidRPr="00F4758C">
                    <w:rPr>
                      <w:sz w:val="18"/>
                      <w:szCs w:val="18"/>
                      <w:u w:val="single"/>
                      <w:lang w:val="en-GB"/>
                    </w:rPr>
                    <w:br/>
                  </w:r>
                  <w:r w:rsidRPr="00F4758C">
                    <w:rPr>
                      <w:sz w:val="18"/>
                      <w:szCs w:val="18"/>
                      <w:lang w:val="en-GB"/>
                    </w:rPr>
                    <w:t>A detailed compliance checking procedure applied systematically and manually (not solely via an automated verification tool) during application development and deployment.</w:t>
                  </w:r>
                </w:p>
              </w:tc>
            </w:tr>
            <w:tr w:rsidR="003169F8" w:rsidRPr="004B4BDE" w14:paraId="1822056A" w14:textId="77777777" w:rsidTr="004C4D0B">
              <w:trPr>
                <w:cantSplit/>
                <w:trHeight w:val="1197"/>
              </w:trPr>
              <w:tc>
                <w:tcPr>
                  <w:tcW w:w="1238" w:type="dxa"/>
                  <w:shd w:val="clear" w:color="auto" w:fill="307A55"/>
                  <w:tcMar>
                    <w:top w:w="4" w:type="dxa"/>
                    <w:left w:w="4" w:type="dxa"/>
                    <w:bottom w:w="0" w:type="dxa"/>
                    <w:right w:w="4" w:type="dxa"/>
                  </w:tcMar>
                  <w:vAlign w:val="center"/>
                  <w:hideMark/>
                </w:tcPr>
                <w:p w14:paraId="1A51B275" w14:textId="77777777" w:rsidR="003169F8" w:rsidRPr="00231BFF" w:rsidRDefault="003169F8" w:rsidP="00C70366">
                  <w:pPr>
                    <w:keepNext/>
                    <w:keepLines/>
                    <w:spacing w:before="120"/>
                    <w:ind w:left="57" w:right="57"/>
                    <w:jc w:val="center"/>
                    <w:rPr>
                      <w:color w:val="FFFFFF" w:themeColor="background1"/>
                      <w:sz w:val="18"/>
                      <w:szCs w:val="18"/>
                    </w:rPr>
                  </w:pPr>
                  <w:r w:rsidRPr="00231BFF">
                    <w:rPr>
                      <w:b/>
                      <w:bCs/>
                      <w:color w:val="FFFFFF" w:themeColor="background1"/>
                      <w:sz w:val="18"/>
                      <w:szCs w:val="18"/>
                    </w:rPr>
                    <w:lastRenderedPageBreak/>
                    <w:t>AN-02</w:t>
                  </w:r>
                </w:p>
              </w:tc>
              <w:tc>
                <w:tcPr>
                  <w:tcW w:w="1275" w:type="dxa"/>
                  <w:shd w:val="clear" w:color="auto" w:fill="E7F1F1"/>
                  <w:tcMar>
                    <w:top w:w="4" w:type="dxa"/>
                    <w:left w:w="4" w:type="dxa"/>
                    <w:bottom w:w="0" w:type="dxa"/>
                    <w:right w:w="4" w:type="dxa"/>
                  </w:tcMar>
                  <w:vAlign w:val="center"/>
                  <w:hideMark/>
                </w:tcPr>
                <w:p w14:paraId="4B37F929" w14:textId="4CD36C17" w:rsidR="003169F8" w:rsidRPr="00F4758C" w:rsidRDefault="003169F8" w:rsidP="00C70366">
                  <w:pPr>
                    <w:keepNext/>
                    <w:keepLines/>
                    <w:spacing w:before="120"/>
                    <w:ind w:left="57" w:right="57"/>
                    <w:jc w:val="left"/>
                    <w:rPr>
                      <w:sz w:val="18"/>
                      <w:szCs w:val="18"/>
                      <w:lang w:val="en-GB"/>
                    </w:rPr>
                  </w:pPr>
                  <w:r w:rsidRPr="00F4758C">
                    <w:rPr>
                      <w:sz w:val="18"/>
                      <w:szCs w:val="18"/>
                      <w:lang w:val="en-GB"/>
                    </w:rPr>
                    <w:t xml:space="preserve">Check that the solution </w:t>
                  </w:r>
                  <w:r w:rsidR="006A7E8F" w:rsidRPr="00F4758C">
                    <w:rPr>
                      <w:sz w:val="18"/>
                      <w:szCs w:val="18"/>
                      <w:lang w:val="en-GB"/>
                    </w:rPr>
                    <w:t xml:space="preserve">is </w:t>
                  </w:r>
                  <w:r w:rsidRPr="00F4758C">
                    <w:rPr>
                      <w:sz w:val="18"/>
                      <w:szCs w:val="18"/>
                      <w:lang w:val="en-GB"/>
                    </w:rPr>
                    <w:t xml:space="preserve">usable </w:t>
                  </w:r>
                </w:p>
              </w:tc>
              <w:tc>
                <w:tcPr>
                  <w:tcW w:w="3123" w:type="dxa"/>
                  <w:gridSpan w:val="2"/>
                  <w:shd w:val="clear" w:color="auto" w:fill="E7F1F1"/>
                  <w:tcMar>
                    <w:top w:w="4" w:type="dxa"/>
                    <w:left w:w="4" w:type="dxa"/>
                    <w:bottom w:w="0" w:type="dxa"/>
                    <w:right w:w="4" w:type="dxa"/>
                  </w:tcMar>
                  <w:vAlign w:val="center"/>
                  <w:hideMark/>
                </w:tcPr>
                <w:p w14:paraId="3D5E7EC0" w14:textId="3F5A31E0" w:rsidR="003169F8" w:rsidRPr="00F4758C" w:rsidRDefault="00DC3602" w:rsidP="00C70366">
                  <w:pPr>
                    <w:keepNext/>
                    <w:keepLines/>
                    <w:spacing w:before="120"/>
                    <w:ind w:left="57" w:right="57"/>
                    <w:contextualSpacing/>
                    <w:jc w:val="left"/>
                    <w:rPr>
                      <w:sz w:val="18"/>
                      <w:szCs w:val="18"/>
                      <w:lang w:val="en-GB"/>
                    </w:rPr>
                  </w:pPr>
                  <w:r w:rsidRPr="00F4758C">
                    <w:rPr>
                      <w:sz w:val="18"/>
                      <w:szCs w:val="18"/>
                      <w:lang w:val="en-GB"/>
                    </w:rPr>
                    <w:t xml:space="preserve">- </w:t>
                  </w:r>
                  <w:r w:rsidR="003169F8" w:rsidRPr="00F4758C">
                    <w:rPr>
                      <w:sz w:val="18"/>
                      <w:szCs w:val="18"/>
                      <w:lang w:val="en-GB"/>
                    </w:rPr>
                    <w:t xml:space="preserve">Are there any user experience reports on the use of your digital solutions </w:t>
                  </w:r>
                  <w:r w:rsidR="004853C0" w:rsidRPr="00F4758C">
                    <w:rPr>
                      <w:sz w:val="18"/>
                      <w:szCs w:val="18"/>
                      <w:lang w:val="en-GB"/>
                    </w:rPr>
                    <w:t xml:space="preserve">by people with disabilities? </w:t>
                  </w:r>
                  <w:r w:rsidR="003169F8" w:rsidRPr="00F4758C">
                    <w:rPr>
                      <w:sz w:val="18"/>
                      <w:szCs w:val="18"/>
                      <w:lang w:val="en-GB"/>
                    </w:rPr>
                    <w:t>(</w:t>
                  </w:r>
                  <w:r w:rsidR="00B5346E" w:rsidRPr="00F4758C">
                    <w:rPr>
                      <w:sz w:val="18"/>
                      <w:szCs w:val="18"/>
                      <w:lang w:val="en-GB"/>
                    </w:rPr>
                    <w:t xml:space="preserve">Documents </w:t>
                  </w:r>
                  <w:r w:rsidR="003169F8" w:rsidRPr="00F4758C">
                    <w:rPr>
                      <w:sz w:val="18"/>
                      <w:szCs w:val="18"/>
                      <w:lang w:val="en-GB"/>
                    </w:rPr>
                    <w:t>and digital materials generated by the application, including the user manual)</w:t>
                  </w:r>
                  <w:r w:rsidR="00231BFF" w:rsidRPr="00F4758C">
                    <w:rPr>
                      <w:sz w:val="18"/>
                      <w:szCs w:val="18"/>
                      <w:lang w:val="en-GB"/>
                    </w:rPr>
                    <w:t>.</w:t>
                  </w:r>
                  <w:r w:rsidR="003169F8" w:rsidRPr="00F4758C">
                    <w:rPr>
                      <w:sz w:val="18"/>
                      <w:szCs w:val="18"/>
                      <w:lang w:val="en-GB"/>
                    </w:rPr>
                    <w:t xml:space="preserve"> </w:t>
                  </w:r>
                  <w:r w:rsidR="003169F8" w:rsidRPr="00F4758C">
                    <w:rPr>
                      <w:sz w:val="18"/>
                      <w:szCs w:val="18"/>
                      <w:lang w:val="en-GB"/>
                    </w:rPr>
                    <w:br/>
                    <w:t xml:space="preserve">A usability test using assistive technology for the materials provided may be carried out in-house </w:t>
                  </w:r>
                  <w:r w:rsidR="00D17A59" w:rsidRPr="00F4758C">
                    <w:rPr>
                      <w:sz w:val="18"/>
                      <w:szCs w:val="18"/>
                      <w:lang w:val="en-GB"/>
                    </w:rPr>
                    <w:t xml:space="preserve">by </w:t>
                  </w:r>
                  <w:r w:rsidR="003169F8" w:rsidRPr="00F4758C">
                    <w:rPr>
                      <w:sz w:val="18"/>
                      <w:szCs w:val="18"/>
                      <w:lang w:val="en-GB"/>
                    </w:rPr>
                    <w:t>La Poste.</w:t>
                  </w:r>
                </w:p>
              </w:tc>
              <w:tc>
                <w:tcPr>
                  <w:tcW w:w="2992" w:type="dxa"/>
                  <w:shd w:val="clear" w:color="auto" w:fill="E7F1F1"/>
                  <w:tcMar>
                    <w:top w:w="4" w:type="dxa"/>
                    <w:left w:w="4" w:type="dxa"/>
                    <w:bottom w:w="0" w:type="dxa"/>
                    <w:right w:w="4" w:type="dxa"/>
                  </w:tcMar>
                  <w:vAlign w:val="center"/>
                  <w:hideMark/>
                </w:tcPr>
                <w:p w14:paraId="300029D5" w14:textId="43AE6DA4" w:rsidR="00DC3602" w:rsidRPr="00F4758C" w:rsidRDefault="003169F8" w:rsidP="00C70366">
                  <w:pPr>
                    <w:keepNext/>
                    <w:keepLines/>
                    <w:spacing w:before="120"/>
                    <w:ind w:right="57"/>
                    <w:jc w:val="left"/>
                    <w:rPr>
                      <w:sz w:val="18"/>
                      <w:szCs w:val="18"/>
                      <w:lang w:val="en-GB"/>
                    </w:rPr>
                  </w:pPr>
                  <w:r w:rsidRPr="00F4758C">
                    <w:rPr>
                      <w:sz w:val="18"/>
                      <w:szCs w:val="18"/>
                      <w:lang w:val="en-GB"/>
                    </w:rPr>
                    <w:t>List of company contact details and designated points of contact.</w:t>
                  </w:r>
                  <w:r w:rsidRPr="00F4758C">
                    <w:rPr>
                      <w:sz w:val="18"/>
                      <w:szCs w:val="18"/>
                      <w:lang w:val="en-GB"/>
                    </w:rPr>
                    <w:br/>
                  </w:r>
                </w:p>
                <w:p w14:paraId="16358801" w14:textId="77777777" w:rsidR="00DC3602" w:rsidRPr="00F4758C" w:rsidRDefault="00DC3602" w:rsidP="00C70366">
                  <w:pPr>
                    <w:keepNext/>
                    <w:keepLines/>
                    <w:spacing w:before="120"/>
                    <w:ind w:right="57"/>
                    <w:jc w:val="left"/>
                    <w:rPr>
                      <w:sz w:val="18"/>
                      <w:szCs w:val="18"/>
                      <w:lang w:val="en-GB"/>
                    </w:rPr>
                  </w:pPr>
                </w:p>
                <w:p w14:paraId="6D3151F5" w14:textId="60A18696" w:rsidR="003169F8" w:rsidRPr="00F4758C" w:rsidRDefault="003169F8" w:rsidP="00C70366">
                  <w:pPr>
                    <w:keepNext/>
                    <w:keepLines/>
                    <w:spacing w:before="120"/>
                    <w:ind w:right="57"/>
                    <w:jc w:val="left"/>
                    <w:rPr>
                      <w:sz w:val="18"/>
                      <w:szCs w:val="18"/>
                      <w:lang w:val="en-GB"/>
                    </w:rPr>
                  </w:pPr>
                  <w:r w:rsidRPr="00F4758C">
                    <w:rPr>
                      <w:sz w:val="18"/>
                      <w:szCs w:val="18"/>
                      <w:lang w:val="en-GB"/>
                    </w:rPr>
                    <w:t>A note describing the use of your digital solutions (including documents and digital materials) with various assistive technologies.</w:t>
                  </w:r>
                </w:p>
              </w:tc>
            </w:tr>
            <w:tr w:rsidR="003169F8" w:rsidRPr="004B4BDE" w14:paraId="78F6AF2D" w14:textId="77777777" w:rsidTr="004C4D0B">
              <w:trPr>
                <w:cantSplit/>
                <w:trHeight w:val="652"/>
              </w:trPr>
              <w:tc>
                <w:tcPr>
                  <w:tcW w:w="1238" w:type="dxa"/>
                  <w:shd w:val="clear" w:color="auto" w:fill="307A55"/>
                  <w:tcMar>
                    <w:top w:w="4" w:type="dxa"/>
                    <w:left w:w="4" w:type="dxa"/>
                    <w:bottom w:w="0" w:type="dxa"/>
                    <w:right w:w="4" w:type="dxa"/>
                  </w:tcMar>
                  <w:vAlign w:val="center"/>
                  <w:hideMark/>
                </w:tcPr>
                <w:p w14:paraId="6C366C14" w14:textId="77777777" w:rsidR="003169F8" w:rsidRPr="00231BFF" w:rsidRDefault="003169F8" w:rsidP="00C70366">
                  <w:pPr>
                    <w:keepNext/>
                    <w:keepLines/>
                    <w:spacing w:before="120"/>
                    <w:ind w:left="57" w:right="57"/>
                    <w:jc w:val="center"/>
                    <w:rPr>
                      <w:color w:val="FFFFFF" w:themeColor="background1"/>
                      <w:sz w:val="18"/>
                      <w:szCs w:val="18"/>
                    </w:rPr>
                  </w:pPr>
                  <w:r w:rsidRPr="00231BFF">
                    <w:rPr>
                      <w:b/>
                      <w:bCs/>
                      <w:color w:val="FFFFFF" w:themeColor="background1"/>
                      <w:sz w:val="18"/>
                      <w:szCs w:val="18"/>
                    </w:rPr>
                    <w:t>AN-03</w:t>
                  </w:r>
                </w:p>
              </w:tc>
              <w:tc>
                <w:tcPr>
                  <w:tcW w:w="1275" w:type="dxa"/>
                  <w:shd w:val="clear" w:color="auto" w:fill="E7F1F1"/>
                  <w:tcMar>
                    <w:top w:w="4" w:type="dxa"/>
                    <w:left w:w="4" w:type="dxa"/>
                    <w:bottom w:w="0" w:type="dxa"/>
                    <w:right w:w="4" w:type="dxa"/>
                  </w:tcMar>
                  <w:vAlign w:val="center"/>
                  <w:hideMark/>
                </w:tcPr>
                <w:p w14:paraId="7EDD1A6C" w14:textId="25D8D4DE" w:rsidR="003169F8" w:rsidRPr="00F4758C" w:rsidRDefault="003169F8" w:rsidP="00C70366">
                  <w:pPr>
                    <w:keepNext/>
                    <w:keepLines/>
                    <w:spacing w:before="120"/>
                    <w:ind w:left="57" w:right="57"/>
                    <w:jc w:val="left"/>
                    <w:rPr>
                      <w:sz w:val="18"/>
                      <w:szCs w:val="18"/>
                      <w:lang w:val="en-GB"/>
                    </w:rPr>
                  </w:pPr>
                  <w:r w:rsidRPr="00F4758C">
                    <w:rPr>
                      <w:sz w:val="18"/>
                      <w:szCs w:val="18"/>
                      <w:lang w:val="en-GB"/>
                    </w:rPr>
                    <w:t xml:space="preserve">Check that the solution </w:t>
                  </w:r>
                  <w:r w:rsidR="006A7E8F" w:rsidRPr="00F4758C">
                    <w:rPr>
                      <w:sz w:val="18"/>
                      <w:szCs w:val="18"/>
                      <w:lang w:val="en-GB"/>
                    </w:rPr>
                    <w:t xml:space="preserve">is </w:t>
                  </w:r>
                  <w:r w:rsidRPr="00F4758C">
                    <w:rPr>
                      <w:sz w:val="18"/>
                      <w:szCs w:val="18"/>
                      <w:lang w:val="en-GB"/>
                    </w:rPr>
                    <w:t xml:space="preserve">usable </w:t>
                  </w:r>
                </w:p>
              </w:tc>
              <w:tc>
                <w:tcPr>
                  <w:tcW w:w="3123" w:type="dxa"/>
                  <w:gridSpan w:val="2"/>
                  <w:shd w:val="clear" w:color="auto" w:fill="E7F1F1"/>
                  <w:tcMar>
                    <w:top w:w="4" w:type="dxa"/>
                    <w:left w:w="4" w:type="dxa"/>
                    <w:bottom w:w="0" w:type="dxa"/>
                    <w:right w:w="4" w:type="dxa"/>
                  </w:tcMar>
                  <w:vAlign w:val="center"/>
                  <w:hideMark/>
                </w:tcPr>
                <w:p w14:paraId="034B9574" w14:textId="20C7193B" w:rsidR="003169F8" w:rsidRPr="00F4758C" w:rsidRDefault="00DC3602" w:rsidP="00C70366">
                  <w:pPr>
                    <w:keepNext/>
                    <w:keepLines/>
                    <w:spacing w:before="120"/>
                    <w:ind w:left="57" w:right="57"/>
                    <w:contextualSpacing/>
                    <w:jc w:val="left"/>
                    <w:rPr>
                      <w:sz w:val="18"/>
                      <w:szCs w:val="18"/>
                      <w:lang w:val="en-GB"/>
                    </w:rPr>
                  </w:pPr>
                  <w:r w:rsidRPr="00F4758C">
                    <w:rPr>
                      <w:sz w:val="18"/>
                      <w:szCs w:val="18"/>
                      <w:lang w:val="en-GB"/>
                    </w:rPr>
                    <w:t xml:space="preserve">- </w:t>
                  </w:r>
                  <w:r w:rsidR="003169F8" w:rsidRPr="00F4758C">
                    <w:rPr>
                      <w:sz w:val="18"/>
                      <w:szCs w:val="18"/>
                      <w:lang w:val="en-GB"/>
                    </w:rPr>
                    <w:t>Are there usability checks in place during the development phases of your solution?</w:t>
                  </w:r>
                  <w:r w:rsidR="003169F8" w:rsidRPr="00F4758C">
                    <w:rPr>
                      <w:sz w:val="18"/>
                      <w:szCs w:val="18"/>
                      <w:lang w:val="en-GB"/>
                    </w:rPr>
                    <w:br/>
                    <w:t xml:space="preserve">=&gt; keyboard navigation, with screen readers (JAWS, NVDA, VOICEOVER, TALKBACK etc.), </w:t>
                  </w:r>
                  <w:r w:rsidR="003169F8" w:rsidRPr="00F4758C">
                    <w:rPr>
                      <w:sz w:val="18"/>
                      <w:szCs w:val="18"/>
                      <w:lang w:val="en-GB"/>
                    </w:rPr>
                    <w:br/>
                    <w:t>=&gt; text magnification (ZOOMTEXT, SUPERNOVA, magnifying glass, etc.).</w:t>
                  </w:r>
                </w:p>
              </w:tc>
              <w:tc>
                <w:tcPr>
                  <w:tcW w:w="2992" w:type="dxa"/>
                  <w:shd w:val="clear" w:color="auto" w:fill="E7F1F1"/>
                  <w:tcMar>
                    <w:top w:w="4" w:type="dxa"/>
                    <w:left w:w="4" w:type="dxa"/>
                    <w:bottom w:w="0" w:type="dxa"/>
                    <w:right w:w="4" w:type="dxa"/>
                  </w:tcMar>
                  <w:vAlign w:val="center"/>
                  <w:hideMark/>
                </w:tcPr>
                <w:p w14:paraId="05B12C21" w14:textId="77777777" w:rsidR="003169F8" w:rsidRPr="00F4758C" w:rsidRDefault="003169F8" w:rsidP="00C70366">
                  <w:pPr>
                    <w:keepNext/>
                    <w:keepLines/>
                    <w:spacing w:before="120"/>
                    <w:ind w:left="57" w:right="57"/>
                    <w:jc w:val="left"/>
                    <w:rPr>
                      <w:sz w:val="18"/>
                      <w:szCs w:val="18"/>
                      <w:lang w:val="en-GB"/>
                    </w:rPr>
                  </w:pPr>
                  <w:r w:rsidRPr="00F4758C">
                    <w:rPr>
                      <w:sz w:val="18"/>
                      <w:szCs w:val="18"/>
                      <w:lang w:val="en-GB"/>
                    </w:rPr>
                    <w:t>Procedure for checking usability with assistive technologies.</w:t>
                  </w:r>
                </w:p>
              </w:tc>
            </w:tr>
            <w:tr w:rsidR="003169F8" w:rsidRPr="004B4BDE" w14:paraId="56A8D5BE" w14:textId="77777777" w:rsidTr="004C4D0B">
              <w:trPr>
                <w:cantSplit/>
                <w:trHeight w:val="911"/>
              </w:trPr>
              <w:tc>
                <w:tcPr>
                  <w:tcW w:w="1238" w:type="dxa"/>
                  <w:shd w:val="clear" w:color="auto" w:fill="307A55"/>
                  <w:tcMar>
                    <w:top w:w="4" w:type="dxa"/>
                    <w:left w:w="4" w:type="dxa"/>
                    <w:bottom w:w="0" w:type="dxa"/>
                    <w:right w:w="4" w:type="dxa"/>
                  </w:tcMar>
                  <w:vAlign w:val="center"/>
                  <w:hideMark/>
                </w:tcPr>
                <w:p w14:paraId="2AAB433B" w14:textId="77777777" w:rsidR="003169F8" w:rsidRPr="00231BFF" w:rsidRDefault="003169F8" w:rsidP="00C70366">
                  <w:pPr>
                    <w:keepNext/>
                    <w:keepLines/>
                    <w:spacing w:before="120"/>
                    <w:ind w:left="57" w:right="57"/>
                    <w:jc w:val="center"/>
                    <w:rPr>
                      <w:color w:val="FFFFFF" w:themeColor="background1"/>
                      <w:sz w:val="18"/>
                      <w:szCs w:val="18"/>
                    </w:rPr>
                  </w:pPr>
                  <w:r w:rsidRPr="00231BFF">
                    <w:rPr>
                      <w:b/>
                      <w:bCs/>
                      <w:color w:val="FFFFFF" w:themeColor="background1"/>
                      <w:sz w:val="18"/>
                      <w:szCs w:val="18"/>
                    </w:rPr>
                    <w:t>AN-04</w:t>
                  </w:r>
                </w:p>
              </w:tc>
              <w:tc>
                <w:tcPr>
                  <w:tcW w:w="1275" w:type="dxa"/>
                  <w:shd w:val="clear" w:color="auto" w:fill="E7F1F1"/>
                  <w:tcMar>
                    <w:top w:w="4" w:type="dxa"/>
                    <w:left w:w="4" w:type="dxa"/>
                    <w:bottom w:w="0" w:type="dxa"/>
                    <w:right w:w="4" w:type="dxa"/>
                  </w:tcMar>
                  <w:vAlign w:val="center"/>
                  <w:hideMark/>
                </w:tcPr>
                <w:p w14:paraId="073EFCBD" w14:textId="274CE850" w:rsidR="003169F8" w:rsidRPr="00F4758C" w:rsidRDefault="003169F8" w:rsidP="00C70366">
                  <w:pPr>
                    <w:keepNext/>
                    <w:keepLines/>
                    <w:spacing w:before="120"/>
                    <w:ind w:left="57" w:right="57"/>
                    <w:jc w:val="left"/>
                    <w:rPr>
                      <w:sz w:val="18"/>
                      <w:szCs w:val="18"/>
                      <w:lang w:val="en-GB"/>
                    </w:rPr>
                  </w:pPr>
                  <w:r w:rsidRPr="00F4758C">
                    <w:rPr>
                      <w:sz w:val="18"/>
                      <w:szCs w:val="18"/>
                      <w:lang w:val="en-GB"/>
                    </w:rPr>
                    <w:t xml:space="preserve">Check that the solution </w:t>
                  </w:r>
                  <w:r w:rsidR="006A7E8F" w:rsidRPr="00F4758C">
                    <w:rPr>
                      <w:sz w:val="18"/>
                      <w:szCs w:val="18"/>
                      <w:lang w:val="en-GB"/>
                    </w:rPr>
                    <w:t xml:space="preserve">is </w:t>
                  </w:r>
                  <w:r w:rsidRPr="00F4758C">
                    <w:rPr>
                      <w:sz w:val="18"/>
                      <w:szCs w:val="18"/>
                      <w:lang w:val="en-GB"/>
                    </w:rPr>
                    <w:t>robust</w:t>
                  </w:r>
                </w:p>
              </w:tc>
              <w:tc>
                <w:tcPr>
                  <w:tcW w:w="3123" w:type="dxa"/>
                  <w:gridSpan w:val="2"/>
                  <w:shd w:val="clear" w:color="auto" w:fill="E7F1F1"/>
                  <w:tcMar>
                    <w:top w:w="4" w:type="dxa"/>
                    <w:left w:w="4" w:type="dxa"/>
                    <w:bottom w:w="0" w:type="dxa"/>
                    <w:right w:w="4" w:type="dxa"/>
                  </w:tcMar>
                  <w:vAlign w:val="center"/>
                  <w:hideMark/>
                </w:tcPr>
                <w:p w14:paraId="16728B05" w14:textId="2D9EBC93" w:rsidR="003169F8" w:rsidRPr="00F4758C" w:rsidRDefault="00F755EB" w:rsidP="00C70366">
                  <w:pPr>
                    <w:keepNext/>
                    <w:keepLines/>
                    <w:spacing w:before="120"/>
                    <w:ind w:left="57" w:right="57"/>
                    <w:contextualSpacing/>
                    <w:rPr>
                      <w:sz w:val="18"/>
                      <w:szCs w:val="18"/>
                      <w:lang w:val="en-GB"/>
                    </w:rPr>
                  </w:pPr>
                  <w:r w:rsidRPr="00F4758C">
                    <w:rPr>
                      <w:sz w:val="18"/>
                      <w:szCs w:val="18"/>
                      <w:lang w:val="en-GB"/>
                    </w:rPr>
                    <w:t xml:space="preserve">- </w:t>
                  </w:r>
                  <w:r w:rsidR="003169F8" w:rsidRPr="00F4758C">
                    <w:rPr>
                      <w:sz w:val="18"/>
                      <w:szCs w:val="18"/>
                      <w:lang w:val="en-GB"/>
                    </w:rPr>
                    <w:t>Is your solution (developed website / software package web interface / mobile interface) usable in terms of digital accessibility (AN) with the main web browsers currently available on the market and the assistive technologies listed in RGAA v4.1.2? (Microsoft Edge/Edge Chromium, Mozilla Firefox, Google Chrome desktop, Safari on iOS and Google Chrome on Android)</w:t>
                  </w:r>
                  <w:r w:rsidR="00E65801" w:rsidRPr="00F4758C">
                    <w:rPr>
                      <w:sz w:val="18"/>
                      <w:szCs w:val="18"/>
                      <w:lang w:val="en-GB"/>
                    </w:rPr>
                    <w:t>.</w:t>
                  </w:r>
                  <w:r w:rsidR="003169F8" w:rsidRPr="00F4758C">
                    <w:rPr>
                      <w:sz w:val="18"/>
                      <w:szCs w:val="18"/>
                      <w:lang w:val="en-GB"/>
                    </w:rPr>
                    <w:br/>
                  </w:r>
                  <w:r w:rsidRPr="00F4758C">
                    <w:rPr>
                      <w:sz w:val="18"/>
                      <w:szCs w:val="18"/>
                      <w:lang w:val="en-GB"/>
                    </w:rPr>
                    <w:t xml:space="preserve">- </w:t>
                  </w:r>
                  <w:r w:rsidR="003169F8" w:rsidRPr="00F4758C">
                    <w:rPr>
                      <w:sz w:val="18"/>
                      <w:szCs w:val="18"/>
                      <w:lang w:val="en-GB"/>
                    </w:rPr>
                    <w:t xml:space="preserve">Is your solution fully </w:t>
                  </w:r>
                  <w:r w:rsidR="003169F8" w:rsidRPr="001F2368">
                    <w:rPr>
                      <w:sz w:val="18"/>
                      <w:szCs w:val="18"/>
                      <w:lang w:val="en-GB"/>
                    </w:rPr>
                    <w:t xml:space="preserve">responsive </w:t>
                  </w:r>
                  <w:r w:rsidR="003169F8" w:rsidRPr="00F4758C">
                    <w:rPr>
                      <w:sz w:val="18"/>
                      <w:szCs w:val="18"/>
                      <w:lang w:val="en-GB"/>
                    </w:rPr>
                    <w:t>(adapting to screen resolutions from PC to tablet and smartphone formats)?</w:t>
                  </w:r>
                </w:p>
              </w:tc>
              <w:tc>
                <w:tcPr>
                  <w:tcW w:w="2992" w:type="dxa"/>
                  <w:shd w:val="clear" w:color="auto" w:fill="E7F1F1"/>
                  <w:tcMar>
                    <w:top w:w="4" w:type="dxa"/>
                    <w:left w:w="4" w:type="dxa"/>
                    <w:bottom w:w="0" w:type="dxa"/>
                    <w:right w:w="4" w:type="dxa"/>
                  </w:tcMar>
                  <w:vAlign w:val="center"/>
                  <w:hideMark/>
                </w:tcPr>
                <w:p w14:paraId="434C06AC" w14:textId="77777777" w:rsidR="003169F8" w:rsidRPr="00F4758C" w:rsidRDefault="003169F8" w:rsidP="00C70366">
                  <w:pPr>
                    <w:keepNext/>
                    <w:keepLines/>
                    <w:spacing w:before="120"/>
                    <w:ind w:left="57" w:right="57"/>
                    <w:jc w:val="left"/>
                    <w:rPr>
                      <w:sz w:val="18"/>
                      <w:szCs w:val="18"/>
                      <w:lang w:val="en-GB"/>
                    </w:rPr>
                  </w:pPr>
                  <w:r w:rsidRPr="00F4758C">
                    <w:rPr>
                      <w:sz w:val="18"/>
                      <w:szCs w:val="18"/>
                      <w:lang w:val="en-GB"/>
                    </w:rPr>
                    <w:t>Note describing the solution’s digital accessibility compatibility with the main web browsers and assistive technologies.</w:t>
                  </w:r>
                </w:p>
              </w:tc>
            </w:tr>
            <w:tr w:rsidR="003169F8" w:rsidRPr="004B4BDE" w14:paraId="5E1DCB95" w14:textId="77777777" w:rsidTr="004C4D0B">
              <w:trPr>
                <w:cantSplit/>
                <w:trHeight w:val="451"/>
              </w:trPr>
              <w:tc>
                <w:tcPr>
                  <w:tcW w:w="1238" w:type="dxa"/>
                  <w:shd w:val="clear" w:color="auto" w:fill="307A55"/>
                  <w:tcMar>
                    <w:top w:w="4" w:type="dxa"/>
                    <w:left w:w="4" w:type="dxa"/>
                    <w:bottom w:w="0" w:type="dxa"/>
                    <w:right w:w="4" w:type="dxa"/>
                  </w:tcMar>
                  <w:vAlign w:val="center"/>
                  <w:hideMark/>
                </w:tcPr>
                <w:p w14:paraId="261CAB06" w14:textId="77777777" w:rsidR="003169F8" w:rsidRPr="00231BFF" w:rsidRDefault="003169F8" w:rsidP="00C70366">
                  <w:pPr>
                    <w:keepNext/>
                    <w:keepLines/>
                    <w:spacing w:before="120"/>
                    <w:ind w:left="57" w:right="57"/>
                    <w:jc w:val="center"/>
                    <w:rPr>
                      <w:color w:val="FFFFFF" w:themeColor="background1"/>
                      <w:sz w:val="18"/>
                      <w:szCs w:val="18"/>
                    </w:rPr>
                  </w:pPr>
                  <w:r w:rsidRPr="00231BFF">
                    <w:rPr>
                      <w:b/>
                      <w:bCs/>
                      <w:color w:val="FFFFFF" w:themeColor="background1"/>
                      <w:sz w:val="18"/>
                      <w:szCs w:val="18"/>
                    </w:rPr>
                    <w:t>AN-05</w:t>
                  </w:r>
                </w:p>
              </w:tc>
              <w:tc>
                <w:tcPr>
                  <w:tcW w:w="1275" w:type="dxa"/>
                  <w:shd w:val="clear" w:color="auto" w:fill="E7F1F1"/>
                  <w:tcMar>
                    <w:top w:w="4" w:type="dxa"/>
                    <w:left w:w="4" w:type="dxa"/>
                    <w:bottom w:w="0" w:type="dxa"/>
                    <w:right w:w="4" w:type="dxa"/>
                  </w:tcMar>
                  <w:vAlign w:val="center"/>
                  <w:hideMark/>
                </w:tcPr>
                <w:p w14:paraId="34D9C638" w14:textId="555EC101" w:rsidR="003169F8" w:rsidRPr="00F4758C" w:rsidRDefault="003169F8" w:rsidP="00C70366">
                  <w:pPr>
                    <w:keepNext/>
                    <w:keepLines/>
                    <w:spacing w:before="120"/>
                    <w:ind w:left="57" w:right="57"/>
                    <w:jc w:val="left"/>
                    <w:rPr>
                      <w:sz w:val="18"/>
                      <w:szCs w:val="18"/>
                      <w:lang w:val="en-GB"/>
                    </w:rPr>
                  </w:pPr>
                  <w:r w:rsidRPr="00F4758C">
                    <w:rPr>
                      <w:sz w:val="18"/>
                      <w:szCs w:val="18"/>
                      <w:lang w:val="en-GB"/>
                    </w:rPr>
                    <w:t xml:space="preserve">Check that the solution </w:t>
                  </w:r>
                  <w:r w:rsidR="006A7E8F" w:rsidRPr="00F4758C">
                    <w:rPr>
                      <w:sz w:val="18"/>
                      <w:szCs w:val="18"/>
                      <w:lang w:val="en-GB"/>
                    </w:rPr>
                    <w:t xml:space="preserve">is </w:t>
                  </w:r>
                  <w:r w:rsidRPr="00F4758C">
                    <w:rPr>
                      <w:sz w:val="18"/>
                      <w:szCs w:val="18"/>
                      <w:lang w:val="en-GB"/>
                    </w:rPr>
                    <w:t>robust</w:t>
                  </w:r>
                </w:p>
              </w:tc>
              <w:tc>
                <w:tcPr>
                  <w:tcW w:w="3123" w:type="dxa"/>
                  <w:gridSpan w:val="2"/>
                  <w:shd w:val="clear" w:color="auto" w:fill="E7F1F1"/>
                  <w:tcMar>
                    <w:top w:w="4" w:type="dxa"/>
                    <w:left w:w="4" w:type="dxa"/>
                    <w:bottom w:w="0" w:type="dxa"/>
                    <w:right w:w="4" w:type="dxa"/>
                  </w:tcMar>
                  <w:vAlign w:val="center"/>
                  <w:hideMark/>
                </w:tcPr>
                <w:p w14:paraId="21961F4C" w14:textId="41D145E2" w:rsidR="003169F8" w:rsidRPr="00F4758C" w:rsidRDefault="00F755EB" w:rsidP="00C70366">
                  <w:pPr>
                    <w:keepNext/>
                    <w:keepLines/>
                    <w:spacing w:before="120"/>
                    <w:ind w:left="57" w:right="57"/>
                    <w:contextualSpacing/>
                    <w:jc w:val="left"/>
                    <w:rPr>
                      <w:sz w:val="18"/>
                      <w:szCs w:val="18"/>
                      <w:lang w:val="en-GB"/>
                    </w:rPr>
                  </w:pPr>
                  <w:r w:rsidRPr="00F4758C">
                    <w:rPr>
                      <w:sz w:val="18"/>
                      <w:szCs w:val="18"/>
                      <w:lang w:val="en-GB"/>
                    </w:rPr>
                    <w:t xml:space="preserve">- </w:t>
                  </w:r>
                  <w:r w:rsidR="003169F8" w:rsidRPr="00F4758C">
                    <w:rPr>
                      <w:sz w:val="18"/>
                      <w:szCs w:val="18"/>
                      <w:lang w:val="en-GB"/>
                    </w:rPr>
                    <w:t xml:space="preserve">Are works to ensure the digital solution’s digital accessibility included in the </w:t>
                  </w:r>
                  <w:r w:rsidR="003169F8" w:rsidRPr="001F2368">
                    <w:rPr>
                      <w:sz w:val="18"/>
                      <w:szCs w:val="18"/>
                      <w:lang w:val="en-GB"/>
                    </w:rPr>
                    <w:t xml:space="preserve">roadmap </w:t>
                  </w:r>
                  <w:r w:rsidR="003169F8" w:rsidRPr="00F4758C">
                    <w:rPr>
                      <w:sz w:val="18"/>
                      <w:szCs w:val="18"/>
                      <w:lang w:val="en-GB"/>
                    </w:rPr>
                    <w:t xml:space="preserve">and </w:t>
                  </w:r>
                  <w:r w:rsidR="004266FC" w:rsidRPr="00F4758C">
                    <w:rPr>
                      <w:sz w:val="18"/>
                      <w:szCs w:val="18"/>
                      <w:lang w:val="en-GB"/>
                    </w:rPr>
                    <w:t xml:space="preserve">in </w:t>
                  </w:r>
                  <w:r w:rsidR="003169F8" w:rsidRPr="00F4758C">
                    <w:rPr>
                      <w:sz w:val="18"/>
                      <w:szCs w:val="18"/>
                      <w:lang w:val="en-GB"/>
                    </w:rPr>
                    <w:t>the solution’s implementation schedule?</w:t>
                  </w:r>
                </w:p>
              </w:tc>
              <w:tc>
                <w:tcPr>
                  <w:tcW w:w="2992" w:type="dxa"/>
                  <w:shd w:val="clear" w:color="auto" w:fill="E7F1F1"/>
                  <w:tcMar>
                    <w:top w:w="4" w:type="dxa"/>
                    <w:left w:w="4" w:type="dxa"/>
                    <w:bottom w:w="0" w:type="dxa"/>
                    <w:right w:w="4" w:type="dxa"/>
                  </w:tcMar>
                  <w:vAlign w:val="center"/>
                  <w:hideMark/>
                </w:tcPr>
                <w:p w14:paraId="173B6EFE" w14:textId="11B1E099" w:rsidR="003169F8" w:rsidRPr="00F4758C" w:rsidRDefault="003169F8" w:rsidP="00C70366">
                  <w:pPr>
                    <w:keepNext/>
                    <w:keepLines/>
                    <w:spacing w:before="120"/>
                    <w:ind w:left="57" w:right="57"/>
                    <w:jc w:val="left"/>
                    <w:rPr>
                      <w:sz w:val="18"/>
                      <w:szCs w:val="18"/>
                      <w:lang w:val="en-GB"/>
                    </w:rPr>
                  </w:pPr>
                  <w:r w:rsidRPr="00F4758C">
                    <w:rPr>
                      <w:sz w:val="18"/>
                      <w:szCs w:val="18"/>
                      <w:lang w:val="en-GB"/>
                    </w:rPr>
                    <w:t xml:space="preserve">A description of </w:t>
                  </w:r>
                  <w:r w:rsidRPr="001F2368">
                    <w:rPr>
                      <w:sz w:val="18"/>
                      <w:szCs w:val="18"/>
                      <w:lang w:val="en-GB"/>
                    </w:rPr>
                    <w:t xml:space="preserve">the roadmap </w:t>
                  </w:r>
                  <w:r w:rsidRPr="00F4758C">
                    <w:rPr>
                      <w:sz w:val="18"/>
                      <w:szCs w:val="18"/>
                      <w:lang w:val="en-GB"/>
                    </w:rPr>
                    <w:t>and planned schedule</w:t>
                  </w:r>
                  <w:r w:rsidR="004266FC" w:rsidRPr="00F4758C">
                    <w:rPr>
                      <w:sz w:val="18"/>
                      <w:szCs w:val="18"/>
                      <w:lang w:val="en-GB"/>
                    </w:rPr>
                    <w:t xml:space="preserve">, </w:t>
                  </w:r>
                  <w:r w:rsidRPr="00F4758C">
                    <w:rPr>
                      <w:sz w:val="18"/>
                      <w:szCs w:val="18"/>
                      <w:lang w:val="en-GB"/>
                    </w:rPr>
                    <w:t>including provisions for digital accessibility</w:t>
                  </w:r>
                  <w:r w:rsidR="00E65801" w:rsidRPr="00F4758C">
                    <w:rPr>
                      <w:sz w:val="18"/>
                      <w:szCs w:val="18"/>
                      <w:lang w:val="en-GB"/>
                    </w:rPr>
                    <w:t>.</w:t>
                  </w:r>
                </w:p>
              </w:tc>
            </w:tr>
            <w:tr w:rsidR="003169F8" w:rsidRPr="004B4BDE" w14:paraId="22DC1F7D" w14:textId="77777777" w:rsidTr="004C4D0B">
              <w:trPr>
                <w:cantSplit/>
                <w:trHeight w:val="749"/>
              </w:trPr>
              <w:tc>
                <w:tcPr>
                  <w:tcW w:w="1238" w:type="dxa"/>
                  <w:shd w:val="clear" w:color="auto" w:fill="307A55"/>
                  <w:tcMar>
                    <w:top w:w="4" w:type="dxa"/>
                    <w:left w:w="4" w:type="dxa"/>
                    <w:bottom w:w="0" w:type="dxa"/>
                    <w:right w:w="4" w:type="dxa"/>
                  </w:tcMar>
                  <w:vAlign w:val="center"/>
                  <w:hideMark/>
                </w:tcPr>
                <w:p w14:paraId="3817EDA5" w14:textId="77777777" w:rsidR="003169F8" w:rsidRPr="00231BFF" w:rsidRDefault="003169F8" w:rsidP="00C70366">
                  <w:pPr>
                    <w:keepNext/>
                    <w:keepLines/>
                    <w:spacing w:before="120"/>
                    <w:ind w:left="57" w:right="57"/>
                    <w:jc w:val="center"/>
                    <w:rPr>
                      <w:color w:val="FFFFFF" w:themeColor="background1"/>
                      <w:sz w:val="18"/>
                      <w:szCs w:val="18"/>
                    </w:rPr>
                  </w:pPr>
                  <w:r w:rsidRPr="00231BFF">
                    <w:rPr>
                      <w:b/>
                      <w:bCs/>
                      <w:color w:val="FFFFFF" w:themeColor="background1"/>
                      <w:sz w:val="18"/>
                      <w:szCs w:val="18"/>
                    </w:rPr>
                    <w:t>AN-06</w:t>
                  </w:r>
                </w:p>
              </w:tc>
              <w:tc>
                <w:tcPr>
                  <w:tcW w:w="1275" w:type="dxa"/>
                  <w:shd w:val="clear" w:color="auto" w:fill="E7F1F1"/>
                  <w:tcMar>
                    <w:top w:w="4" w:type="dxa"/>
                    <w:left w:w="4" w:type="dxa"/>
                    <w:bottom w:w="0" w:type="dxa"/>
                    <w:right w:w="4" w:type="dxa"/>
                  </w:tcMar>
                  <w:vAlign w:val="center"/>
                  <w:hideMark/>
                </w:tcPr>
                <w:p w14:paraId="0904969B" w14:textId="77777777" w:rsidR="003169F8" w:rsidRPr="00F4758C" w:rsidRDefault="003169F8" w:rsidP="00C70366">
                  <w:pPr>
                    <w:keepNext/>
                    <w:keepLines/>
                    <w:spacing w:before="120"/>
                    <w:ind w:left="57" w:right="57"/>
                    <w:jc w:val="left"/>
                    <w:rPr>
                      <w:sz w:val="18"/>
                      <w:szCs w:val="18"/>
                      <w:lang w:val="en-GB"/>
                    </w:rPr>
                  </w:pPr>
                  <w:r w:rsidRPr="00F4758C">
                    <w:rPr>
                      <w:sz w:val="18"/>
                      <w:szCs w:val="18"/>
                      <w:lang w:val="en-GB"/>
                    </w:rPr>
                    <w:t>Check that staff at the company and any subcontractors are trained in digital accessibility.</w:t>
                  </w:r>
                </w:p>
              </w:tc>
              <w:tc>
                <w:tcPr>
                  <w:tcW w:w="3123" w:type="dxa"/>
                  <w:gridSpan w:val="2"/>
                  <w:shd w:val="clear" w:color="auto" w:fill="E7F1F1"/>
                  <w:tcMar>
                    <w:top w:w="4" w:type="dxa"/>
                    <w:left w:w="4" w:type="dxa"/>
                    <w:bottom w:w="0" w:type="dxa"/>
                    <w:right w:w="4" w:type="dxa"/>
                  </w:tcMar>
                  <w:vAlign w:val="center"/>
                  <w:hideMark/>
                </w:tcPr>
                <w:p w14:paraId="10126C9D" w14:textId="3477C7D5" w:rsidR="003169F8" w:rsidRPr="00F4758C" w:rsidRDefault="00F755EB" w:rsidP="00C70366">
                  <w:pPr>
                    <w:keepNext/>
                    <w:keepLines/>
                    <w:spacing w:before="120"/>
                    <w:ind w:left="57" w:right="57"/>
                    <w:contextualSpacing/>
                    <w:jc w:val="left"/>
                    <w:rPr>
                      <w:sz w:val="18"/>
                      <w:szCs w:val="18"/>
                      <w:lang w:val="en-GB"/>
                    </w:rPr>
                  </w:pPr>
                  <w:r w:rsidRPr="00F4758C">
                    <w:rPr>
                      <w:sz w:val="18"/>
                      <w:szCs w:val="18"/>
                      <w:lang w:val="en-GB"/>
                    </w:rPr>
                    <w:t xml:space="preserve">- </w:t>
                  </w:r>
                  <w:r w:rsidR="003169F8" w:rsidRPr="00F4758C">
                    <w:rPr>
                      <w:sz w:val="18"/>
                      <w:szCs w:val="18"/>
                      <w:lang w:val="en-GB"/>
                    </w:rPr>
                    <w:t>Do the service provider and any subcontractors have internal staff trained in digital accessibility?</w:t>
                  </w:r>
                  <w:r w:rsidR="003169F8" w:rsidRPr="00F4758C">
                    <w:rPr>
                      <w:sz w:val="18"/>
                      <w:szCs w:val="18"/>
                      <w:lang w:val="en-GB"/>
                    </w:rPr>
                    <w:br/>
                    <w:t>Specify the roles (project manager specialising in digital accessibility, developers trained in accessible development, screen reader experts, etc.) and the level of training in digital accessibility, etc.</w:t>
                  </w:r>
                </w:p>
              </w:tc>
              <w:tc>
                <w:tcPr>
                  <w:tcW w:w="2992" w:type="dxa"/>
                  <w:shd w:val="clear" w:color="auto" w:fill="E7F1F1"/>
                  <w:tcMar>
                    <w:top w:w="4" w:type="dxa"/>
                    <w:left w:w="4" w:type="dxa"/>
                    <w:bottom w:w="0" w:type="dxa"/>
                    <w:right w:w="4" w:type="dxa"/>
                  </w:tcMar>
                  <w:vAlign w:val="center"/>
                  <w:hideMark/>
                </w:tcPr>
                <w:p w14:paraId="2DDD6E45" w14:textId="144678B8" w:rsidR="003169F8" w:rsidRPr="00F4758C" w:rsidRDefault="003169F8" w:rsidP="00C70366">
                  <w:pPr>
                    <w:keepNext/>
                    <w:keepLines/>
                    <w:spacing w:before="120"/>
                    <w:ind w:left="57" w:right="57"/>
                    <w:jc w:val="left"/>
                    <w:rPr>
                      <w:sz w:val="18"/>
                      <w:szCs w:val="18"/>
                      <w:lang w:val="en-GB"/>
                    </w:rPr>
                  </w:pPr>
                  <w:r w:rsidRPr="00F4758C">
                    <w:rPr>
                      <w:sz w:val="18"/>
                      <w:szCs w:val="18"/>
                      <w:lang w:val="en-GB"/>
                    </w:rPr>
                    <w:t>List of certified training courses completed, and the organisations providing such training</w:t>
                  </w:r>
                  <w:r w:rsidR="00E65801" w:rsidRPr="00F4758C">
                    <w:rPr>
                      <w:sz w:val="18"/>
                      <w:szCs w:val="18"/>
                      <w:lang w:val="en-GB"/>
                    </w:rPr>
                    <w:t>.</w:t>
                  </w:r>
                </w:p>
              </w:tc>
            </w:tr>
          </w:tbl>
          <w:p w14:paraId="6D92EA98" w14:textId="61EA0ECD" w:rsidR="003169F8" w:rsidRPr="00D62C23" w:rsidRDefault="003169F8" w:rsidP="00BC7739">
            <w:pPr>
              <w:keepNext/>
              <w:keepLines/>
              <w:spacing w:before="40"/>
              <w:jc w:val="right"/>
              <w:rPr>
                <w:b/>
                <w:bCs/>
              </w:rPr>
            </w:pPr>
            <w:r>
              <w:rPr>
                <w:b/>
                <w:bCs/>
              </w:rPr>
              <w:t>Mickaël Bouteiller</w:t>
            </w:r>
            <w:r w:rsidRPr="00A90E53">
              <w:t xml:space="preserve">, </w:t>
            </w:r>
            <w:r>
              <w:t xml:space="preserve">Digital </w:t>
            </w:r>
            <w:r w:rsidRPr="00A90E53">
              <w:t xml:space="preserve">Accessibility </w:t>
            </w:r>
            <w:r>
              <w:t xml:space="preserve">Expert </w:t>
            </w:r>
            <w:r w:rsidRPr="00A90E53">
              <w:t xml:space="preserve">at </w:t>
            </w:r>
            <w:r>
              <w:rPr>
                <w:b/>
                <w:bCs/>
              </w:rPr>
              <w:t>La Poste Group</w:t>
            </w:r>
            <w:r w:rsidR="00BC7739">
              <w:rPr>
                <w:b/>
                <w:bCs/>
              </w:rPr>
              <w:br/>
            </w:r>
            <w:r>
              <w:rPr>
                <w:b/>
                <w:bCs/>
              </w:rPr>
              <w:t>Anne Tozzolino</w:t>
            </w:r>
            <w:r w:rsidRPr="00A90E53">
              <w:t xml:space="preserve">, </w:t>
            </w:r>
            <w:r w:rsidRPr="003169F8">
              <w:t xml:space="preserve">CSR Project Manager </w:t>
            </w:r>
            <w:r w:rsidRPr="00A90E53">
              <w:t xml:space="preserve">at </w:t>
            </w:r>
            <w:r>
              <w:rPr>
                <w:b/>
                <w:bCs/>
              </w:rPr>
              <w:t>La Poste Group</w:t>
            </w:r>
          </w:p>
        </w:tc>
      </w:tr>
    </w:tbl>
    <w:p w14:paraId="5457E3A4" w14:textId="70E9C0F4" w:rsidR="00D702F6" w:rsidRPr="00D702F6" w:rsidRDefault="00D702F6" w:rsidP="00174707">
      <w:pPr>
        <w:rPr>
          <w:rFonts w:eastAsia="Times New Roman"/>
        </w:rPr>
      </w:pPr>
    </w:p>
    <w:tbl>
      <w:tblPr>
        <w:tblW w:w="5000" w:type="pct"/>
        <w:jc w:val="center"/>
        <w:tblBorders>
          <w:top w:val="single" w:sz="18" w:space="0" w:color="155E48"/>
          <w:left w:val="single" w:sz="18" w:space="0" w:color="155E48"/>
          <w:bottom w:val="single" w:sz="18" w:space="0" w:color="155E48"/>
          <w:right w:val="single" w:sz="18" w:space="0" w:color="155E48"/>
        </w:tblBorders>
        <w:tblLayout w:type="fixed"/>
        <w:tblCellMar>
          <w:top w:w="284" w:type="dxa"/>
          <w:left w:w="284" w:type="dxa"/>
          <w:bottom w:w="284" w:type="dxa"/>
          <w:right w:w="284" w:type="dxa"/>
        </w:tblCellMar>
        <w:tblLook w:val="0420" w:firstRow="1" w:lastRow="0" w:firstColumn="0" w:lastColumn="0" w:noHBand="0" w:noVBand="1"/>
      </w:tblPr>
      <w:tblGrid>
        <w:gridCol w:w="9070"/>
      </w:tblGrid>
      <w:tr w:rsidR="00A90E53" w:rsidRPr="00C43137" w14:paraId="603EB01B" w14:textId="77777777" w:rsidTr="00964431">
        <w:trPr>
          <w:jc w:val="center"/>
        </w:trPr>
        <w:tc>
          <w:tcPr>
            <w:tcW w:w="9047" w:type="dxa"/>
            <w:tcBorders>
              <w:top w:val="nil"/>
              <w:left w:val="nil"/>
              <w:bottom w:val="nil"/>
              <w:right w:val="nil"/>
            </w:tcBorders>
            <w:shd w:val="clear" w:color="auto" w:fill="E2EFD9" w:themeFill="accent6" w:themeFillTint="33"/>
          </w:tcPr>
          <w:p w14:paraId="082E7755" w14:textId="4FB1DF11" w:rsidR="00A90E53" w:rsidRPr="00F4758C" w:rsidRDefault="009F7251" w:rsidP="004C7112">
            <w:pPr>
              <w:pStyle w:val="retenir"/>
              <w:rPr>
                <w:lang w:val="en-GB"/>
              </w:rPr>
            </w:pPr>
            <w:bookmarkStart w:id="55" w:name="_Toc230077018"/>
            <w:r w:rsidRPr="00F4758C">
              <w:rPr>
                <w:lang w:val="en-GB"/>
              </w:rPr>
              <w:lastRenderedPageBreak/>
              <w:t>Key points</w:t>
            </w:r>
            <w:bookmarkEnd w:id="55"/>
          </w:p>
          <w:p w14:paraId="468ED4E8" w14:textId="6DEEA1BF" w:rsidR="00A90E53" w:rsidRPr="00F4758C" w:rsidRDefault="00A90E53" w:rsidP="00A90E53">
            <w:pPr>
              <w:rPr>
                <w:lang w:val="en-GB" w:eastAsia="fr-FR"/>
              </w:rPr>
            </w:pPr>
            <w:r w:rsidRPr="00F4758C">
              <w:rPr>
                <w:lang w:val="en-GB" w:eastAsia="fr-FR"/>
              </w:rPr>
              <w:t>The implementation of a digital accessibility governance framework involves several key actions:</w:t>
            </w:r>
          </w:p>
          <w:p w14:paraId="547B019A" w14:textId="4680FEAD" w:rsidR="00A90E53" w:rsidRPr="00F4758C" w:rsidRDefault="00A90E53">
            <w:pPr>
              <w:pStyle w:val="Paragraphedeliste"/>
              <w:numPr>
                <w:ilvl w:val="0"/>
                <w:numId w:val="21"/>
              </w:numPr>
              <w:rPr>
                <w:lang w:val="en-GB" w:eastAsia="fr-FR"/>
              </w:rPr>
            </w:pPr>
            <w:r w:rsidRPr="00F4758C">
              <w:rPr>
                <w:lang w:val="en-GB" w:eastAsia="fr-FR"/>
              </w:rPr>
              <w:t>Establishing a strategy or multi-year plan for digital accessibility</w:t>
            </w:r>
            <w:r w:rsidR="00BC5A6B" w:rsidRPr="00F4758C">
              <w:rPr>
                <w:lang w:val="en-GB" w:eastAsia="fr-FR"/>
              </w:rPr>
              <w:t>;</w:t>
            </w:r>
          </w:p>
          <w:p w14:paraId="0DF949BD" w14:textId="53EA2E17" w:rsidR="00A90E53" w:rsidRPr="00F4758C" w:rsidRDefault="00A90E53">
            <w:pPr>
              <w:pStyle w:val="Paragraphedeliste"/>
              <w:numPr>
                <w:ilvl w:val="0"/>
                <w:numId w:val="21"/>
              </w:numPr>
              <w:rPr>
                <w:lang w:val="en-GB" w:eastAsia="fr-FR"/>
              </w:rPr>
            </w:pPr>
            <w:r w:rsidRPr="00F4758C">
              <w:rPr>
                <w:lang w:val="en-GB" w:eastAsia="fr-FR"/>
              </w:rPr>
              <w:t>Defining the roles and responsibilities of the accessibility lead</w:t>
            </w:r>
            <w:r w:rsidR="00BC5A6B" w:rsidRPr="00F4758C">
              <w:rPr>
                <w:lang w:val="en-GB" w:eastAsia="fr-FR"/>
              </w:rPr>
              <w:t>;</w:t>
            </w:r>
          </w:p>
          <w:p w14:paraId="2F8E9481" w14:textId="670D740D" w:rsidR="00A90E53" w:rsidRPr="00F4758C" w:rsidRDefault="00A90E53">
            <w:pPr>
              <w:pStyle w:val="Paragraphedeliste"/>
              <w:numPr>
                <w:ilvl w:val="0"/>
                <w:numId w:val="21"/>
              </w:numPr>
              <w:rPr>
                <w:lang w:val="en-GB" w:eastAsia="fr-FR"/>
              </w:rPr>
            </w:pPr>
            <w:r w:rsidRPr="00F4758C">
              <w:rPr>
                <w:lang w:val="en-GB" w:eastAsia="fr-FR"/>
              </w:rPr>
              <w:t xml:space="preserve">Provide staff with the necessary tools, for example by creating a centralised page </w:t>
            </w:r>
            <w:r w:rsidR="00426E81" w:rsidRPr="00F4758C">
              <w:rPr>
                <w:lang w:val="en-GB" w:eastAsia="fr-FR"/>
              </w:rPr>
              <w:t xml:space="preserve">on the intranet </w:t>
            </w:r>
            <w:r w:rsidRPr="00F4758C">
              <w:rPr>
                <w:lang w:val="en-GB" w:eastAsia="fr-FR"/>
              </w:rPr>
              <w:t>that brings together resources on digital</w:t>
            </w:r>
            <w:r w:rsidR="00B5346E" w:rsidRPr="00F4758C">
              <w:rPr>
                <w:lang w:val="en-GB" w:eastAsia="fr-FR"/>
              </w:rPr>
              <w:t xml:space="preserve"> accessibility</w:t>
            </w:r>
            <w:r w:rsidRPr="00F4758C">
              <w:rPr>
                <w:lang w:val="en-GB" w:eastAsia="fr-FR"/>
              </w:rPr>
              <w:t xml:space="preserve"> testing and training</w:t>
            </w:r>
            <w:r w:rsidR="00BC5A6B" w:rsidRPr="00F4758C">
              <w:rPr>
                <w:lang w:val="en-GB" w:eastAsia="fr-FR"/>
              </w:rPr>
              <w:t>;</w:t>
            </w:r>
          </w:p>
          <w:p w14:paraId="0BE3DF39" w14:textId="7D530994" w:rsidR="00A90E53" w:rsidRPr="00F4758C" w:rsidRDefault="00A90E53">
            <w:pPr>
              <w:pStyle w:val="Paragraphedeliste"/>
              <w:numPr>
                <w:ilvl w:val="0"/>
                <w:numId w:val="21"/>
              </w:numPr>
              <w:rPr>
                <w:lang w:val="en-GB" w:eastAsia="fr-FR"/>
              </w:rPr>
            </w:pPr>
            <w:r w:rsidRPr="00F4758C">
              <w:rPr>
                <w:lang w:val="en-GB" w:eastAsia="fr-FR"/>
              </w:rPr>
              <w:t>Carry out a compliance review every six months</w:t>
            </w:r>
            <w:r w:rsidR="00BC5A6B" w:rsidRPr="00F4758C">
              <w:rPr>
                <w:lang w:val="en-GB" w:eastAsia="fr-FR"/>
              </w:rPr>
              <w:t>;</w:t>
            </w:r>
          </w:p>
          <w:p w14:paraId="3FF756B0" w14:textId="78F8835D" w:rsidR="00A90E53" w:rsidRPr="00F4758C" w:rsidRDefault="00A90E53">
            <w:pPr>
              <w:pStyle w:val="Paragraphedeliste"/>
              <w:numPr>
                <w:ilvl w:val="0"/>
                <w:numId w:val="21"/>
              </w:numPr>
              <w:rPr>
                <w:lang w:val="en-GB" w:eastAsia="fr-FR"/>
              </w:rPr>
            </w:pPr>
            <w:r w:rsidRPr="00F4758C">
              <w:rPr>
                <w:lang w:val="en-GB" w:eastAsia="fr-FR"/>
              </w:rPr>
              <w:t xml:space="preserve">Take into account changes in the law and the risks associated </w:t>
            </w:r>
            <w:r w:rsidR="00426E81" w:rsidRPr="00F4758C">
              <w:rPr>
                <w:lang w:val="en-GB" w:eastAsia="fr-FR"/>
              </w:rPr>
              <w:t xml:space="preserve">with </w:t>
            </w:r>
            <w:r w:rsidRPr="00F4758C">
              <w:rPr>
                <w:lang w:val="en-GB" w:eastAsia="fr-FR"/>
              </w:rPr>
              <w:t>non-compliance</w:t>
            </w:r>
            <w:r w:rsidR="00BC5A6B" w:rsidRPr="00F4758C">
              <w:rPr>
                <w:lang w:val="en-GB" w:eastAsia="fr-FR"/>
              </w:rPr>
              <w:t>;</w:t>
            </w:r>
          </w:p>
          <w:p w14:paraId="0EC574A2" w14:textId="3F7FCA0C" w:rsidR="00A90E53" w:rsidRDefault="00BC5A6B">
            <w:pPr>
              <w:pStyle w:val="Paragraphedeliste"/>
              <w:numPr>
                <w:ilvl w:val="0"/>
                <w:numId w:val="21"/>
              </w:numPr>
              <w:rPr>
                <w:lang w:eastAsia="fr-FR"/>
              </w:rPr>
            </w:pPr>
            <w:r>
              <w:rPr>
                <w:lang w:eastAsia="fr-FR"/>
              </w:rPr>
              <w:t xml:space="preserve">Carry out </w:t>
            </w:r>
            <w:r w:rsidR="00A90E53">
              <w:rPr>
                <w:lang w:eastAsia="fr-FR"/>
              </w:rPr>
              <w:t xml:space="preserve">regular </w:t>
            </w:r>
            <w:r w:rsidR="00A90E53" w:rsidRPr="001F2368">
              <w:rPr>
                <w:lang w:eastAsia="fr-FR"/>
              </w:rPr>
              <w:t>benchmarking</w:t>
            </w:r>
            <w:r>
              <w:rPr>
                <w:lang w:eastAsia="fr-FR"/>
              </w:rPr>
              <w:t>;</w:t>
            </w:r>
          </w:p>
          <w:p w14:paraId="48182465" w14:textId="4C9D1DAD" w:rsidR="00A90E53" w:rsidRPr="00F4758C" w:rsidRDefault="00DF3D8B">
            <w:pPr>
              <w:pStyle w:val="Paragraphedeliste"/>
              <w:numPr>
                <w:ilvl w:val="0"/>
                <w:numId w:val="21"/>
              </w:numPr>
              <w:rPr>
                <w:lang w:val="en-GB" w:eastAsia="fr-FR"/>
              </w:rPr>
            </w:pPr>
            <w:r w:rsidRPr="00F4758C">
              <w:rPr>
                <w:lang w:val="en-GB" w:eastAsia="fr-FR"/>
              </w:rPr>
              <w:t xml:space="preserve">Manage the expenditure associated with </w:t>
            </w:r>
            <w:r w:rsidR="00A90E53" w:rsidRPr="00F4758C">
              <w:rPr>
                <w:lang w:val="en-GB" w:eastAsia="fr-FR"/>
              </w:rPr>
              <w:t>the initiative</w:t>
            </w:r>
            <w:r w:rsidR="00BC5A6B" w:rsidRPr="00F4758C">
              <w:rPr>
                <w:lang w:val="en-GB" w:eastAsia="fr-FR"/>
              </w:rPr>
              <w:t>;</w:t>
            </w:r>
          </w:p>
          <w:p w14:paraId="681BE1F8" w14:textId="7F678070" w:rsidR="00A90E53" w:rsidRPr="00F4758C" w:rsidRDefault="00A90E53">
            <w:pPr>
              <w:pStyle w:val="Paragraphedeliste"/>
              <w:numPr>
                <w:ilvl w:val="0"/>
                <w:numId w:val="21"/>
              </w:numPr>
              <w:rPr>
                <w:lang w:val="en-GB" w:eastAsia="fr-FR"/>
              </w:rPr>
            </w:pPr>
            <w:r w:rsidRPr="00F4758C">
              <w:rPr>
                <w:lang w:val="en-GB" w:eastAsia="fr-FR"/>
              </w:rPr>
              <w:t xml:space="preserve">Instruct the </w:t>
            </w:r>
            <w:r w:rsidR="00230C35" w:rsidRPr="00F4758C">
              <w:rPr>
                <w:lang w:val="en-GB" w:eastAsia="fr-FR"/>
              </w:rPr>
              <w:t>digital accessibility</w:t>
            </w:r>
            <w:r w:rsidRPr="00F4758C">
              <w:rPr>
                <w:lang w:val="en-GB" w:eastAsia="fr-FR"/>
              </w:rPr>
              <w:t xml:space="preserve"> lead to include </w:t>
            </w:r>
            <w:r w:rsidR="00230C35" w:rsidRPr="00F4758C">
              <w:rPr>
                <w:lang w:val="en-GB" w:eastAsia="fr-FR"/>
              </w:rPr>
              <w:t>digital accessibility</w:t>
            </w:r>
            <w:r w:rsidRPr="00F4758C">
              <w:rPr>
                <w:lang w:val="en-GB" w:eastAsia="fr-FR"/>
              </w:rPr>
              <w:t xml:space="preserve"> clauses in procurement contracts and to identify service providers capable of supporting implementation</w:t>
            </w:r>
            <w:r w:rsidR="00A31FAF" w:rsidRPr="00F4758C">
              <w:rPr>
                <w:lang w:val="en-GB" w:eastAsia="fr-FR"/>
              </w:rPr>
              <w:t>;</w:t>
            </w:r>
          </w:p>
          <w:p w14:paraId="720A8F93" w14:textId="2D72530C" w:rsidR="00A90E53" w:rsidRPr="00F4758C" w:rsidRDefault="00A90E53">
            <w:pPr>
              <w:pStyle w:val="Paragraphedeliste"/>
              <w:numPr>
                <w:ilvl w:val="0"/>
                <w:numId w:val="21"/>
              </w:numPr>
              <w:rPr>
                <w:lang w:val="en-GB" w:eastAsia="fr-FR"/>
              </w:rPr>
            </w:pPr>
            <w:r w:rsidRPr="00F4758C">
              <w:rPr>
                <w:lang w:val="en-GB" w:eastAsia="fr-FR"/>
              </w:rPr>
              <w:t xml:space="preserve">Equip the lead officer and steering committees with </w:t>
            </w:r>
            <w:r w:rsidR="00BC5A6B" w:rsidRPr="00F4758C">
              <w:rPr>
                <w:lang w:val="en-GB" w:eastAsia="fr-FR"/>
              </w:rPr>
              <w:t>cross-functional</w:t>
            </w:r>
            <w:r w:rsidRPr="00F4758C">
              <w:rPr>
                <w:lang w:val="en-GB" w:eastAsia="fr-FR"/>
              </w:rPr>
              <w:t xml:space="preserve"> skills: they must be able to engage with HR, training and procurement departments, </w:t>
            </w:r>
            <w:r w:rsidR="00BC5A6B" w:rsidRPr="00F4758C">
              <w:rPr>
                <w:lang w:val="en-GB" w:eastAsia="fr-FR"/>
              </w:rPr>
              <w:t>etc</w:t>
            </w:r>
            <w:r w:rsidRPr="00F4758C">
              <w:rPr>
                <w:lang w:val="en-GB" w:eastAsia="fr-FR"/>
              </w:rPr>
              <w:t xml:space="preserve">. </w:t>
            </w:r>
            <w:r w:rsidR="00BC5A6B" w:rsidRPr="00F4758C">
              <w:rPr>
                <w:lang w:val="en-GB" w:eastAsia="fr-FR"/>
              </w:rPr>
              <w:t xml:space="preserve">As they have no binding authority, </w:t>
            </w:r>
            <w:r w:rsidR="00230C35" w:rsidRPr="00F4758C">
              <w:rPr>
                <w:lang w:val="en-GB" w:eastAsia="fr-FR"/>
              </w:rPr>
              <w:t>digital accessibility</w:t>
            </w:r>
            <w:r w:rsidRPr="00F4758C">
              <w:rPr>
                <w:lang w:val="en-GB" w:eastAsia="fr-FR"/>
              </w:rPr>
              <w:t xml:space="preserve"> lead officers </w:t>
            </w:r>
            <w:r w:rsidR="00AE75A3" w:rsidRPr="00F4758C">
              <w:rPr>
                <w:lang w:val="en-GB" w:eastAsia="fr-FR"/>
              </w:rPr>
              <w:t>must be supported by decision-making</w:t>
            </w:r>
            <w:r w:rsidRPr="00F4758C">
              <w:rPr>
                <w:lang w:val="en-GB" w:eastAsia="fr-FR"/>
              </w:rPr>
              <w:t xml:space="preserve"> bodies.</w:t>
            </w:r>
          </w:p>
          <w:p w14:paraId="0F80EE32" w14:textId="746DD193" w:rsidR="0058257E" w:rsidRPr="00C43137" w:rsidRDefault="00C86D0A" w:rsidP="00064C74">
            <w:pPr>
              <w:jc w:val="right"/>
            </w:pPr>
            <w:r w:rsidRPr="00C86D0A">
              <w:rPr>
                <w:noProof/>
              </w:rPr>
              <w:drawing>
                <wp:inline distT="0" distB="0" distL="0" distR="0" wp14:anchorId="340DE864" wp14:editId="463F8B8E">
                  <wp:extent cx="5518197" cy="2695492"/>
                  <wp:effectExtent l="0" t="0" r="6350" b="0"/>
                  <wp:docPr id="1360503320" name="Image 1" descr="This diagram, structured like the architecture of a house, sets out the framework for the accessibility approach across four interdependent levels: at the top, the strategic ambition defines the vision and alignment with CSR commitments; it is underpinned by organisational levers that specify the accessibility lead’s steering and decision-making responsibilities. Implementation is then structured around three operational levers (technical tools, internal culture-building and management of external service providers), all of which rest on a foundation of essential legitimacy that guarantees senior management support, appropriate governance and dedicated budgetary resour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503320" name="Image 1" descr="This diagram, structured like the architecture of a house, sets out the framework for the accessibility approach across four interdependent levels: at the top, the strategic ambition defines the vision and alignment with CSR commitments; it is underpinned by organisational levers that specify the accessibility lead’s steering and decision-making responsibilities. Implementation is then structured around three operational levers (technical tools, internal culture-building and management of external service providers), all of which rest on a foundation of essential legitimacy that guarantees senior management support, appropriate governance and dedicated budgetary resources."/>
                          <pic:cNvPicPr/>
                        </pic:nvPicPr>
                        <pic:blipFill>
                          <a:blip r:embed="rId26"/>
                          <a:stretch>
                            <a:fillRect/>
                          </a:stretch>
                        </pic:blipFill>
                        <pic:spPr>
                          <a:xfrm>
                            <a:off x="0" y="0"/>
                            <a:ext cx="5526564" cy="2699579"/>
                          </a:xfrm>
                          <a:prstGeom prst="rect">
                            <a:avLst/>
                          </a:prstGeom>
                        </pic:spPr>
                      </pic:pic>
                    </a:graphicData>
                  </a:graphic>
                </wp:inline>
              </w:drawing>
            </w:r>
          </w:p>
        </w:tc>
      </w:tr>
    </w:tbl>
    <w:p w14:paraId="085B37A5" w14:textId="7EE16E8E" w:rsidR="007B2E61" w:rsidRPr="00F4758C" w:rsidRDefault="00D62C23" w:rsidP="007B2E61">
      <w:pPr>
        <w:pStyle w:val="Titre1"/>
        <w:rPr>
          <w:lang w:val="en-GB"/>
        </w:rPr>
      </w:pPr>
      <w:bookmarkStart w:id="56" w:name="_Toc230077019"/>
      <w:r w:rsidRPr="00F4758C">
        <w:rPr>
          <w:lang w:val="en-GB"/>
        </w:rPr>
        <w:lastRenderedPageBreak/>
        <w:t>Managing and equipping the roll-out of digital accessibility</w:t>
      </w:r>
      <w:bookmarkEnd w:id="56"/>
    </w:p>
    <w:p w14:paraId="1017A89A" w14:textId="27A8F0C7" w:rsidR="00D62C23" w:rsidRPr="00F4758C" w:rsidRDefault="00D62C23" w:rsidP="0092554C">
      <w:pPr>
        <w:rPr>
          <w:rFonts w:eastAsia="Times New Roman"/>
          <w:lang w:val="en-GB"/>
        </w:rPr>
      </w:pPr>
      <w:r w:rsidRPr="00F4758C">
        <w:rPr>
          <w:rFonts w:eastAsia="Times New Roman"/>
          <w:lang w:val="en-GB"/>
        </w:rPr>
        <w:t xml:space="preserve">Taking digital accessibility into account </w:t>
      </w:r>
      <w:r w:rsidR="00F91F85" w:rsidRPr="00F4758C">
        <w:rPr>
          <w:rFonts w:eastAsia="Times New Roman"/>
          <w:lang w:val="en-GB"/>
        </w:rPr>
        <w:t xml:space="preserve">as </w:t>
      </w:r>
      <w:r w:rsidRPr="00F4758C">
        <w:rPr>
          <w:rFonts w:eastAsia="Times New Roman"/>
          <w:lang w:val="en-GB"/>
        </w:rPr>
        <w:t xml:space="preserve">early as possible in projects and processes ensures a </w:t>
      </w:r>
      <w:r w:rsidR="00AE75A3" w:rsidRPr="00F4758C">
        <w:rPr>
          <w:rFonts w:eastAsia="Times New Roman"/>
          <w:lang w:val="en-GB"/>
        </w:rPr>
        <w:t xml:space="preserve">more </w:t>
      </w:r>
      <w:r w:rsidRPr="00F4758C">
        <w:rPr>
          <w:rFonts w:eastAsia="Times New Roman"/>
          <w:lang w:val="en-GB"/>
        </w:rPr>
        <w:t xml:space="preserve">effective and less costly approach than </w:t>
      </w:r>
      <w:r w:rsidR="001E440D" w:rsidRPr="00F4758C">
        <w:rPr>
          <w:rFonts w:eastAsia="Times New Roman"/>
          <w:lang w:val="en-GB"/>
        </w:rPr>
        <w:t>retroactive</w:t>
      </w:r>
      <w:r w:rsidRPr="00F4758C">
        <w:rPr>
          <w:rFonts w:eastAsia="Times New Roman"/>
          <w:lang w:val="en-GB"/>
        </w:rPr>
        <w:t xml:space="preserve"> implementation. It is </w:t>
      </w:r>
      <w:r w:rsidR="00A31FAF" w:rsidRPr="00F4758C">
        <w:rPr>
          <w:rFonts w:eastAsia="Times New Roman"/>
          <w:lang w:val="en-GB"/>
        </w:rPr>
        <w:t xml:space="preserve">then </w:t>
      </w:r>
      <w:r w:rsidRPr="00F4758C">
        <w:rPr>
          <w:rFonts w:eastAsia="Times New Roman"/>
          <w:lang w:val="en-GB"/>
        </w:rPr>
        <w:t xml:space="preserve">essential to manage </w:t>
      </w:r>
      <w:r w:rsidR="00426E81" w:rsidRPr="00F4758C">
        <w:rPr>
          <w:rFonts w:eastAsia="Times New Roman"/>
          <w:lang w:val="en-GB"/>
        </w:rPr>
        <w:t xml:space="preserve">its </w:t>
      </w:r>
      <w:r w:rsidRPr="00F4758C">
        <w:rPr>
          <w:rFonts w:eastAsia="Times New Roman"/>
          <w:lang w:val="en-GB"/>
        </w:rPr>
        <w:t xml:space="preserve">integration over time </w:t>
      </w:r>
      <w:r w:rsidR="00AE75A3" w:rsidRPr="00F4758C">
        <w:rPr>
          <w:rFonts w:eastAsia="Times New Roman"/>
          <w:lang w:val="en-GB"/>
        </w:rPr>
        <w:t xml:space="preserve">and </w:t>
      </w:r>
      <w:r w:rsidRPr="00F4758C">
        <w:rPr>
          <w:rFonts w:eastAsia="Times New Roman"/>
          <w:lang w:val="en-GB"/>
        </w:rPr>
        <w:t xml:space="preserve">ensure that it is applied in working methods </w:t>
      </w:r>
      <w:r w:rsidR="00F91F85" w:rsidRPr="00F4758C">
        <w:rPr>
          <w:rFonts w:eastAsia="Times New Roman"/>
          <w:lang w:val="en-GB"/>
        </w:rPr>
        <w:t xml:space="preserve">and </w:t>
      </w:r>
      <w:r w:rsidRPr="00F4758C">
        <w:rPr>
          <w:rFonts w:eastAsia="Times New Roman"/>
          <w:lang w:val="en-GB"/>
        </w:rPr>
        <w:t xml:space="preserve">embraced by teams. </w:t>
      </w:r>
    </w:p>
    <w:p w14:paraId="290FEC48" w14:textId="75C9E0FD" w:rsidR="00D62C23" w:rsidRPr="00F4758C" w:rsidRDefault="00D62C23" w:rsidP="00D62C23">
      <w:pPr>
        <w:pStyle w:val="Titre2"/>
        <w:rPr>
          <w:lang w:val="en-GB"/>
        </w:rPr>
      </w:pPr>
      <w:bookmarkStart w:id="57" w:name="_Toc230077020"/>
      <w:r w:rsidRPr="00F4758C">
        <w:rPr>
          <w:lang w:val="en-GB"/>
        </w:rPr>
        <w:t>Integrating accessibility into the project lifecycle</w:t>
      </w:r>
      <w:bookmarkEnd w:id="57"/>
    </w:p>
    <w:p w14:paraId="6D1083C8" w14:textId="34BC58D9" w:rsidR="00D62C23" w:rsidRPr="00F4758C" w:rsidRDefault="00AE75A3" w:rsidP="00D62C23">
      <w:pPr>
        <w:rPr>
          <w:rFonts w:eastAsia="Times New Roman"/>
          <w:lang w:val="en-GB"/>
        </w:rPr>
      </w:pPr>
      <w:r w:rsidRPr="00F4758C">
        <w:rPr>
          <w:rFonts w:eastAsia="Times New Roman"/>
          <w:lang w:val="en-GB"/>
        </w:rPr>
        <w:t>The</w:t>
      </w:r>
      <w:r w:rsidR="00D62C23" w:rsidRPr="00F4758C">
        <w:rPr>
          <w:rFonts w:eastAsia="Times New Roman"/>
          <w:lang w:val="en-GB"/>
        </w:rPr>
        <w:t xml:space="preserve"> cost of failing to integrate an </w:t>
      </w:r>
      <w:r w:rsidR="00426E81" w:rsidRPr="00F4758C">
        <w:rPr>
          <w:rFonts w:eastAsia="Times New Roman"/>
          <w:lang w:val="en-GB"/>
        </w:rPr>
        <w:t>accessibility</w:t>
      </w:r>
      <w:r w:rsidR="00D62C23" w:rsidRPr="00F4758C">
        <w:rPr>
          <w:rFonts w:eastAsia="Times New Roman"/>
          <w:lang w:val="en-GB"/>
        </w:rPr>
        <w:t xml:space="preserve"> approach is operational rather than financial. Solutions that propose adding accessible configurations after delivery in no way guarantee an accessibility approach that meets standards. At best</w:t>
      </w:r>
      <w:r w:rsidRPr="00F4758C">
        <w:rPr>
          <w:rFonts w:eastAsia="Times New Roman"/>
          <w:lang w:val="en-GB"/>
        </w:rPr>
        <w:t>,</w:t>
      </w:r>
      <w:r w:rsidR="00D62C23" w:rsidRPr="00F4758C">
        <w:rPr>
          <w:rFonts w:eastAsia="Times New Roman"/>
          <w:lang w:val="en-GB"/>
        </w:rPr>
        <w:t xml:space="preserve"> they allow </w:t>
      </w:r>
      <w:r w:rsidR="001E440D" w:rsidRPr="00F4758C">
        <w:rPr>
          <w:rFonts w:eastAsia="Times New Roman"/>
          <w:lang w:val="en-GB"/>
        </w:rPr>
        <w:t xml:space="preserve">for </w:t>
      </w:r>
      <w:r w:rsidR="00D62C23" w:rsidRPr="00F4758C">
        <w:rPr>
          <w:rFonts w:eastAsia="Times New Roman"/>
          <w:lang w:val="en-GB"/>
        </w:rPr>
        <w:t xml:space="preserve">improved usability, but only for certain users, </w:t>
      </w:r>
      <w:r w:rsidRPr="00F4758C">
        <w:rPr>
          <w:rFonts w:eastAsia="Times New Roman"/>
          <w:lang w:val="en-GB"/>
        </w:rPr>
        <w:t xml:space="preserve">and </w:t>
      </w:r>
      <w:r w:rsidR="00D62C23" w:rsidRPr="00F4758C">
        <w:rPr>
          <w:rFonts w:eastAsia="Times New Roman"/>
          <w:lang w:val="en-GB"/>
        </w:rPr>
        <w:t xml:space="preserve">in the form </w:t>
      </w:r>
      <w:r w:rsidR="00426E81" w:rsidRPr="00F4758C">
        <w:rPr>
          <w:rFonts w:eastAsia="Times New Roman"/>
          <w:lang w:val="en-GB"/>
        </w:rPr>
        <w:t xml:space="preserve">of an </w:t>
      </w:r>
      <w:r w:rsidR="00D62C23" w:rsidRPr="00F4758C">
        <w:rPr>
          <w:rFonts w:eastAsia="Times New Roman"/>
          <w:lang w:val="en-GB"/>
        </w:rPr>
        <w:t xml:space="preserve">application </w:t>
      </w:r>
      <w:r w:rsidR="00D62C23" w:rsidRPr="001F2368">
        <w:rPr>
          <w:rFonts w:eastAsia="Times New Roman"/>
          <w:lang w:val="en-GB"/>
        </w:rPr>
        <w:t xml:space="preserve">revamp </w:t>
      </w:r>
      <w:r w:rsidR="00D62C23" w:rsidRPr="00F4758C">
        <w:rPr>
          <w:rFonts w:eastAsia="Times New Roman"/>
          <w:lang w:val="en-GB"/>
        </w:rPr>
        <w:t xml:space="preserve">(i.e. a redesign of the application). But the risk is that this will be done superficially or, as one participant put it, </w:t>
      </w:r>
      <w:r w:rsidRPr="00F4758C">
        <w:rPr>
          <w:rFonts w:eastAsia="Times New Roman"/>
          <w:lang w:val="en-GB"/>
        </w:rPr>
        <w:t xml:space="preserve">that it will be </w:t>
      </w:r>
      <w:r w:rsidR="00426E81" w:rsidRPr="00F4758C">
        <w:rPr>
          <w:rFonts w:eastAsia="Times New Roman"/>
          <w:lang w:val="en-GB"/>
        </w:rPr>
        <w:t xml:space="preserve">merely </w:t>
      </w:r>
      <w:r w:rsidRPr="00F4758C">
        <w:rPr>
          <w:rFonts w:eastAsia="Times New Roman"/>
          <w:lang w:val="en-GB"/>
        </w:rPr>
        <w:t>a</w:t>
      </w:r>
      <w:r w:rsidR="00C56BA9">
        <w:rPr>
          <w:rFonts w:eastAsia="Times New Roman"/>
          <w:lang w:val="en-GB"/>
        </w:rPr>
        <w:t xml:space="preserve"> “</w:t>
      </w:r>
      <w:r w:rsidR="00D62C23" w:rsidRPr="00F4758C">
        <w:rPr>
          <w:rFonts w:eastAsia="Times New Roman"/>
          <w:lang w:val="en-GB"/>
        </w:rPr>
        <w:t>change to the façade rather than the structure</w:t>
      </w:r>
      <w:r w:rsidR="00C56BA9">
        <w:rPr>
          <w:rFonts w:eastAsia="Times New Roman"/>
          <w:lang w:val="en-GB"/>
        </w:rPr>
        <w:t>”</w:t>
      </w:r>
      <w:r w:rsidR="00D62C23" w:rsidRPr="00F4758C">
        <w:rPr>
          <w:rFonts w:eastAsia="Times New Roman"/>
          <w:lang w:val="en-GB"/>
        </w:rPr>
        <w:t>. Indeed, from a technical perspective, digital accessibility cannot be achieved by simply adding an extra layer</w:t>
      </w:r>
      <w:r w:rsidRPr="00F4758C">
        <w:rPr>
          <w:rFonts w:eastAsia="Times New Roman"/>
          <w:lang w:val="en-GB"/>
        </w:rPr>
        <w:t xml:space="preserve">. It is achieved either </w:t>
      </w:r>
      <w:r w:rsidR="00D62C23" w:rsidRPr="00F4758C">
        <w:rPr>
          <w:rFonts w:eastAsia="Times New Roman"/>
          <w:lang w:val="en-GB"/>
        </w:rPr>
        <w:t xml:space="preserve">through </w:t>
      </w:r>
      <w:r w:rsidRPr="00F4758C">
        <w:rPr>
          <w:rFonts w:eastAsia="Times New Roman"/>
          <w:lang w:val="en-GB"/>
        </w:rPr>
        <w:t xml:space="preserve">a </w:t>
      </w:r>
      <w:r w:rsidR="00D62C23" w:rsidRPr="00F4758C">
        <w:rPr>
          <w:rFonts w:eastAsia="Times New Roman"/>
          <w:lang w:val="en-GB"/>
        </w:rPr>
        <w:t xml:space="preserve">complete overhaul </w:t>
      </w:r>
      <w:r w:rsidRPr="00F4758C">
        <w:rPr>
          <w:rFonts w:eastAsia="Times New Roman"/>
          <w:lang w:val="en-GB"/>
        </w:rPr>
        <w:t xml:space="preserve">or </w:t>
      </w:r>
      <w:r w:rsidR="00D62C23" w:rsidRPr="00F4758C">
        <w:rPr>
          <w:rFonts w:eastAsia="Times New Roman"/>
          <w:lang w:val="en-GB"/>
        </w:rPr>
        <w:t xml:space="preserve">through continuous integration into development processes and into every </w:t>
      </w:r>
      <w:r w:rsidR="00C56BA9">
        <w:rPr>
          <w:rFonts w:eastAsia="Times New Roman"/>
          <w:lang w:val="en-GB"/>
        </w:rPr>
        <w:t>“</w:t>
      </w:r>
      <w:r w:rsidR="00D62C23" w:rsidRPr="00C56BA9">
        <w:rPr>
          <w:rFonts w:eastAsia="Times New Roman"/>
          <w:lang w:val="en-GB"/>
        </w:rPr>
        <w:t>user story</w:t>
      </w:r>
      <w:r w:rsidR="00C56BA9">
        <w:rPr>
          <w:rFonts w:eastAsia="Times New Roman"/>
          <w:lang w:val="en-GB"/>
        </w:rPr>
        <w:t>”</w:t>
      </w:r>
      <w:r w:rsidRPr="00F4758C">
        <w:rPr>
          <w:rFonts w:eastAsia="Times New Roman"/>
          <w:lang w:val="en-GB"/>
        </w:rPr>
        <w:t xml:space="preserve">, </w:t>
      </w:r>
      <w:r w:rsidR="00426E81" w:rsidRPr="00F4758C">
        <w:rPr>
          <w:rFonts w:eastAsia="Times New Roman"/>
          <w:lang w:val="en-GB"/>
        </w:rPr>
        <w:t xml:space="preserve">whether </w:t>
      </w:r>
      <w:r w:rsidR="00D62C23" w:rsidRPr="00F4758C">
        <w:rPr>
          <w:rFonts w:eastAsia="Times New Roman"/>
          <w:lang w:val="en-GB"/>
        </w:rPr>
        <w:t xml:space="preserve">for </w:t>
      </w:r>
      <w:r w:rsidR="00D62C23" w:rsidRPr="001F2368">
        <w:rPr>
          <w:rFonts w:eastAsia="Times New Roman"/>
          <w:lang w:val="en-GB"/>
        </w:rPr>
        <w:t xml:space="preserve">front-end </w:t>
      </w:r>
      <w:r w:rsidR="00D62C23" w:rsidRPr="00F4758C">
        <w:rPr>
          <w:rFonts w:eastAsia="Times New Roman"/>
          <w:lang w:val="en-GB"/>
        </w:rPr>
        <w:t xml:space="preserve">(visible interface) </w:t>
      </w:r>
      <w:r w:rsidR="00C56DCA" w:rsidRPr="00F4758C">
        <w:rPr>
          <w:rFonts w:eastAsia="Times New Roman"/>
          <w:lang w:val="en-GB"/>
        </w:rPr>
        <w:t xml:space="preserve">or </w:t>
      </w:r>
      <w:r w:rsidR="00D62C23" w:rsidRPr="001F2368">
        <w:rPr>
          <w:rFonts w:eastAsia="Times New Roman"/>
          <w:lang w:val="en-GB"/>
        </w:rPr>
        <w:t xml:space="preserve">back-end </w:t>
      </w:r>
      <w:r w:rsidR="00D62C23" w:rsidRPr="00F4758C">
        <w:rPr>
          <w:rFonts w:eastAsia="Times New Roman"/>
          <w:lang w:val="en-GB"/>
        </w:rPr>
        <w:t>tasks</w:t>
      </w:r>
      <w:r w:rsidRPr="00F4758C">
        <w:rPr>
          <w:rFonts w:eastAsia="Times New Roman"/>
          <w:i/>
          <w:iCs/>
          <w:lang w:val="en-GB"/>
        </w:rPr>
        <w:t xml:space="preserve">. </w:t>
      </w:r>
    </w:p>
    <w:p w14:paraId="31BCFE25" w14:textId="1F76585E" w:rsidR="00D62C23" w:rsidRPr="00F4758C" w:rsidRDefault="00D62C23" w:rsidP="00D62C23">
      <w:pPr>
        <w:rPr>
          <w:rFonts w:eastAsia="Times New Roman"/>
          <w:lang w:val="en-GB"/>
        </w:rPr>
      </w:pPr>
      <w:r w:rsidRPr="00F4758C">
        <w:rPr>
          <w:rFonts w:eastAsia="Times New Roman"/>
          <w:lang w:val="en-GB"/>
        </w:rPr>
        <w:t xml:space="preserve">To address the project lifecycle comprehensively, three </w:t>
      </w:r>
      <w:r w:rsidR="00F91F85" w:rsidRPr="00F4758C">
        <w:rPr>
          <w:rFonts w:eastAsia="Times New Roman"/>
          <w:lang w:val="en-GB"/>
        </w:rPr>
        <w:t xml:space="preserve">aspects </w:t>
      </w:r>
      <w:r w:rsidRPr="00F4758C">
        <w:rPr>
          <w:rFonts w:eastAsia="Times New Roman"/>
          <w:lang w:val="en-GB"/>
        </w:rPr>
        <w:t xml:space="preserve">must therefore be taken into account: the management </w:t>
      </w:r>
      <w:r w:rsidR="00426E81" w:rsidRPr="00F4758C">
        <w:rPr>
          <w:rFonts w:eastAsia="Times New Roman"/>
          <w:lang w:val="en-GB"/>
        </w:rPr>
        <w:t xml:space="preserve">of existing </w:t>
      </w:r>
      <w:r w:rsidRPr="00F4758C">
        <w:rPr>
          <w:rFonts w:eastAsia="Times New Roman"/>
          <w:lang w:val="en-GB"/>
        </w:rPr>
        <w:t xml:space="preserve">legacy </w:t>
      </w:r>
      <w:r w:rsidR="00426E81" w:rsidRPr="00F4758C">
        <w:rPr>
          <w:rFonts w:eastAsia="Times New Roman"/>
          <w:lang w:val="en-GB"/>
        </w:rPr>
        <w:t>systems</w:t>
      </w:r>
      <w:r w:rsidRPr="00F4758C">
        <w:rPr>
          <w:rFonts w:eastAsia="Times New Roman"/>
          <w:lang w:val="en-GB"/>
        </w:rPr>
        <w:t xml:space="preserve">, </w:t>
      </w:r>
      <w:r w:rsidRPr="00C56BA9">
        <w:rPr>
          <w:rFonts w:eastAsia="Times New Roman"/>
          <w:lang w:val="en-GB"/>
        </w:rPr>
        <w:t>integration</w:t>
      </w:r>
      <w:r w:rsidR="00C56BA9" w:rsidRPr="00C56BA9">
        <w:rPr>
          <w:rFonts w:eastAsia="Times New Roman"/>
          <w:b/>
          <w:bCs/>
          <w:lang w:val="en-GB"/>
        </w:rPr>
        <w:t xml:space="preserve"> </w:t>
      </w:r>
      <w:r w:rsidRPr="00C56BA9">
        <w:rPr>
          <w:rFonts w:eastAsia="Times New Roman"/>
          <w:b/>
          <w:bCs/>
          <w:lang w:val="en-GB"/>
        </w:rPr>
        <w:t>by design</w:t>
      </w:r>
      <w:r w:rsidRPr="00F4758C">
        <w:rPr>
          <w:rFonts w:eastAsia="Times New Roman"/>
          <w:lang w:val="en-GB"/>
        </w:rPr>
        <w:t xml:space="preserve">, and </w:t>
      </w:r>
      <w:r w:rsidRPr="00F4758C">
        <w:rPr>
          <w:rFonts w:eastAsia="Times New Roman"/>
          <w:b/>
          <w:bCs/>
          <w:lang w:val="en-GB"/>
        </w:rPr>
        <w:t>long-term</w:t>
      </w:r>
      <w:r w:rsidRPr="00F4758C">
        <w:rPr>
          <w:rFonts w:eastAsia="Times New Roman"/>
          <w:lang w:val="en-GB"/>
        </w:rPr>
        <w:t xml:space="preserve"> management. </w:t>
      </w:r>
    </w:p>
    <w:p w14:paraId="785C8E23" w14:textId="77777777" w:rsidR="00D62C23" w:rsidRDefault="00D62C23" w:rsidP="00D62C23">
      <w:pPr>
        <w:pStyle w:val="Titre3"/>
      </w:pPr>
      <w:bookmarkStart w:id="58" w:name="_Toc230077021"/>
      <w:r w:rsidRPr="002A1235">
        <w:t>Legacy</w:t>
      </w:r>
      <w:r>
        <w:t xml:space="preserve"> management</w:t>
      </w:r>
      <w:bookmarkEnd w:id="58"/>
    </w:p>
    <w:p w14:paraId="217306BF" w14:textId="08CD0B95" w:rsidR="00D62C23" w:rsidRPr="00F4758C" w:rsidRDefault="00D62C23" w:rsidP="00D62C23">
      <w:pPr>
        <w:rPr>
          <w:rFonts w:eastAsia="Times New Roman"/>
          <w:lang w:val="en-GB"/>
        </w:rPr>
      </w:pPr>
      <w:r w:rsidRPr="00F4758C">
        <w:rPr>
          <w:rFonts w:eastAsia="Times New Roman"/>
          <w:lang w:val="en-GB"/>
        </w:rPr>
        <w:t xml:space="preserve">The implementation of governance dedicated to digital accessibility must </w:t>
      </w:r>
      <w:r w:rsidR="00AE75A3" w:rsidRPr="00F4758C">
        <w:rPr>
          <w:rFonts w:eastAsia="Times New Roman"/>
          <w:lang w:val="en-GB"/>
        </w:rPr>
        <w:t xml:space="preserve">be both </w:t>
      </w:r>
      <w:r w:rsidRPr="00F4758C">
        <w:rPr>
          <w:rFonts w:eastAsia="Times New Roman"/>
          <w:lang w:val="en-GB"/>
        </w:rPr>
        <w:t xml:space="preserve">comprehensive and cross-functional within the organisation. Harmonising the level of accessibility of digital assets </w:t>
      </w:r>
      <w:r w:rsidR="00914DEC" w:rsidRPr="00F4758C">
        <w:rPr>
          <w:rFonts w:eastAsia="Times New Roman"/>
          <w:lang w:val="en-GB"/>
        </w:rPr>
        <w:t xml:space="preserve">requires incorporating </w:t>
      </w:r>
      <w:r w:rsidRPr="00F4758C">
        <w:rPr>
          <w:rFonts w:eastAsia="Times New Roman"/>
          <w:lang w:val="en-GB"/>
        </w:rPr>
        <w:t xml:space="preserve">specific management </w:t>
      </w:r>
      <w:r w:rsidR="00A50699" w:rsidRPr="00F4758C">
        <w:rPr>
          <w:rFonts w:eastAsia="Times New Roman"/>
          <w:lang w:val="en-GB"/>
        </w:rPr>
        <w:t xml:space="preserve">of existing or </w:t>
      </w:r>
      <w:r w:rsidRPr="001F2368">
        <w:rPr>
          <w:rFonts w:eastAsia="Times New Roman"/>
          <w:lang w:val="en-GB"/>
        </w:rPr>
        <w:t xml:space="preserve">legacy </w:t>
      </w:r>
      <w:r w:rsidR="00A50699" w:rsidRPr="00F4758C">
        <w:rPr>
          <w:rFonts w:eastAsia="Times New Roman"/>
          <w:lang w:val="en-GB"/>
        </w:rPr>
        <w:t xml:space="preserve">systems </w:t>
      </w:r>
      <w:r w:rsidR="00914DEC" w:rsidRPr="00F4758C">
        <w:rPr>
          <w:rFonts w:eastAsia="Times New Roman"/>
          <w:lang w:val="en-GB"/>
        </w:rPr>
        <w:t>into the multi-year plan</w:t>
      </w:r>
      <w:r w:rsidRPr="00F4758C">
        <w:rPr>
          <w:rFonts w:eastAsia="Times New Roman"/>
          <w:lang w:val="en-GB"/>
        </w:rPr>
        <w:t xml:space="preserve">, taking into account the project lifecycle. </w:t>
      </w:r>
    </w:p>
    <w:p w14:paraId="10E30C8F" w14:textId="2CF414D3" w:rsidR="00D62C23" w:rsidRPr="00F4758C" w:rsidRDefault="00D62C23" w:rsidP="00D62C23">
      <w:pPr>
        <w:rPr>
          <w:rFonts w:eastAsia="Times New Roman"/>
          <w:lang w:val="en-GB"/>
        </w:rPr>
      </w:pPr>
      <w:r w:rsidRPr="00F4758C">
        <w:rPr>
          <w:rFonts w:eastAsia="Times New Roman"/>
          <w:lang w:val="en-GB"/>
        </w:rPr>
        <w:t xml:space="preserve">Integrating accessibility into existing systems requires a deep dive into the systems’ architecture to identify bottlenecks: missing documentation or obsolete </w:t>
      </w:r>
      <w:r w:rsidRPr="001F2368">
        <w:rPr>
          <w:rFonts w:eastAsia="Times New Roman"/>
          <w:lang w:val="en-GB"/>
        </w:rPr>
        <w:t>frameworks</w:t>
      </w:r>
      <w:r w:rsidRPr="00F4758C">
        <w:rPr>
          <w:rFonts w:eastAsia="Times New Roman"/>
          <w:lang w:val="en-GB"/>
        </w:rPr>
        <w:t>, critical data flows and business processes</w:t>
      </w:r>
      <w:r w:rsidR="002A1235" w:rsidRPr="00F4758C">
        <w:rPr>
          <w:rFonts w:eastAsia="Times New Roman"/>
          <w:lang w:val="en-GB"/>
        </w:rPr>
        <w:t>, etc.</w:t>
      </w:r>
      <w:r w:rsidRPr="00F4758C">
        <w:rPr>
          <w:rFonts w:eastAsia="Times New Roman"/>
          <w:lang w:val="en-GB"/>
        </w:rPr>
        <w:t xml:space="preserve"> The real challenge lies in striking the </w:t>
      </w:r>
      <w:r w:rsidRPr="00F4758C">
        <w:rPr>
          <w:rFonts w:eastAsia="Times New Roman"/>
          <w:b/>
          <w:bCs/>
          <w:lang w:val="en-GB"/>
        </w:rPr>
        <w:t xml:space="preserve">right balance </w:t>
      </w:r>
      <w:r w:rsidRPr="00F4758C">
        <w:rPr>
          <w:rFonts w:eastAsia="Times New Roman"/>
          <w:lang w:val="en-GB"/>
        </w:rPr>
        <w:t xml:space="preserve">between </w:t>
      </w:r>
      <w:r w:rsidRPr="00F4758C">
        <w:rPr>
          <w:rFonts w:eastAsia="Times New Roman"/>
          <w:b/>
          <w:bCs/>
          <w:lang w:val="en-GB"/>
        </w:rPr>
        <w:t>corrective maintenance</w:t>
      </w:r>
      <w:r w:rsidRPr="00F4758C">
        <w:rPr>
          <w:rFonts w:eastAsia="Times New Roman"/>
          <w:lang w:val="en-GB"/>
        </w:rPr>
        <w:t xml:space="preserve">—which would ensure a certain degree of compliance through minimal, regular patches and fixes—and a </w:t>
      </w:r>
      <w:r w:rsidRPr="00F4758C">
        <w:rPr>
          <w:rFonts w:eastAsia="Times New Roman"/>
          <w:b/>
          <w:bCs/>
          <w:lang w:val="en-GB"/>
        </w:rPr>
        <w:t>complete overhaul</w:t>
      </w:r>
      <w:r w:rsidRPr="00F4758C">
        <w:rPr>
          <w:rFonts w:eastAsia="Times New Roman"/>
          <w:lang w:val="en-GB"/>
        </w:rPr>
        <w:t>, which would allow accessibility criteria to be integrated natively and more easily. The first solution</w:t>
      </w:r>
      <w:r w:rsidR="00800C40" w:rsidRPr="00F4758C">
        <w:rPr>
          <w:rFonts w:eastAsia="Times New Roman"/>
          <w:lang w:val="en-GB"/>
        </w:rPr>
        <w:t xml:space="preserve">, </w:t>
      </w:r>
      <w:r w:rsidR="002A1235" w:rsidRPr="00F4758C">
        <w:rPr>
          <w:rFonts w:eastAsia="Times New Roman"/>
          <w:lang w:val="en-GB"/>
        </w:rPr>
        <w:t xml:space="preserve">whilst </w:t>
      </w:r>
      <w:r w:rsidRPr="00F4758C">
        <w:rPr>
          <w:rFonts w:eastAsia="Times New Roman"/>
          <w:lang w:val="en-GB"/>
        </w:rPr>
        <w:t>less costly in the short term</w:t>
      </w:r>
      <w:r w:rsidR="00800C40" w:rsidRPr="00F4758C">
        <w:rPr>
          <w:rFonts w:eastAsia="Times New Roman"/>
          <w:lang w:val="en-GB"/>
        </w:rPr>
        <w:t xml:space="preserve">, </w:t>
      </w:r>
      <w:r w:rsidR="002A1235" w:rsidRPr="00F4758C">
        <w:rPr>
          <w:rFonts w:eastAsia="Times New Roman"/>
          <w:lang w:val="en-GB"/>
        </w:rPr>
        <w:t xml:space="preserve">risks </w:t>
      </w:r>
      <w:r w:rsidR="00426E81" w:rsidRPr="00F4758C">
        <w:rPr>
          <w:rFonts w:eastAsia="Times New Roman"/>
          <w:lang w:val="en-GB"/>
        </w:rPr>
        <w:t xml:space="preserve">becoming more expensive </w:t>
      </w:r>
      <w:r w:rsidRPr="00F4758C">
        <w:rPr>
          <w:rFonts w:eastAsia="Times New Roman"/>
          <w:lang w:val="en-GB"/>
        </w:rPr>
        <w:t xml:space="preserve">in the long term, whereas the second requires a </w:t>
      </w:r>
      <w:r w:rsidR="002A1235" w:rsidRPr="00F4758C">
        <w:rPr>
          <w:rFonts w:eastAsia="Times New Roman"/>
          <w:lang w:val="en-GB"/>
        </w:rPr>
        <w:t>substantial initial</w:t>
      </w:r>
      <w:r w:rsidRPr="00F4758C">
        <w:rPr>
          <w:rFonts w:eastAsia="Times New Roman"/>
          <w:lang w:val="en-GB"/>
        </w:rPr>
        <w:t xml:space="preserve"> investment, but one that </w:t>
      </w:r>
      <w:r w:rsidR="002A1235" w:rsidRPr="00F4758C">
        <w:rPr>
          <w:rFonts w:eastAsia="Times New Roman"/>
          <w:lang w:val="en-GB"/>
        </w:rPr>
        <w:t xml:space="preserve">can </w:t>
      </w:r>
      <w:r w:rsidRPr="00F4758C">
        <w:rPr>
          <w:rFonts w:eastAsia="Times New Roman"/>
          <w:lang w:val="en-GB"/>
        </w:rPr>
        <w:t>pay for itself in the medium to long term and rapidly reduce production costs. The choice between these two solutions will depend on organisational contexts and the criticality of the services.</w:t>
      </w: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D62C23" w:rsidRPr="004B4BDE" w14:paraId="3B39C7C8" w14:textId="77777777" w:rsidTr="007A2D60">
        <w:trPr>
          <w:jc w:val="center"/>
        </w:trPr>
        <w:tc>
          <w:tcPr>
            <w:tcW w:w="9047" w:type="dxa"/>
            <w:tcBorders>
              <w:left w:val="single" w:sz="18" w:space="0" w:color="155E48"/>
            </w:tcBorders>
            <w:shd w:val="clear" w:color="auto" w:fill="F2F2F2" w:themeFill="background1" w:themeFillShade="F2"/>
          </w:tcPr>
          <w:p w14:paraId="465C9106" w14:textId="49F25747" w:rsidR="004F31C5" w:rsidRDefault="0024303C" w:rsidP="004F31C5">
            <w:pPr>
              <w:pStyle w:val="TitreEncart"/>
              <w:rPr>
                <w:color w:val="4A5843"/>
              </w:rPr>
            </w:pPr>
            <w:bookmarkStart w:id="59" w:name="_Toc230257732"/>
            <w:r w:rsidRPr="004F31C5">
              <w:lastRenderedPageBreak/>
              <w:t xml:space="preserve">Case Study: </w:t>
            </w:r>
            <w:r w:rsidR="004F31C5" w:rsidRPr="004F31C5">
              <w:t>Direction du Numérique des Ministères de la Transition écologique et de l’Aménagement des territoires</w:t>
            </w:r>
            <w:r w:rsidR="004F31C5">
              <w:rPr>
                <w:b w:val="0"/>
                <w:bCs/>
                <w:color w:val="4A5843"/>
              </w:rPr>
              <w:t xml:space="preserve"> </w:t>
            </w:r>
          </w:p>
          <w:bookmarkEnd w:id="59"/>
          <w:p w14:paraId="488C2D37" w14:textId="77777777" w:rsidR="00D62C23" w:rsidRPr="00F4758C" w:rsidRDefault="00D62C23" w:rsidP="0033608D">
            <w:pPr>
              <w:pStyle w:val="TitreencartREX"/>
              <w:rPr>
                <w:lang w:val="en-GB"/>
              </w:rPr>
            </w:pPr>
            <w:r w:rsidRPr="00F4758C">
              <w:rPr>
                <w:lang w:val="en-GB"/>
              </w:rPr>
              <w:t>Some priority actions for redesigning a website</w:t>
            </w:r>
          </w:p>
          <w:p w14:paraId="6A350142" w14:textId="05D2FAEB" w:rsidR="00D62C23" w:rsidRPr="00F4758C" w:rsidRDefault="003C2B41" w:rsidP="00D62C23">
            <w:pPr>
              <w:rPr>
                <w:lang w:val="en-GB" w:eastAsia="fr-FR"/>
              </w:rPr>
            </w:pPr>
            <w:r>
              <w:rPr>
                <w:lang w:val="en-GB" w:eastAsia="fr-FR"/>
              </w:rPr>
              <w:t>“</w:t>
            </w:r>
            <w:r w:rsidR="00D62C23" w:rsidRPr="00F4758C">
              <w:rPr>
                <w:lang w:val="en-GB" w:eastAsia="fr-FR"/>
              </w:rPr>
              <w:t xml:space="preserve">In the event that </w:t>
            </w:r>
            <w:r w:rsidR="002A1235" w:rsidRPr="00F4758C">
              <w:rPr>
                <w:lang w:val="en-GB" w:eastAsia="fr-FR"/>
              </w:rPr>
              <w:t xml:space="preserve">a </w:t>
            </w:r>
            <w:r w:rsidR="00D62C23" w:rsidRPr="00F4758C">
              <w:rPr>
                <w:lang w:val="en-GB" w:eastAsia="fr-FR"/>
              </w:rPr>
              <w:t xml:space="preserve">website or application redesign is deemed necessary to achieve compliance, members of the </w:t>
            </w:r>
            <w:r w:rsidR="002A1235" w:rsidRPr="00F4758C">
              <w:rPr>
                <w:lang w:val="en-GB" w:eastAsia="fr-FR"/>
              </w:rPr>
              <w:t>“</w:t>
            </w:r>
            <w:r w:rsidR="00D62C23" w:rsidRPr="00F4758C">
              <w:rPr>
                <w:lang w:val="en-GB" w:eastAsia="fr-FR"/>
              </w:rPr>
              <w:t xml:space="preserve">Accessibility &amp; </w:t>
            </w:r>
            <w:r w:rsidR="002A1235" w:rsidRPr="00F4758C">
              <w:rPr>
                <w:lang w:val="en-GB" w:eastAsia="fr-FR"/>
              </w:rPr>
              <w:t xml:space="preserve">Digital” </w:t>
            </w:r>
            <w:r w:rsidR="00D62C23" w:rsidRPr="00F4758C">
              <w:rPr>
                <w:lang w:val="en-GB" w:eastAsia="fr-FR"/>
              </w:rPr>
              <w:t>team adopt a three-pronged approach, ensuring that accessibility is integrated from the design stage:</w:t>
            </w:r>
          </w:p>
          <w:p w14:paraId="2B00D8F2" w14:textId="0E3F8231" w:rsidR="00D62C23" w:rsidRPr="00F4758C" w:rsidRDefault="00D62C23">
            <w:pPr>
              <w:pStyle w:val="Paragraphedeliste"/>
              <w:numPr>
                <w:ilvl w:val="0"/>
                <w:numId w:val="72"/>
              </w:numPr>
              <w:rPr>
                <w:lang w:val="en-GB" w:eastAsia="fr-FR"/>
              </w:rPr>
            </w:pPr>
            <w:r w:rsidRPr="00F4758C">
              <w:rPr>
                <w:lang w:val="en-GB" w:eastAsia="fr-FR"/>
              </w:rPr>
              <w:t xml:space="preserve">Start with a </w:t>
            </w:r>
            <w:r w:rsidRPr="00F4758C">
              <w:rPr>
                <w:b/>
                <w:bCs/>
                <w:lang w:val="en-GB" w:eastAsia="fr-FR"/>
              </w:rPr>
              <w:t xml:space="preserve">strategic study using a UX/UI approach, </w:t>
            </w:r>
            <w:r w:rsidRPr="00F4758C">
              <w:rPr>
                <w:lang w:val="en-GB" w:eastAsia="fr-FR"/>
              </w:rPr>
              <w:t xml:space="preserve">defining </w:t>
            </w:r>
            <w:r w:rsidRPr="00F4758C">
              <w:rPr>
                <w:i/>
                <w:iCs/>
                <w:lang w:val="en-GB" w:eastAsia="fr-FR"/>
              </w:rPr>
              <w:t xml:space="preserve">personas </w:t>
            </w:r>
            <w:r w:rsidRPr="00F4758C">
              <w:rPr>
                <w:lang w:val="en-GB" w:eastAsia="fr-FR"/>
              </w:rPr>
              <w:t>that reflect the diversity of users and their disabilities, and the implications for the interfaces to be designed (specific considerations regarding colours, contrasts, etc.);</w:t>
            </w:r>
          </w:p>
          <w:p w14:paraId="1E5749BA" w14:textId="77777777" w:rsidR="00C56DCA" w:rsidRPr="00F4758C" w:rsidRDefault="00C56DCA" w:rsidP="00C56DCA">
            <w:pPr>
              <w:pStyle w:val="Paragraphedeliste"/>
              <w:ind w:left="360"/>
              <w:rPr>
                <w:lang w:val="en-GB" w:eastAsia="fr-FR"/>
              </w:rPr>
            </w:pPr>
          </w:p>
          <w:p w14:paraId="5A8F900F" w14:textId="7415E257" w:rsidR="00D62C23" w:rsidRPr="003C2B41" w:rsidRDefault="00D62C23" w:rsidP="003C2B41">
            <w:pPr>
              <w:pStyle w:val="Paragraphedeliste"/>
              <w:numPr>
                <w:ilvl w:val="0"/>
                <w:numId w:val="72"/>
              </w:numPr>
              <w:rPr>
                <w:lang w:val="en-GB" w:eastAsia="fr-FR"/>
              </w:rPr>
            </w:pPr>
            <w:r w:rsidRPr="00F4758C">
              <w:rPr>
                <w:b/>
                <w:bCs/>
                <w:lang w:val="en-GB" w:eastAsia="fr-FR"/>
              </w:rPr>
              <w:t xml:space="preserve">Use of the Government’s </w:t>
            </w:r>
            <w:r w:rsidRPr="001F2368">
              <w:rPr>
                <w:b/>
                <w:bCs/>
                <w:lang w:val="en-GB" w:eastAsia="fr-FR"/>
              </w:rPr>
              <w:t>Design System</w:t>
            </w:r>
            <w:r w:rsidR="00C56DCA">
              <w:rPr>
                <w:rStyle w:val="Appelnotedebasdep"/>
                <w:b/>
                <w:bCs/>
                <w:lang w:eastAsia="fr-FR"/>
              </w:rPr>
              <w:footnoteReference w:id="27"/>
            </w:r>
            <w:r w:rsidRPr="00F4758C">
              <w:rPr>
                <w:lang w:val="en-GB" w:eastAsia="fr-FR"/>
              </w:rPr>
              <w:t xml:space="preserve"> , which ensures quality and consistency across all </w:t>
            </w:r>
            <w:r w:rsidR="003C2B41">
              <w:rPr>
                <w:lang w:val="en-GB" w:eastAsia="fr-FR"/>
              </w:rPr>
              <w:t>“</w:t>
            </w:r>
            <w:r w:rsidRPr="003C2B41">
              <w:rPr>
                <w:i/>
                <w:iCs/>
                <w:lang w:val="en-GB" w:eastAsia="fr-FR"/>
              </w:rPr>
              <w:t>.</w:t>
            </w:r>
            <w:r w:rsidR="00B23DCE" w:rsidRPr="003C2B41">
              <w:rPr>
                <w:i/>
                <w:iCs/>
                <w:lang w:val="en-GB" w:eastAsia="fr-FR"/>
              </w:rPr>
              <w:t>gou</w:t>
            </w:r>
            <w:r w:rsidR="003C2B41" w:rsidRPr="003C2B41">
              <w:rPr>
                <w:i/>
                <w:iCs/>
                <w:lang w:val="en-GB" w:eastAsia="fr-FR"/>
              </w:rPr>
              <w:t>v”</w:t>
            </w:r>
            <w:r w:rsidRPr="003C2B41">
              <w:rPr>
                <w:lang w:val="en-GB" w:eastAsia="fr-FR"/>
              </w:rPr>
              <w:t xml:space="preserve"> websites and certain government bodies such as </w:t>
            </w:r>
            <w:r w:rsidR="00064021">
              <w:rPr>
                <w:lang w:val="en-GB" w:eastAsia="fr-FR"/>
              </w:rPr>
              <w:t>“</w:t>
            </w:r>
            <w:r w:rsidRPr="00064021">
              <w:rPr>
                <w:lang w:val="en-GB" w:eastAsia="fr-FR"/>
              </w:rPr>
              <w:t>Pôle Emploi</w:t>
            </w:r>
            <w:r w:rsidR="00064021">
              <w:rPr>
                <w:lang w:val="en-GB" w:eastAsia="fr-FR"/>
              </w:rPr>
              <w:t>”</w:t>
            </w:r>
            <w:r w:rsidRPr="003C2B41">
              <w:rPr>
                <w:lang w:val="en-GB" w:eastAsia="fr-FR"/>
              </w:rPr>
              <w:t xml:space="preserve"> and the </w:t>
            </w:r>
            <w:r w:rsidR="00064021">
              <w:rPr>
                <w:lang w:val="en-GB" w:eastAsia="fr-FR"/>
              </w:rPr>
              <w:t>“</w:t>
            </w:r>
            <w:r w:rsidRPr="00064021">
              <w:rPr>
                <w:lang w:val="en-GB" w:eastAsia="fr-FR"/>
              </w:rPr>
              <w:t>CNSA</w:t>
            </w:r>
            <w:r w:rsidR="00064021">
              <w:rPr>
                <w:lang w:val="en-GB" w:eastAsia="fr-FR"/>
              </w:rPr>
              <w:t>”</w:t>
            </w:r>
            <w:r w:rsidR="00C56BA9">
              <w:rPr>
                <w:i/>
                <w:iCs/>
                <w:lang w:val="en-GB" w:eastAsia="fr-FR"/>
              </w:rPr>
              <w:t xml:space="preserve"> </w:t>
            </w:r>
            <w:r w:rsidR="00C56BA9" w:rsidRPr="00C56BA9">
              <w:rPr>
                <w:lang w:val="en-GB" w:eastAsia="fr-FR"/>
              </w:rPr>
              <w:t>(French</w:t>
            </w:r>
            <w:r w:rsidR="00C56BA9" w:rsidRPr="001F2368">
              <w:rPr>
                <w:lang w:val="en-GB" w:eastAsia="fr-FR"/>
              </w:rPr>
              <w:t xml:space="preserve"> </w:t>
            </w:r>
            <w:r w:rsidR="00C56BA9" w:rsidRPr="00C56BA9">
              <w:rPr>
                <w:lang w:val="en-GB" w:eastAsia="fr-FR"/>
              </w:rPr>
              <w:t xml:space="preserve">National Solidarity Fund for </w:t>
            </w:r>
            <w:r w:rsidR="00C56BA9">
              <w:rPr>
                <w:lang w:val="en-GB" w:eastAsia="fr-FR"/>
              </w:rPr>
              <w:t>Autonomy</w:t>
            </w:r>
            <w:r w:rsidR="00C56BA9" w:rsidRPr="00C56BA9">
              <w:rPr>
                <w:lang w:val="en-GB" w:eastAsia="fr-FR"/>
              </w:rPr>
              <w:t>)</w:t>
            </w:r>
            <w:r w:rsidRPr="00C56BA9">
              <w:rPr>
                <w:lang w:val="en-GB" w:eastAsia="fr-FR"/>
              </w:rPr>
              <w:t xml:space="preserve">. </w:t>
            </w:r>
            <w:r w:rsidRPr="003C2B41">
              <w:rPr>
                <w:lang w:val="en-GB" w:eastAsia="fr-FR"/>
              </w:rPr>
              <w:t xml:space="preserve">The standards of this </w:t>
            </w:r>
            <w:r w:rsidRPr="001F2368">
              <w:rPr>
                <w:lang w:val="en-GB" w:eastAsia="fr-FR"/>
              </w:rPr>
              <w:t xml:space="preserve">Design System </w:t>
            </w:r>
            <w:r w:rsidRPr="003C2B41">
              <w:rPr>
                <w:lang w:val="en-GB" w:eastAsia="fr-FR"/>
              </w:rPr>
              <w:t xml:space="preserve">incorporate accessibility by default into all its components (buttons, forms, navigation, etc.), thereby </w:t>
            </w:r>
            <w:r w:rsidR="00800C40" w:rsidRPr="003C2B41">
              <w:rPr>
                <w:lang w:val="en-GB" w:eastAsia="fr-FR"/>
              </w:rPr>
              <w:t xml:space="preserve">ensuring </w:t>
            </w:r>
            <w:r w:rsidRPr="003C2B41">
              <w:rPr>
                <w:lang w:val="en-GB" w:eastAsia="fr-FR"/>
              </w:rPr>
              <w:t>a high compliance score from the very start of development. It is, moreover, the most effective tool for standardising accessibility and rolling it out at scale.</w:t>
            </w:r>
          </w:p>
          <w:p w14:paraId="3266155E" w14:textId="77777777" w:rsidR="00C56DCA" w:rsidRPr="00F4758C" w:rsidRDefault="00C56DCA" w:rsidP="00C56DCA">
            <w:pPr>
              <w:pStyle w:val="Paragraphedeliste"/>
              <w:ind w:left="360"/>
              <w:rPr>
                <w:lang w:val="en-GB" w:eastAsia="fr-FR"/>
              </w:rPr>
            </w:pPr>
          </w:p>
          <w:p w14:paraId="5096689D" w14:textId="11583A63" w:rsidR="00D62C23" w:rsidRPr="00F4758C" w:rsidRDefault="00D62C23">
            <w:pPr>
              <w:pStyle w:val="Paragraphedeliste"/>
              <w:numPr>
                <w:ilvl w:val="0"/>
                <w:numId w:val="72"/>
              </w:numPr>
              <w:rPr>
                <w:lang w:val="en-GB" w:eastAsia="fr-FR"/>
              </w:rPr>
            </w:pPr>
            <w:r w:rsidRPr="00F4758C">
              <w:rPr>
                <w:b/>
                <w:bCs/>
                <w:lang w:val="en-GB" w:eastAsia="fr-FR"/>
              </w:rPr>
              <w:t>Ongoing evaluation by users with disabilities</w:t>
            </w:r>
            <w:r w:rsidRPr="00F4758C">
              <w:rPr>
                <w:lang w:val="en-GB" w:eastAsia="fr-FR"/>
              </w:rPr>
              <w:t xml:space="preserve">: from the earliest design phases and at every product iteration, people with disabilities are actively involved in evaluating the service. This approach is essential as it reveals usability issues that are not always detected by RGAA-based compliance audits. </w:t>
            </w:r>
            <w:r w:rsidRPr="00F4758C">
              <w:rPr>
                <w:b/>
                <w:bCs/>
                <w:lang w:val="en-GB" w:eastAsia="fr-FR"/>
              </w:rPr>
              <w:t xml:space="preserve">A website may be technically compliant, but still offer a cumbersome user experience </w:t>
            </w:r>
            <w:r w:rsidRPr="00F4758C">
              <w:rPr>
                <w:lang w:val="en-GB" w:eastAsia="fr-FR"/>
              </w:rPr>
              <w:t>(poorly accessible in terms of UX). It is also an essential requirement for working with suppliers trained in accessibility</w:t>
            </w:r>
            <w:r w:rsidR="00F755EB" w:rsidRPr="00F4758C">
              <w:rPr>
                <w:lang w:val="en-GB" w:eastAsia="fr-FR"/>
              </w:rPr>
              <w:t>.”</w:t>
            </w:r>
          </w:p>
          <w:p w14:paraId="57AC89FE" w14:textId="77777777" w:rsidR="00D62C23" w:rsidRPr="00F4758C" w:rsidRDefault="00D62C23" w:rsidP="00064C74">
            <w:pPr>
              <w:jc w:val="right"/>
              <w:rPr>
                <w:lang w:val="en-GB"/>
              </w:rPr>
            </w:pPr>
          </w:p>
          <w:p w14:paraId="62B78079" w14:textId="093B2EAC" w:rsidR="00F671A3" w:rsidRPr="00F4758C" w:rsidRDefault="00F671A3" w:rsidP="00F671A3">
            <w:pPr>
              <w:jc w:val="right"/>
              <w:rPr>
                <w:lang w:val="en-GB"/>
              </w:rPr>
            </w:pPr>
            <w:r w:rsidRPr="00F4758C">
              <w:rPr>
                <w:b/>
                <w:bCs/>
                <w:lang w:val="en-GB"/>
              </w:rPr>
              <w:t>Marie-Laure Bouthière</w:t>
            </w:r>
            <w:r w:rsidRPr="00F4758C">
              <w:rPr>
                <w:lang w:val="en-GB"/>
              </w:rPr>
              <w:t xml:space="preserve">, Programme Manager for the </w:t>
            </w:r>
            <w:r w:rsidR="00C56BA9">
              <w:rPr>
                <w:lang w:val="en-GB"/>
              </w:rPr>
              <w:t>“</w:t>
            </w:r>
            <w:r w:rsidRPr="00F4758C">
              <w:rPr>
                <w:lang w:val="en-GB"/>
              </w:rPr>
              <w:t xml:space="preserve">Handi &amp; </w:t>
            </w:r>
            <w:r w:rsidR="00426E81" w:rsidRPr="00F4758C">
              <w:rPr>
                <w:lang w:val="en-GB"/>
              </w:rPr>
              <w:t>Numérique</w:t>
            </w:r>
            <w:r w:rsidR="00C56BA9">
              <w:rPr>
                <w:lang w:val="en-GB"/>
              </w:rPr>
              <w:t>”</w:t>
            </w:r>
            <w:r w:rsidR="00426E81" w:rsidRPr="00F4758C">
              <w:rPr>
                <w:lang w:val="en-GB"/>
              </w:rPr>
              <w:t xml:space="preserve"> </w:t>
            </w:r>
            <w:r w:rsidRPr="00F4758C">
              <w:rPr>
                <w:lang w:val="en-GB"/>
              </w:rPr>
              <w:t>programme,</w:t>
            </w:r>
          </w:p>
          <w:p w14:paraId="34C89F2A" w14:textId="77777777" w:rsidR="00F671A3" w:rsidRPr="00F4758C" w:rsidRDefault="00F671A3" w:rsidP="00F671A3">
            <w:pPr>
              <w:jc w:val="right"/>
              <w:rPr>
                <w:lang w:val="en-GB"/>
              </w:rPr>
            </w:pPr>
            <w:r w:rsidRPr="00F4758C">
              <w:rPr>
                <w:lang w:val="en-GB"/>
              </w:rPr>
              <w:t xml:space="preserve"> </w:t>
            </w:r>
            <w:r w:rsidRPr="00F4758C">
              <w:rPr>
                <w:b/>
                <w:bCs/>
                <w:lang w:val="en-GB"/>
              </w:rPr>
              <w:t>Jean-Philippe Simonnet</w:t>
            </w:r>
            <w:r w:rsidRPr="00F4758C">
              <w:rPr>
                <w:lang w:val="en-GB"/>
              </w:rPr>
              <w:t xml:space="preserve">, Digital Hospitality Project Manager, </w:t>
            </w:r>
          </w:p>
          <w:p w14:paraId="0F8ED5BE" w14:textId="4B127C1D" w:rsidR="00F671A3" w:rsidRPr="00F4758C" w:rsidRDefault="00F671A3" w:rsidP="00F671A3">
            <w:pPr>
              <w:jc w:val="right"/>
              <w:rPr>
                <w:lang w:val="en-GB"/>
              </w:rPr>
            </w:pPr>
            <w:r w:rsidRPr="00F4758C">
              <w:rPr>
                <w:b/>
                <w:bCs/>
                <w:lang w:val="en-GB"/>
              </w:rPr>
              <w:t>Geoffrey Arthaud</w:t>
            </w:r>
            <w:r w:rsidRPr="00F4758C">
              <w:rPr>
                <w:lang w:val="en-GB"/>
              </w:rPr>
              <w:t>, Head of the Methods’ Group,</w:t>
            </w:r>
          </w:p>
          <w:p w14:paraId="75AA9870" w14:textId="77777777" w:rsidR="00F671A3" w:rsidRPr="00F4758C" w:rsidRDefault="00F671A3" w:rsidP="00F671A3">
            <w:pPr>
              <w:jc w:val="right"/>
              <w:rPr>
                <w:lang w:val="en-GB"/>
              </w:rPr>
            </w:pPr>
            <w:r w:rsidRPr="00F4758C">
              <w:rPr>
                <w:lang w:val="en-GB"/>
              </w:rPr>
              <w:t xml:space="preserve"> </w:t>
            </w:r>
            <w:r w:rsidRPr="00F4758C">
              <w:rPr>
                <w:b/>
                <w:bCs/>
                <w:lang w:val="en-GB"/>
              </w:rPr>
              <w:t>Laetitia Legrand</w:t>
            </w:r>
            <w:r w:rsidRPr="00F4758C">
              <w:rPr>
                <w:lang w:val="en-GB"/>
              </w:rPr>
              <w:t>, UX/UI Designer,</w:t>
            </w:r>
          </w:p>
          <w:p w14:paraId="5C4AC378" w14:textId="2CA6E64B" w:rsidR="00D62C23" w:rsidRPr="00F4758C" w:rsidRDefault="00F671A3" w:rsidP="00F671A3">
            <w:pPr>
              <w:jc w:val="right"/>
              <w:rPr>
                <w:b/>
                <w:bCs/>
                <w:lang w:val="en-GB"/>
              </w:rPr>
            </w:pPr>
            <w:r w:rsidRPr="00F4758C">
              <w:rPr>
                <w:b/>
                <w:bCs/>
                <w:lang w:val="en-GB"/>
              </w:rPr>
              <w:t>General Secretariat, Digital Directorate, Ministries for Ecological Transition, Regional Planning, Transport, Cities and Housing</w:t>
            </w:r>
          </w:p>
        </w:tc>
      </w:tr>
    </w:tbl>
    <w:p w14:paraId="528494F0" w14:textId="77777777" w:rsidR="009A5EA7" w:rsidRPr="00F4758C" w:rsidRDefault="009A5EA7" w:rsidP="00D62C23">
      <w:pPr>
        <w:rPr>
          <w:rFonts w:eastAsia="Times New Roman"/>
          <w:lang w:val="en-GB"/>
        </w:rPr>
      </w:pPr>
    </w:p>
    <w:p w14:paraId="1A40B604" w14:textId="5FBB02E7" w:rsidR="00D62C23" w:rsidRPr="00D62C23" w:rsidRDefault="00D62C23" w:rsidP="00D62C23">
      <w:pPr>
        <w:pStyle w:val="Titre3"/>
      </w:pPr>
      <w:bookmarkStart w:id="60" w:name="_Toc230077022"/>
      <w:r w:rsidRPr="00D62C23">
        <w:lastRenderedPageBreak/>
        <w:t>Integration by design</w:t>
      </w:r>
      <w:bookmarkEnd w:id="60"/>
    </w:p>
    <w:p w14:paraId="6DF15CFC" w14:textId="765C6523" w:rsidR="00D62C23" w:rsidRPr="00F4758C" w:rsidRDefault="00D62C23" w:rsidP="00D62C23">
      <w:pPr>
        <w:rPr>
          <w:rFonts w:eastAsia="Times New Roman"/>
          <w:lang w:val="en-GB"/>
        </w:rPr>
      </w:pPr>
      <w:r w:rsidRPr="00F4758C">
        <w:rPr>
          <w:rFonts w:eastAsia="Times New Roman"/>
          <w:lang w:val="en-GB"/>
        </w:rPr>
        <w:t xml:space="preserve">To ensure and </w:t>
      </w:r>
      <w:r w:rsidR="009F5E7E" w:rsidRPr="00F4758C">
        <w:rPr>
          <w:rFonts w:eastAsia="Times New Roman"/>
          <w:lang w:val="en-GB"/>
        </w:rPr>
        <w:t>maintain a</w:t>
      </w:r>
      <w:r w:rsidRPr="00F4758C">
        <w:rPr>
          <w:rFonts w:eastAsia="Times New Roman"/>
          <w:lang w:val="en-GB"/>
        </w:rPr>
        <w:t xml:space="preserve"> high level of compliance </w:t>
      </w:r>
      <w:r w:rsidR="009F5E7E" w:rsidRPr="00F4758C">
        <w:rPr>
          <w:rFonts w:eastAsia="Times New Roman"/>
          <w:lang w:val="en-GB"/>
        </w:rPr>
        <w:t xml:space="preserve">whilst reducing </w:t>
      </w:r>
      <w:r w:rsidRPr="00F4758C">
        <w:rPr>
          <w:rFonts w:eastAsia="Times New Roman"/>
          <w:lang w:val="en-GB"/>
        </w:rPr>
        <w:t xml:space="preserve">remediation costs, accessibility must be integrated right from the project scoping stage (or </w:t>
      </w:r>
      <w:r w:rsidRPr="00C56BA9">
        <w:rPr>
          <w:rFonts w:eastAsia="Times New Roman"/>
          <w:lang w:val="en-GB"/>
        </w:rPr>
        <w:t>by desig</w:t>
      </w:r>
      <w:r w:rsidR="00C56BA9" w:rsidRPr="00C56BA9">
        <w:rPr>
          <w:rFonts w:eastAsia="Times New Roman"/>
          <w:lang w:val="en-GB"/>
        </w:rPr>
        <w:t>n</w:t>
      </w:r>
      <w:r w:rsidRPr="00F4758C">
        <w:rPr>
          <w:rFonts w:eastAsia="Times New Roman"/>
          <w:lang w:val="en-GB"/>
        </w:rPr>
        <w:t>)</w:t>
      </w:r>
      <w:r w:rsidR="00CC1505" w:rsidRPr="00F4758C">
        <w:rPr>
          <w:rFonts w:eastAsia="Times New Roman"/>
          <w:lang w:val="en-GB"/>
        </w:rPr>
        <w:t xml:space="preserve">, </w:t>
      </w:r>
      <w:r w:rsidRPr="00F4758C">
        <w:rPr>
          <w:rFonts w:eastAsia="Times New Roman"/>
          <w:lang w:val="en-GB"/>
        </w:rPr>
        <w:t>rather than as an afterthought at the end of development. Under these conditions, the accessibility budget is no longer treated as an adjustment variable and includes</w:t>
      </w:r>
      <w:r w:rsidR="00CC1505" w:rsidRPr="00F4758C">
        <w:rPr>
          <w:rFonts w:eastAsia="Times New Roman"/>
          <w:lang w:val="en-GB"/>
        </w:rPr>
        <w:t xml:space="preserve">, </w:t>
      </w:r>
      <w:r w:rsidRPr="00F4758C">
        <w:rPr>
          <w:rFonts w:eastAsia="Times New Roman"/>
          <w:lang w:val="en-GB"/>
        </w:rPr>
        <w:t>within any digital project undertaken</w:t>
      </w:r>
      <w:r w:rsidR="00CC1505" w:rsidRPr="00F4758C">
        <w:rPr>
          <w:rFonts w:eastAsia="Times New Roman"/>
          <w:lang w:val="en-GB"/>
        </w:rPr>
        <w:t xml:space="preserve">, </w:t>
      </w:r>
      <w:r w:rsidRPr="00F4758C">
        <w:rPr>
          <w:rFonts w:eastAsia="Times New Roman"/>
          <w:lang w:val="en-GB"/>
        </w:rPr>
        <w:t>audits and man-days of support outside of development. According to one participating organisation, this represents no more than 15 days of expert involvement.</w:t>
      </w:r>
    </w:p>
    <w:p w14:paraId="5F89185F" w14:textId="24B687C8" w:rsidR="00D62C23" w:rsidRPr="00F4758C" w:rsidRDefault="00D62C23" w:rsidP="00D62C23">
      <w:pPr>
        <w:rPr>
          <w:rFonts w:eastAsia="Times New Roman"/>
          <w:lang w:val="en-GB"/>
        </w:rPr>
      </w:pPr>
      <w:r w:rsidRPr="00F4758C">
        <w:rPr>
          <w:rFonts w:eastAsia="Times New Roman"/>
          <w:lang w:val="en-GB"/>
        </w:rPr>
        <w:t xml:space="preserve">From the very start of a project, it is crucial to engage a </w:t>
      </w:r>
      <w:r w:rsidR="00F91F85" w:rsidRPr="00F4758C">
        <w:rPr>
          <w:rFonts w:eastAsia="Times New Roman"/>
          <w:lang w:val="en-GB"/>
        </w:rPr>
        <w:t>digital accessibility</w:t>
      </w:r>
      <w:r w:rsidRPr="00F4758C">
        <w:rPr>
          <w:rFonts w:eastAsia="Times New Roman"/>
          <w:lang w:val="en-GB"/>
        </w:rPr>
        <w:t xml:space="preserve"> lead or appoint an ad hoc lead. Their role will be to support the teams (UX/UI, project owners, developers) at every stage of the project (design, development, testing, deployment)</w:t>
      </w:r>
      <w:r w:rsidR="00F91F85" w:rsidRPr="00F4758C">
        <w:rPr>
          <w:rFonts w:eastAsia="Times New Roman"/>
          <w:lang w:val="en-GB"/>
        </w:rPr>
        <w:t xml:space="preserve">. </w:t>
      </w:r>
    </w:p>
    <w:p w14:paraId="64FF4780" w14:textId="41906A7E" w:rsidR="00D62C23" w:rsidRPr="00F4758C" w:rsidRDefault="00D62C23" w:rsidP="00D62C23">
      <w:pPr>
        <w:rPr>
          <w:rFonts w:eastAsia="Times New Roman"/>
          <w:lang w:val="en-GB"/>
        </w:rPr>
      </w:pPr>
      <w:r w:rsidRPr="00F4758C">
        <w:rPr>
          <w:rFonts w:eastAsia="Times New Roman"/>
          <w:lang w:val="en-GB"/>
        </w:rPr>
        <w:t xml:space="preserve">On the one hand, sharing best practices and appropriate tools will enable </w:t>
      </w:r>
      <w:r w:rsidR="00F91F85" w:rsidRPr="00F4758C">
        <w:rPr>
          <w:rFonts w:eastAsia="Times New Roman"/>
          <w:lang w:val="en-GB"/>
        </w:rPr>
        <w:t>digital</w:t>
      </w:r>
      <w:r w:rsidR="00CC1505" w:rsidRPr="00F4758C">
        <w:rPr>
          <w:rFonts w:eastAsia="Times New Roman"/>
          <w:lang w:val="en-GB"/>
        </w:rPr>
        <w:t xml:space="preserve"> accessibility</w:t>
      </w:r>
      <w:r w:rsidRPr="00F4758C">
        <w:rPr>
          <w:rFonts w:eastAsia="Times New Roman"/>
          <w:lang w:val="en-GB"/>
        </w:rPr>
        <w:t xml:space="preserve"> to be integrated </w:t>
      </w:r>
      <w:r w:rsidR="00CC1505" w:rsidRPr="00F4758C">
        <w:rPr>
          <w:rFonts w:eastAsia="Times New Roman"/>
          <w:lang w:val="en-GB"/>
        </w:rPr>
        <w:t>as</w:t>
      </w:r>
      <w:r w:rsidRPr="00F4758C">
        <w:rPr>
          <w:rFonts w:eastAsia="Times New Roman"/>
          <w:lang w:val="en-GB"/>
        </w:rPr>
        <w:t xml:space="preserve"> effectively </w:t>
      </w:r>
      <w:r w:rsidR="00CC1505" w:rsidRPr="00F4758C">
        <w:rPr>
          <w:rFonts w:eastAsia="Times New Roman"/>
          <w:lang w:val="en-GB"/>
        </w:rPr>
        <w:t>and systematically as possible</w:t>
      </w:r>
      <w:r w:rsidRPr="00F4758C">
        <w:rPr>
          <w:rFonts w:eastAsia="Times New Roman"/>
          <w:lang w:val="en-GB"/>
        </w:rPr>
        <w:t xml:space="preserve">. On the other hand, the use of clearly defined indicators will </w:t>
      </w:r>
      <w:r w:rsidR="00CC1505" w:rsidRPr="00F4758C">
        <w:rPr>
          <w:rFonts w:eastAsia="Times New Roman"/>
          <w:lang w:val="en-GB"/>
        </w:rPr>
        <w:t xml:space="preserve">enable it to be rolled out </w:t>
      </w:r>
      <w:r w:rsidRPr="00F4758C">
        <w:rPr>
          <w:rFonts w:eastAsia="Times New Roman"/>
          <w:lang w:val="en-GB"/>
        </w:rPr>
        <w:t>on an industrial scale, facilitating scaling up.</w:t>
      </w:r>
    </w:p>
    <w:p w14:paraId="67A7C3E0" w14:textId="12D3C4F1" w:rsidR="00B5346E" w:rsidRPr="00F4758C" w:rsidRDefault="002F6E9E" w:rsidP="002F6E9E">
      <w:pPr>
        <w:rPr>
          <w:rFonts w:eastAsia="Times New Roman"/>
          <w:lang w:val="en-GB"/>
        </w:rPr>
      </w:pPr>
      <w:r w:rsidRPr="00F4758C">
        <w:rPr>
          <w:rFonts w:eastAsia="Times New Roman"/>
          <w:lang w:val="en-GB"/>
        </w:rPr>
        <w:t>Integrating accessibility at an early stage helps to avoid bottlenecks later on. If every role (designer, developer, copywriter) knows their part, accessibility is no longer the responsibility of a single expert at the end of the process</w:t>
      </w:r>
      <w:r w:rsidR="00624E7E" w:rsidRPr="00F4758C">
        <w:rPr>
          <w:rFonts w:eastAsia="Times New Roman"/>
          <w:lang w:val="en-GB"/>
        </w:rPr>
        <w:t xml:space="preserve">, and we can </w:t>
      </w:r>
      <w:r w:rsidRPr="00F4758C">
        <w:rPr>
          <w:rFonts w:eastAsia="Times New Roman"/>
          <w:lang w:val="en-GB"/>
        </w:rPr>
        <w:t xml:space="preserve">thus prevent </w:t>
      </w:r>
      <w:r w:rsidR="00624E7E" w:rsidRPr="00F4758C">
        <w:rPr>
          <w:rFonts w:eastAsia="Times New Roman"/>
          <w:lang w:val="en-GB"/>
        </w:rPr>
        <w:t xml:space="preserve">a last-minute audit from revealing critical issues and </w:t>
      </w:r>
      <w:r w:rsidRPr="00F4758C">
        <w:rPr>
          <w:rFonts w:eastAsia="Times New Roman"/>
          <w:lang w:val="en-GB"/>
        </w:rPr>
        <w:t>delaying the go-live.</w:t>
      </w:r>
    </w:p>
    <w:p w14:paraId="20108C92" w14:textId="004C58DD" w:rsidR="00D62C23" w:rsidRPr="00F91F85" w:rsidRDefault="00D62C23" w:rsidP="00D62C23">
      <w:pPr>
        <w:pStyle w:val="Titre3"/>
        <w:rPr>
          <w:lang w:val="fr-FR"/>
        </w:rPr>
      </w:pPr>
      <w:bookmarkStart w:id="61" w:name="_Toc230077023"/>
      <w:r w:rsidRPr="00F91F85">
        <w:rPr>
          <w:lang w:val="fr-FR"/>
        </w:rPr>
        <w:t>Long-term management and monitoring</w:t>
      </w:r>
      <w:bookmarkEnd w:id="61"/>
      <w:r w:rsidRPr="00F91F85">
        <w:rPr>
          <w:lang w:val="fr-FR"/>
        </w:rPr>
        <w:t xml:space="preserve"> </w:t>
      </w:r>
    </w:p>
    <w:p w14:paraId="37487FCD" w14:textId="3B6C07D6" w:rsidR="00800C40" w:rsidRPr="00F4758C" w:rsidRDefault="00D62C23" w:rsidP="00D62C23">
      <w:pPr>
        <w:rPr>
          <w:rFonts w:eastAsia="Times New Roman"/>
          <w:lang w:val="en-GB"/>
        </w:rPr>
      </w:pPr>
      <w:r w:rsidRPr="00F4758C">
        <w:rPr>
          <w:rFonts w:eastAsia="Times New Roman"/>
          <w:lang w:val="en-GB"/>
        </w:rPr>
        <w:t>Throughout the lifecycle of a service, accessibility requirements must be integrated directly into the functional and technical specifications of the products or services being developed</w:t>
      </w:r>
      <w:r w:rsidR="00800C40" w:rsidRPr="00F4758C">
        <w:rPr>
          <w:rFonts w:eastAsia="Times New Roman"/>
          <w:lang w:val="en-GB"/>
        </w:rPr>
        <w:t xml:space="preserve">, </w:t>
      </w:r>
      <w:r w:rsidR="006D62C7" w:rsidRPr="00F4758C">
        <w:rPr>
          <w:rFonts w:eastAsia="Times New Roman"/>
          <w:lang w:val="en-GB"/>
        </w:rPr>
        <w:t>as and when required</w:t>
      </w:r>
      <w:r w:rsidRPr="00F4758C">
        <w:rPr>
          <w:rFonts w:eastAsia="Times New Roman"/>
          <w:lang w:val="en-GB"/>
        </w:rPr>
        <w:t xml:space="preserve">. For example, for a contact form, the specifications must specify the inclusion of labels clearly associated with the fields, explicit error messages and smooth keyboard navigation.  </w:t>
      </w:r>
    </w:p>
    <w:p w14:paraId="77BF12A6" w14:textId="50B25BB4" w:rsidR="00D62C23" w:rsidRPr="00F4758C" w:rsidRDefault="00C56DCA" w:rsidP="00D62C23">
      <w:pPr>
        <w:rPr>
          <w:rFonts w:eastAsia="Times New Roman"/>
          <w:lang w:val="en-GB"/>
        </w:rPr>
      </w:pPr>
      <w:r w:rsidRPr="00F4758C">
        <w:rPr>
          <w:rFonts w:eastAsia="Times New Roman"/>
          <w:lang w:val="en-GB"/>
        </w:rPr>
        <w:t xml:space="preserve">During </w:t>
      </w:r>
      <w:r w:rsidR="00D62C23" w:rsidRPr="00F4758C">
        <w:rPr>
          <w:rFonts w:eastAsia="Times New Roman"/>
          <w:lang w:val="en-GB"/>
        </w:rPr>
        <w:t xml:space="preserve">development, and more specifically </w:t>
      </w:r>
      <w:r w:rsidRPr="00F4758C">
        <w:rPr>
          <w:rFonts w:eastAsia="Times New Roman"/>
          <w:lang w:val="en-GB"/>
        </w:rPr>
        <w:t xml:space="preserve">during </w:t>
      </w:r>
      <w:r w:rsidR="00D62C23" w:rsidRPr="00F4758C">
        <w:rPr>
          <w:rFonts w:eastAsia="Times New Roman"/>
          <w:lang w:val="en-GB"/>
        </w:rPr>
        <w:t>interface</w:t>
      </w:r>
      <w:r w:rsidRPr="00F4758C">
        <w:rPr>
          <w:rFonts w:eastAsia="Times New Roman"/>
          <w:lang w:val="en-GB"/>
        </w:rPr>
        <w:t xml:space="preserve"> design</w:t>
      </w:r>
      <w:r w:rsidR="00D62C23" w:rsidRPr="00F4758C">
        <w:rPr>
          <w:rFonts w:eastAsia="Times New Roman"/>
          <w:lang w:val="en-GB"/>
        </w:rPr>
        <w:t xml:space="preserve">, </w:t>
      </w:r>
      <w:r w:rsidRPr="00F4758C">
        <w:rPr>
          <w:rFonts w:eastAsia="Times New Roman"/>
          <w:lang w:val="en-GB"/>
        </w:rPr>
        <w:t xml:space="preserve">certain criteria – such as colour </w:t>
      </w:r>
      <w:r w:rsidR="00D62C23" w:rsidRPr="00F4758C">
        <w:rPr>
          <w:rFonts w:eastAsia="Times New Roman"/>
          <w:lang w:val="en-GB"/>
        </w:rPr>
        <w:t xml:space="preserve">contrast </w:t>
      </w:r>
      <w:r w:rsidRPr="00F4758C">
        <w:rPr>
          <w:rFonts w:eastAsia="Times New Roman"/>
          <w:lang w:val="en-GB"/>
        </w:rPr>
        <w:t xml:space="preserve">or the inclusion of a </w:t>
      </w:r>
      <w:r w:rsidR="00D62C23" w:rsidRPr="00F4758C">
        <w:rPr>
          <w:rFonts w:eastAsia="Times New Roman"/>
          <w:lang w:val="en-GB"/>
        </w:rPr>
        <w:t xml:space="preserve">simple user flow </w:t>
      </w:r>
      <w:r w:rsidRPr="00F4758C">
        <w:rPr>
          <w:rFonts w:eastAsia="Times New Roman"/>
          <w:lang w:val="en-GB"/>
        </w:rPr>
        <w:t xml:space="preserve">– must take </w:t>
      </w:r>
      <w:r w:rsidR="00D62C23" w:rsidRPr="00F4758C">
        <w:rPr>
          <w:rFonts w:eastAsia="Times New Roman"/>
          <w:lang w:val="en-GB"/>
        </w:rPr>
        <w:t>interoperability</w:t>
      </w:r>
      <w:r w:rsidRPr="00F4758C">
        <w:rPr>
          <w:rFonts w:eastAsia="Times New Roman"/>
          <w:lang w:val="en-GB"/>
        </w:rPr>
        <w:t xml:space="preserve"> into account </w:t>
      </w:r>
      <w:r w:rsidR="006D62C7" w:rsidRPr="00F4758C">
        <w:rPr>
          <w:rFonts w:eastAsia="Times New Roman"/>
          <w:lang w:val="en-GB"/>
        </w:rPr>
        <w:t xml:space="preserve">to enable </w:t>
      </w:r>
      <w:r w:rsidR="00D62C23" w:rsidRPr="00F4758C">
        <w:rPr>
          <w:rFonts w:eastAsia="Times New Roman"/>
          <w:lang w:val="en-GB"/>
        </w:rPr>
        <w:t xml:space="preserve">users to navigate effectively </w:t>
      </w:r>
      <w:r w:rsidR="00633837" w:rsidRPr="00F4758C">
        <w:rPr>
          <w:rFonts w:eastAsia="Times New Roman"/>
          <w:lang w:val="en-GB"/>
        </w:rPr>
        <w:t xml:space="preserve">between </w:t>
      </w:r>
      <w:r w:rsidR="006D62C7" w:rsidRPr="00F4758C">
        <w:rPr>
          <w:rFonts w:eastAsia="Times New Roman"/>
          <w:lang w:val="en-GB"/>
        </w:rPr>
        <w:t xml:space="preserve">different </w:t>
      </w:r>
      <w:r w:rsidR="00D62C23" w:rsidRPr="00F4758C">
        <w:rPr>
          <w:rFonts w:eastAsia="Times New Roman"/>
          <w:lang w:val="en-GB"/>
        </w:rPr>
        <w:t>assistive technologies (screen readers, magnification software, etc.).</w:t>
      </w:r>
    </w:p>
    <w:p w14:paraId="46ECB461" w14:textId="0DCEA81A" w:rsidR="00F9394E" w:rsidRPr="00F4758C" w:rsidRDefault="00F9394E" w:rsidP="00D62C23">
      <w:pPr>
        <w:rPr>
          <w:lang w:val="en-GB"/>
        </w:rPr>
      </w:pPr>
      <w:r w:rsidRPr="00F4758C">
        <w:rPr>
          <w:rFonts w:eastAsia="Times New Roman"/>
          <w:lang w:val="en-GB"/>
        </w:rPr>
        <w:t xml:space="preserve">It is worth noting here that accessibility benefits all users, far beyond those with disabilities alone. For example, an interface designed to be compatible with screen readers requires clarity and a clear hierarchy of information, which makes navigation smoother and more intuitive for everyone. This approach therefore also enhances the user experience in many so-called </w:t>
      </w:r>
      <w:r w:rsidR="00C56BA9">
        <w:rPr>
          <w:rFonts w:eastAsia="Times New Roman"/>
          <w:lang w:val="en-GB"/>
        </w:rPr>
        <w:t>“</w:t>
      </w:r>
      <w:r w:rsidR="00633837" w:rsidRPr="00F4758C">
        <w:rPr>
          <w:rFonts w:eastAsia="Times New Roman"/>
          <w:lang w:val="en-GB"/>
        </w:rPr>
        <w:t>situational</w:t>
      </w:r>
      <w:r w:rsidR="00C56BA9">
        <w:rPr>
          <w:rFonts w:eastAsia="Times New Roman"/>
          <w:lang w:val="en-GB"/>
        </w:rPr>
        <w:t>”</w:t>
      </w:r>
      <w:r w:rsidRPr="00F4758C">
        <w:rPr>
          <w:rFonts w:eastAsia="Times New Roman"/>
          <w:lang w:val="en-GB"/>
        </w:rPr>
        <w:t xml:space="preserve"> disability contexts, such as using a device in direct sunlight, in a noisy environment or when experiencing visual fatigue.</w:t>
      </w:r>
    </w:p>
    <w:p w14:paraId="5843F0FE" w14:textId="01266757" w:rsidR="00D62C23" w:rsidRPr="00F4758C" w:rsidRDefault="00D62C23" w:rsidP="00D62C23">
      <w:pPr>
        <w:rPr>
          <w:rFonts w:eastAsia="Times New Roman"/>
          <w:lang w:val="en-GB"/>
        </w:rPr>
      </w:pPr>
      <w:r w:rsidRPr="00F4758C">
        <w:rPr>
          <w:rFonts w:eastAsia="Times New Roman"/>
          <w:lang w:val="en-GB"/>
        </w:rPr>
        <w:t xml:space="preserve">Once the design phase has been approved, accessibility requirements must be verified, or even </w:t>
      </w:r>
      <w:r w:rsidR="006D62C7" w:rsidRPr="00F4758C">
        <w:rPr>
          <w:rFonts w:eastAsia="Times New Roman"/>
          <w:lang w:val="en-GB"/>
        </w:rPr>
        <w:t xml:space="preserve">audited, </w:t>
      </w:r>
      <w:r w:rsidRPr="00F4758C">
        <w:rPr>
          <w:rFonts w:eastAsia="Times New Roman"/>
          <w:lang w:val="en-GB"/>
        </w:rPr>
        <w:t>throughout the development process:</w:t>
      </w:r>
    </w:p>
    <w:p w14:paraId="23D4E5E8" w14:textId="75F18726" w:rsidR="00D62C23" w:rsidRPr="00F4758C" w:rsidRDefault="00D62C23">
      <w:pPr>
        <w:numPr>
          <w:ilvl w:val="0"/>
          <w:numId w:val="27"/>
        </w:numPr>
        <w:rPr>
          <w:rFonts w:eastAsia="Times New Roman"/>
          <w:b/>
          <w:bCs/>
          <w:lang w:val="en-GB"/>
        </w:rPr>
      </w:pPr>
      <w:r w:rsidRPr="00F4758C">
        <w:rPr>
          <w:rFonts w:eastAsia="Times New Roman"/>
          <w:b/>
          <w:bCs/>
          <w:lang w:val="en-GB"/>
        </w:rPr>
        <w:t>Pre-audits and audits</w:t>
      </w:r>
      <w:r w:rsidRPr="00F4758C">
        <w:rPr>
          <w:rFonts w:eastAsia="Times New Roman"/>
          <w:lang w:val="en-GB"/>
        </w:rPr>
        <w:t xml:space="preserve">: </w:t>
      </w:r>
      <w:r w:rsidR="0094688E" w:rsidRPr="00F4758C">
        <w:rPr>
          <w:rFonts w:eastAsia="Times New Roman"/>
          <w:lang w:val="en-GB"/>
        </w:rPr>
        <w:t xml:space="preserve">from the start of the project phase, and </w:t>
      </w:r>
      <w:r w:rsidRPr="00F4758C">
        <w:rPr>
          <w:rFonts w:eastAsia="Times New Roman"/>
          <w:lang w:val="en-GB"/>
        </w:rPr>
        <w:t xml:space="preserve">in order to integrate </w:t>
      </w:r>
      <w:r w:rsidR="00D37CCB" w:rsidRPr="00F4758C">
        <w:rPr>
          <w:rFonts w:eastAsia="Times New Roman"/>
          <w:lang w:val="en-GB"/>
        </w:rPr>
        <w:t>digital accessibility</w:t>
      </w:r>
      <w:r w:rsidRPr="00F4758C">
        <w:rPr>
          <w:rFonts w:eastAsia="Times New Roman"/>
          <w:lang w:val="en-GB"/>
        </w:rPr>
        <w:t xml:space="preserve"> as effectively as possible</w:t>
      </w:r>
      <w:r w:rsidR="0094688E" w:rsidRPr="00F4758C">
        <w:rPr>
          <w:rFonts w:eastAsia="Times New Roman"/>
          <w:lang w:val="en-GB"/>
        </w:rPr>
        <w:t xml:space="preserve">, </w:t>
      </w:r>
      <w:r w:rsidRPr="00F4758C">
        <w:rPr>
          <w:rFonts w:eastAsia="Times New Roman"/>
          <w:lang w:val="en-GB"/>
        </w:rPr>
        <w:t>pre-audits should be carried out at an early stage to avoid additional costs</w:t>
      </w:r>
      <w:r w:rsidR="0094688E" w:rsidRPr="00F4758C">
        <w:rPr>
          <w:rFonts w:eastAsia="Times New Roman"/>
          <w:lang w:val="en-GB"/>
        </w:rPr>
        <w:t xml:space="preserve">, </w:t>
      </w:r>
      <w:r w:rsidR="00C328FA" w:rsidRPr="00F4758C">
        <w:rPr>
          <w:rFonts w:eastAsia="Times New Roman"/>
          <w:lang w:val="en-GB"/>
        </w:rPr>
        <w:t xml:space="preserve">followed </w:t>
      </w:r>
      <w:r w:rsidR="00CC3540" w:rsidRPr="00F4758C">
        <w:rPr>
          <w:rFonts w:eastAsia="Times New Roman"/>
          <w:lang w:val="en-GB"/>
        </w:rPr>
        <w:t>by</w:t>
      </w:r>
      <w:r w:rsidRPr="00F4758C">
        <w:rPr>
          <w:rFonts w:eastAsia="Times New Roman"/>
          <w:lang w:val="en-GB"/>
        </w:rPr>
        <w:t xml:space="preserve"> final audits to validate the </w:t>
      </w:r>
      <w:r w:rsidR="00633837" w:rsidRPr="00F4758C">
        <w:rPr>
          <w:rFonts w:eastAsia="Times New Roman"/>
          <w:lang w:val="en-GB"/>
        </w:rPr>
        <w:t xml:space="preserve">project’s </w:t>
      </w:r>
      <w:r w:rsidRPr="00F4758C">
        <w:rPr>
          <w:rFonts w:eastAsia="Times New Roman"/>
          <w:lang w:val="en-GB"/>
        </w:rPr>
        <w:t xml:space="preserve">compliance. </w:t>
      </w:r>
      <w:r w:rsidR="002F6E9E" w:rsidRPr="00F4758C">
        <w:rPr>
          <w:rFonts w:eastAsia="Times New Roman"/>
          <w:lang w:val="en-GB"/>
        </w:rPr>
        <w:t xml:space="preserve">It is </w:t>
      </w:r>
      <w:r w:rsidR="002F6E9E" w:rsidRPr="00F4758C">
        <w:rPr>
          <w:rFonts w:eastAsia="Times New Roman"/>
          <w:lang w:val="en-GB"/>
        </w:rPr>
        <w:lastRenderedPageBreak/>
        <w:t xml:space="preserve">possible to use specialist agencies, but it is also </w:t>
      </w:r>
      <w:r w:rsidR="00C328FA" w:rsidRPr="00F4758C">
        <w:rPr>
          <w:rFonts w:eastAsia="Times New Roman"/>
          <w:lang w:val="en-GB"/>
        </w:rPr>
        <w:t xml:space="preserve">an option </w:t>
      </w:r>
      <w:r w:rsidR="002F6E9E" w:rsidRPr="00F4758C">
        <w:rPr>
          <w:rFonts w:eastAsia="Times New Roman"/>
          <w:lang w:val="en-GB"/>
        </w:rPr>
        <w:t>to train a member of staff to carry out these audits, in order to reduce costs and build in-house expertise.</w:t>
      </w:r>
    </w:p>
    <w:p w14:paraId="3984CD06" w14:textId="72482E79" w:rsidR="00D62C23" w:rsidRPr="00F4758C" w:rsidRDefault="00D62C23">
      <w:pPr>
        <w:numPr>
          <w:ilvl w:val="0"/>
          <w:numId w:val="27"/>
        </w:numPr>
        <w:rPr>
          <w:rFonts w:eastAsia="Times New Roman"/>
          <w:b/>
          <w:bCs/>
          <w:lang w:val="en-GB"/>
        </w:rPr>
      </w:pPr>
      <w:r w:rsidRPr="00F4758C">
        <w:rPr>
          <w:rFonts w:eastAsia="Times New Roman"/>
          <w:b/>
          <w:bCs/>
          <w:lang w:val="en-GB"/>
        </w:rPr>
        <w:t xml:space="preserve">Integration into </w:t>
      </w:r>
      <w:r w:rsidR="00633837" w:rsidRPr="00F4758C">
        <w:rPr>
          <w:rFonts w:eastAsia="Times New Roman"/>
          <w:b/>
          <w:bCs/>
          <w:lang w:val="en-GB"/>
        </w:rPr>
        <w:t>testing</w:t>
      </w:r>
      <w:r w:rsidRPr="00F4758C">
        <w:rPr>
          <w:rFonts w:eastAsia="Times New Roman"/>
          <w:b/>
          <w:bCs/>
          <w:lang w:val="en-GB"/>
        </w:rPr>
        <w:t xml:space="preserve"> processes</w:t>
      </w:r>
      <w:r w:rsidRPr="00F4758C">
        <w:rPr>
          <w:rFonts w:eastAsia="Times New Roman"/>
          <w:lang w:val="en-GB"/>
        </w:rPr>
        <w:t xml:space="preserve">: accessibility testing must form an integral part of the acceptance testing plan. </w:t>
      </w:r>
      <w:r w:rsidR="00633837" w:rsidRPr="00F4758C">
        <w:rPr>
          <w:rFonts w:eastAsia="Times New Roman"/>
          <w:lang w:val="en-GB"/>
        </w:rPr>
        <w:t xml:space="preserve">In particular, </w:t>
      </w:r>
      <w:r w:rsidRPr="00F4758C">
        <w:rPr>
          <w:rFonts w:eastAsia="Times New Roman"/>
          <w:lang w:val="en-GB"/>
        </w:rPr>
        <w:t xml:space="preserve">tests can be </w:t>
      </w:r>
      <w:r w:rsidR="00D37CCB" w:rsidRPr="00F4758C">
        <w:rPr>
          <w:rFonts w:eastAsia="Times New Roman"/>
          <w:lang w:val="en-GB"/>
        </w:rPr>
        <w:t xml:space="preserve">automated within </w:t>
      </w:r>
      <w:r w:rsidRPr="00F4758C">
        <w:rPr>
          <w:rFonts w:eastAsia="Times New Roman"/>
          <w:lang w:val="en-GB"/>
        </w:rPr>
        <w:t>the continuous integration/continuous deployment (CI/CD</w:t>
      </w:r>
      <w:r w:rsidR="00C56DCA">
        <w:rPr>
          <w:rStyle w:val="Appelnotedebasdep"/>
          <w:rFonts w:eastAsia="Times New Roman"/>
        </w:rPr>
        <w:footnoteReference w:id="28"/>
      </w:r>
      <w:r w:rsidRPr="00F4758C">
        <w:rPr>
          <w:rFonts w:eastAsia="Times New Roman"/>
          <w:lang w:val="en-GB"/>
        </w:rPr>
        <w:t xml:space="preserve"> ) pipeline to detect accessibility regressions as soon as new features are deployed.</w:t>
      </w:r>
    </w:p>
    <w:p w14:paraId="36BA2D8E" w14:textId="3A8512EC" w:rsidR="00D62C23" w:rsidRPr="00F4758C" w:rsidRDefault="00D62C23">
      <w:pPr>
        <w:numPr>
          <w:ilvl w:val="0"/>
          <w:numId w:val="27"/>
        </w:numPr>
        <w:rPr>
          <w:rFonts w:eastAsia="Times New Roman"/>
          <w:b/>
          <w:bCs/>
          <w:lang w:val="en-GB"/>
        </w:rPr>
      </w:pPr>
      <w:r w:rsidRPr="00F4758C">
        <w:rPr>
          <w:rFonts w:eastAsia="Times New Roman"/>
          <w:b/>
          <w:bCs/>
          <w:lang w:val="en-GB"/>
        </w:rPr>
        <w:t>Use of external expertise</w:t>
      </w:r>
      <w:r w:rsidRPr="00F4758C">
        <w:rPr>
          <w:rFonts w:eastAsia="Times New Roman"/>
          <w:lang w:val="en-GB"/>
        </w:rPr>
        <w:t xml:space="preserve">: for final and official validation, it is </w:t>
      </w:r>
      <w:r w:rsidR="002F6E9E" w:rsidRPr="00F4758C">
        <w:rPr>
          <w:rFonts w:eastAsia="Times New Roman"/>
          <w:lang w:val="en-GB"/>
        </w:rPr>
        <w:t xml:space="preserve">also possible </w:t>
      </w:r>
      <w:r w:rsidRPr="00F4758C">
        <w:rPr>
          <w:rFonts w:eastAsia="Times New Roman"/>
          <w:lang w:val="en-GB"/>
        </w:rPr>
        <w:t>to engage agencies specialising in accessibility. These experts carry out comprehensive audits in accordance with current standards.</w:t>
      </w:r>
    </w:p>
    <w:p w14:paraId="555AAF1E" w14:textId="2D51BAAD" w:rsidR="001E440D" w:rsidRPr="00F4758C" w:rsidRDefault="00D62C23">
      <w:pPr>
        <w:numPr>
          <w:ilvl w:val="0"/>
          <w:numId w:val="27"/>
        </w:numPr>
        <w:rPr>
          <w:rFonts w:eastAsia="Times New Roman"/>
          <w:b/>
          <w:bCs/>
          <w:lang w:val="en-GB"/>
        </w:rPr>
      </w:pPr>
      <w:r w:rsidRPr="00F4758C">
        <w:rPr>
          <w:rFonts w:eastAsia="Times New Roman"/>
          <w:b/>
          <w:bCs/>
          <w:lang w:val="en-GB"/>
        </w:rPr>
        <w:t>Testing with end users</w:t>
      </w:r>
      <w:r w:rsidRPr="00F4758C">
        <w:rPr>
          <w:rFonts w:eastAsia="Times New Roman"/>
          <w:lang w:val="en-GB"/>
        </w:rPr>
        <w:t xml:space="preserve">: the most effective approach to validating the user experience remains testing with people with disabilities. These tests reveal usability issues that may be missed by technical audits and enable the design of interfaces to be validated in a practical and inclusive manner. The management of user reports should also provide an opportunity </w:t>
      </w:r>
      <w:r w:rsidR="00710FC2" w:rsidRPr="00F4758C">
        <w:rPr>
          <w:rFonts w:eastAsia="Times New Roman"/>
          <w:lang w:val="en-GB"/>
        </w:rPr>
        <w:t xml:space="preserve">to prioritise fixes for critical </w:t>
      </w:r>
      <w:r w:rsidR="00CA46A4" w:rsidRPr="00F4758C">
        <w:rPr>
          <w:rFonts w:eastAsia="Times New Roman"/>
          <w:lang w:val="en-GB"/>
        </w:rPr>
        <w:t xml:space="preserve">non-conformities </w:t>
      </w:r>
      <w:r w:rsidR="00710FC2" w:rsidRPr="00F4758C">
        <w:rPr>
          <w:rFonts w:eastAsia="Times New Roman"/>
          <w:lang w:val="en-GB"/>
        </w:rPr>
        <w:t xml:space="preserve">and </w:t>
      </w:r>
      <w:r w:rsidRPr="00F4758C">
        <w:rPr>
          <w:rFonts w:eastAsia="Times New Roman"/>
          <w:lang w:val="en-GB"/>
        </w:rPr>
        <w:t xml:space="preserve">for a follow-up audit to be carried out by accessibility leads, with the accessibility statement updated accordingly. </w:t>
      </w:r>
    </w:p>
    <w:p w14:paraId="14970E50" w14:textId="77777777" w:rsidR="0024012F" w:rsidRPr="00F4758C" w:rsidRDefault="0024012F" w:rsidP="0024012F">
      <w:pPr>
        <w:jc w:val="center"/>
        <w:rPr>
          <w:rFonts w:eastAsia="Times New Roman"/>
          <w:b/>
          <w:bCs/>
          <w:lang w:val="en-GB"/>
        </w:rPr>
      </w:pP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24012F" w:rsidRPr="004B4BDE" w14:paraId="4637A47C" w14:textId="77777777" w:rsidTr="009C4CC3">
        <w:trPr>
          <w:jc w:val="center"/>
        </w:trPr>
        <w:tc>
          <w:tcPr>
            <w:tcW w:w="9047" w:type="dxa"/>
            <w:tcBorders>
              <w:left w:val="single" w:sz="18" w:space="0" w:color="155E48"/>
            </w:tcBorders>
            <w:shd w:val="clear" w:color="auto" w:fill="F2F2F2" w:themeFill="background1" w:themeFillShade="F2"/>
          </w:tcPr>
          <w:p w14:paraId="4239B5A2" w14:textId="5684611E" w:rsidR="0024012F" w:rsidRPr="00C86D0A" w:rsidRDefault="00681E5D" w:rsidP="006C25DE">
            <w:pPr>
              <w:pStyle w:val="TitreEncart"/>
            </w:pPr>
            <w:bookmarkStart w:id="62" w:name="_Toc230257733"/>
            <w:r w:rsidRPr="00C86D0A">
              <w:lastRenderedPageBreak/>
              <w:t xml:space="preserve">Case Study: </w:t>
            </w:r>
            <w:r w:rsidR="0024012F" w:rsidRPr="00C86D0A">
              <w:rPr>
                <w:bCs/>
              </w:rPr>
              <w:t>Minist</w:t>
            </w:r>
            <w:r w:rsidR="0014347D" w:rsidRPr="00C86D0A">
              <w:rPr>
                <w:bCs/>
              </w:rPr>
              <w:t>ère de l’Intérieur</w:t>
            </w:r>
            <w:bookmarkEnd w:id="62"/>
          </w:p>
          <w:p w14:paraId="3AF9F03A" w14:textId="503D965F" w:rsidR="0024012F" w:rsidRPr="00D62C23" w:rsidRDefault="0024012F" w:rsidP="00005161">
            <w:pPr>
              <w:pStyle w:val="TitreencartREX"/>
            </w:pPr>
            <w:bookmarkStart w:id="63" w:name="_Toc230257734"/>
            <w:r>
              <w:t>Standardising user testing</w:t>
            </w:r>
            <w:bookmarkEnd w:id="63"/>
            <w:r>
              <w:t xml:space="preserve"> </w:t>
            </w:r>
          </w:p>
          <w:p w14:paraId="2F5456E0" w14:textId="393B74C8" w:rsidR="0024012F" w:rsidRPr="00F4758C" w:rsidRDefault="00C56BA9">
            <w:pPr>
              <w:pStyle w:val="Paragraphedeliste"/>
              <w:numPr>
                <w:ilvl w:val="0"/>
                <w:numId w:val="73"/>
              </w:numPr>
              <w:rPr>
                <w:lang w:val="en-GB"/>
              </w:rPr>
            </w:pPr>
            <w:r>
              <w:rPr>
                <w:lang w:val="en-GB"/>
              </w:rPr>
              <w:t>“</w:t>
            </w:r>
            <w:r w:rsidR="0024012F" w:rsidRPr="00F4758C">
              <w:rPr>
                <w:lang w:val="en-GB"/>
              </w:rPr>
              <w:t>In many cases, services declared to be compliant remain difficult to use in real-world conditions</w:t>
            </w:r>
            <w:r w:rsidR="007463B2" w:rsidRPr="00F4758C">
              <w:rPr>
                <w:lang w:val="en-GB"/>
              </w:rPr>
              <w:t xml:space="preserve">. </w:t>
            </w:r>
            <w:r w:rsidR="0024012F" w:rsidRPr="00F4758C">
              <w:rPr>
                <w:lang w:val="en-GB"/>
              </w:rPr>
              <w:t xml:space="preserve">This is why </w:t>
            </w:r>
            <w:r w:rsidR="0024012F" w:rsidRPr="00F4758C">
              <w:rPr>
                <w:b/>
                <w:bCs/>
                <w:lang w:val="en-GB"/>
              </w:rPr>
              <w:t>user testing is an essential tool for ensuring effective accessibility</w:t>
            </w:r>
            <w:r w:rsidR="0024012F" w:rsidRPr="00F4758C">
              <w:rPr>
                <w:lang w:val="en-GB"/>
              </w:rPr>
              <w:t>.</w:t>
            </w:r>
          </w:p>
          <w:p w14:paraId="51958B8B" w14:textId="257A55B6" w:rsidR="0024012F" w:rsidRDefault="00633837" w:rsidP="000302F6">
            <w:pPr>
              <w:ind w:left="360"/>
            </w:pPr>
            <w:r>
              <w:t xml:space="preserve">These tests </w:t>
            </w:r>
            <w:r w:rsidR="0024012F">
              <w:t>must be:</w:t>
            </w:r>
          </w:p>
          <w:p w14:paraId="71173EDE" w14:textId="1CC36E5A" w:rsidR="0024012F" w:rsidRDefault="0024012F">
            <w:pPr>
              <w:pStyle w:val="Paragraphedeliste"/>
              <w:numPr>
                <w:ilvl w:val="0"/>
                <w:numId w:val="66"/>
              </w:numPr>
            </w:pPr>
            <w:r>
              <w:t>systematic;</w:t>
            </w:r>
          </w:p>
          <w:p w14:paraId="23D3AFA7" w14:textId="5AAC6F5B" w:rsidR="0024012F" w:rsidRPr="00F4758C" w:rsidRDefault="0024012F">
            <w:pPr>
              <w:pStyle w:val="Paragraphedeliste"/>
              <w:numPr>
                <w:ilvl w:val="0"/>
                <w:numId w:val="66"/>
              </w:numPr>
              <w:rPr>
                <w:lang w:val="en-GB"/>
              </w:rPr>
            </w:pPr>
            <w:r w:rsidRPr="00F4758C">
              <w:rPr>
                <w:lang w:val="en-GB"/>
              </w:rPr>
              <w:t>carried out at every key stage of the project;</w:t>
            </w:r>
          </w:p>
          <w:p w14:paraId="0B066DD1" w14:textId="40656D55" w:rsidR="0024012F" w:rsidRPr="00F4758C" w:rsidRDefault="0024012F">
            <w:pPr>
              <w:pStyle w:val="Paragraphedeliste"/>
              <w:numPr>
                <w:ilvl w:val="0"/>
                <w:numId w:val="66"/>
              </w:numPr>
              <w:rPr>
                <w:lang w:val="en-GB"/>
              </w:rPr>
            </w:pPr>
            <w:r w:rsidRPr="00F4758C">
              <w:rPr>
                <w:lang w:val="en-GB"/>
              </w:rPr>
              <w:t>based on diverse test groups (visual, motor, cognitive, auditory).</w:t>
            </w:r>
          </w:p>
          <w:p w14:paraId="10AF9DBB" w14:textId="77777777" w:rsidR="0024012F" w:rsidRPr="00F4758C" w:rsidRDefault="0024012F" w:rsidP="000302F6">
            <w:pPr>
              <w:ind w:left="360"/>
              <w:rPr>
                <w:lang w:val="en-GB"/>
              </w:rPr>
            </w:pPr>
            <w:r w:rsidRPr="00F4758C">
              <w:rPr>
                <w:lang w:val="en-GB"/>
              </w:rPr>
              <w:t>These tests enable us to:</w:t>
            </w:r>
          </w:p>
          <w:p w14:paraId="3C42C841" w14:textId="274A618B" w:rsidR="0024012F" w:rsidRPr="00F4758C" w:rsidRDefault="0024012F">
            <w:pPr>
              <w:pStyle w:val="Paragraphedeliste"/>
              <w:numPr>
                <w:ilvl w:val="0"/>
                <w:numId w:val="66"/>
              </w:numPr>
              <w:rPr>
                <w:lang w:val="en-GB"/>
              </w:rPr>
            </w:pPr>
            <w:r w:rsidRPr="00F4758C">
              <w:rPr>
                <w:lang w:val="en-GB"/>
              </w:rPr>
              <w:t>identify issues that are not apparent in technical audits;</w:t>
            </w:r>
          </w:p>
          <w:p w14:paraId="69093DBA" w14:textId="48930871" w:rsidR="0024012F" w:rsidRPr="00F4758C" w:rsidRDefault="0024012F">
            <w:pPr>
              <w:pStyle w:val="Paragraphedeliste"/>
              <w:numPr>
                <w:ilvl w:val="0"/>
                <w:numId w:val="66"/>
              </w:numPr>
              <w:rPr>
                <w:lang w:val="en-GB"/>
              </w:rPr>
            </w:pPr>
            <w:r w:rsidRPr="00F4758C">
              <w:rPr>
                <w:lang w:val="en-GB"/>
              </w:rPr>
              <w:t>validate the relevance of design choices;</w:t>
            </w:r>
          </w:p>
          <w:p w14:paraId="3EA2BEE8" w14:textId="0B1335CF" w:rsidR="00C814C0" w:rsidRPr="00F4758C" w:rsidRDefault="0024012F">
            <w:pPr>
              <w:pStyle w:val="Paragraphedeliste"/>
              <w:numPr>
                <w:ilvl w:val="0"/>
                <w:numId w:val="66"/>
              </w:numPr>
              <w:rPr>
                <w:lang w:val="en-GB"/>
              </w:rPr>
            </w:pPr>
            <w:r w:rsidRPr="00F4758C">
              <w:rPr>
                <w:lang w:val="en-GB"/>
              </w:rPr>
              <w:t>familiarise teams with the product.</w:t>
            </w:r>
          </w:p>
          <w:p w14:paraId="75FF85D0" w14:textId="77777777" w:rsidR="00C814C0" w:rsidRPr="00F4758C" w:rsidRDefault="00C814C0" w:rsidP="000302F6">
            <w:pPr>
              <w:pStyle w:val="Paragraphedeliste"/>
              <w:rPr>
                <w:lang w:val="en-GB"/>
              </w:rPr>
            </w:pPr>
          </w:p>
          <w:p w14:paraId="384954AA" w14:textId="6C271CA6" w:rsidR="00633837" w:rsidRPr="00F4758C" w:rsidRDefault="007463B2">
            <w:pPr>
              <w:pStyle w:val="Paragraphedeliste"/>
              <w:numPr>
                <w:ilvl w:val="0"/>
                <w:numId w:val="73"/>
              </w:numPr>
              <w:rPr>
                <w:lang w:val="en-GB"/>
              </w:rPr>
            </w:pPr>
            <w:r w:rsidRPr="00F4758C">
              <w:rPr>
                <w:lang w:val="en-GB"/>
              </w:rPr>
              <w:t xml:space="preserve">Given that user testing should become </w:t>
            </w:r>
            <w:r w:rsidRPr="00F4758C">
              <w:rPr>
                <w:b/>
                <w:bCs/>
                <w:lang w:val="en-GB"/>
              </w:rPr>
              <w:t>standard practice in the same way as security or performance testing</w:t>
            </w:r>
            <w:r w:rsidRPr="00F4758C">
              <w:rPr>
                <w:lang w:val="en-GB"/>
              </w:rPr>
              <w:t xml:space="preserve">, the </w:t>
            </w:r>
            <w:r w:rsidR="0014347D" w:rsidRPr="0014347D">
              <w:rPr>
                <w:lang w:val="en-GB"/>
              </w:rPr>
              <w:t xml:space="preserve">Ministère de l’Intérieur </w:t>
            </w:r>
            <w:r w:rsidR="0014347D">
              <w:rPr>
                <w:lang w:val="en-GB"/>
              </w:rPr>
              <w:t>(</w:t>
            </w:r>
            <w:r w:rsidRPr="00F4758C">
              <w:rPr>
                <w:lang w:val="en-GB"/>
              </w:rPr>
              <w:t>Ministry of the Interior</w:t>
            </w:r>
            <w:r w:rsidR="0014347D">
              <w:rPr>
                <w:lang w:val="en-GB"/>
              </w:rPr>
              <w:t>)</w:t>
            </w:r>
            <w:r w:rsidRPr="00F4758C">
              <w:rPr>
                <w:lang w:val="en-GB"/>
              </w:rPr>
              <w:t xml:space="preserve">, like many organisations, has therefore decided to systematise the integration of these tests within a </w:t>
            </w:r>
            <w:r w:rsidR="00C56BA9">
              <w:rPr>
                <w:lang w:val="en-GB"/>
              </w:rPr>
              <w:t>“</w:t>
            </w:r>
            <w:r w:rsidRPr="00F4758C">
              <w:rPr>
                <w:lang w:val="en-GB"/>
              </w:rPr>
              <w:t>product</w:t>
            </w:r>
            <w:r w:rsidR="00C56BA9">
              <w:rPr>
                <w:lang w:val="en-GB"/>
              </w:rPr>
              <w:t>”</w:t>
            </w:r>
            <w:r w:rsidRPr="00F4758C">
              <w:rPr>
                <w:lang w:val="en-GB"/>
              </w:rPr>
              <w:t xml:space="preserve"> approach</w:t>
            </w:r>
            <w:r w:rsidR="00633837" w:rsidRPr="00F4758C">
              <w:rPr>
                <w:lang w:val="en-GB"/>
              </w:rPr>
              <w:t>.</w:t>
            </w:r>
          </w:p>
          <w:p w14:paraId="739588F9" w14:textId="47DED26C" w:rsidR="007463B2" w:rsidRPr="00F4758C" w:rsidRDefault="00633837" w:rsidP="000302F6">
            <w:pPr>
              <w:ind w:left="360"/>
              <w:rPr>
                <w:lang w:val="en-GB"/>
              </w:rPr>
            </w:pPr>
            <w:r w:rsidRPr="00F4758C">
              <w:rPr>
                <w:lang w:val="en-GB"/>
              </w:rPr>
              <w:t>These tests are therefore based on:</w:t>
            </w:r>
          </w:p>
          <w:p w14:paraId="0DAEE435" w14:textId="46E8FF43" w:rsidR="0024012F" w:rsidRDefault="0024012F">
            <w:pPr>
              <w:pStyle w:val="Paragraphedeliste"/>
              <w:numPr>
                <w:ilvl w:val="0"/>
                <w:numId w:val="66"/>
              </w:numPr>
            </w:pPr>
            <w:r>
              <w:t>permanent panels;</w:t>
            </w:r>
          </w:p>
          <w:p w14:paraId="09756EEB" w14:textId="4DB8D81D" w:rsidR="0024012F" w:rsidRDefault="0024012F">
            <w:pPr>
              <w:pStyle w:val="Paragraphedeliste"/>
              <w:numPr>
                <w:ilvl w:val="0"/>
                <w:numId w:val="66"/>
              </w:numPr>
            </w:pPr>
            <w:r>
              <w:t>partnerships with organisations;</w:t>
            </w:r>
          </w:p>
          <w:p w14:paraId="792CE08B" w14:textId="41BD24CB" w:rsidR="0024012F" w:rsidRPr="00F4758C" w:rsidRDefault="0024012F">
            <w:pPr>
              <w:pStyle w:val="Paragraphedeliste"/>
              <w:numPr>
                <w:ilvl w:val="0"/>
                <w:numId w:val="66"/>
              </w:numPr>
              <w:rPr>
                <w:lang w:val="en-GB"/>
              </w:rPr>
            </w:pPr>
            <w:r w:rsidRPr="00F4758C">
              <w:rPr>
                <w:lang w:val="en-GB"/>
              </w:rPr>
              <w:t>internal measures involving the relevant staff.</w:t>
            </w:r>
            <w:r w:rsidR="00C56BA9">
              <w:rPr>
                <w:lang w:val="en-GB"/>
              </w:rPr>
              <w:t>”</w:t>
            </w:r>
          </w:p>
          <w:p w14:paraId="2C120650" w14:textId="77777777" w:rsidR="00646CD1" w:rsidRPr="00F4758C" w:rsidRDefault="00646CD1" w:rsidP="00646CD1">
            <w:pPr>
              <w:rPr>
                <w:lang w:val="en-GB"/>
              </w:rPr>
            </w:pPr>
          </w:p>
          <w:p w14:paraId="7B5D529F" w14:textId="41E12793" w:rsidR="0024012F" w:rsidRPr="00F4758C" w:rsidRDefault="0024012F" w:rsidP="0024012F">
            <w:pPr>
              <w:jc w:val="right"/>
              <w:rPr>
                <w:b/>
                <w:bCs/>
                <w:lang w:val="en-GB"/>
              </w:rPr>
            </w:pPr>
            <w:r w:rsidRPr="00F4758C">
              <w:rPr>
                <w:b/>
                <w:bCs/>
                <w:lang w:val="en-GB"/>
              </w:rPr>
              <w:t>Johanna DANIEL</w:t>
            </w:r>
            <w:r w:rsidR="00B262F4" w:rsidRPr="00F4758C">
              <w:rPr>
                <w:lang w:val="en-GB"/>
              </w:rPr>
              <w:t xml:space="preserve">, Head of the Office for Ministerial Digital Policies, </w:t>
            </w:r>
            <w:r w:rsidR="00CA46A4" w:rsidRPr="00F4758C">
              <w:rPr>
                <w:lang w:val="en-GB"/>
              </w:rPr>
              <w:br/>
            </w:r>
            <w:r w:rsidR="0014347D" w:rsidRPr="0014347D">
              <w:rPr>
                <w:b/>
                <w:bCs/>
                <w:lang w:val="en-GB"/>
              </w:rPr>
              <w:t xml:space="preserve">Ministère de l’Intérieur </w:t>
            </w:r>
            <w:r w:rsidR="0014347D">
              <w:rPr>
                <w:b/>
                <w:bCs/>
                <w:lang w:val="en-GB"/>
              </w:rPr>
              <w:t>(</w:t>
            </w:r>
            <w:r w:rsidR="00B262F4" w:rsidRPr="00F4758C">
              <w:rPr>
                <w:b/>
                <w:bCs/>
                <w:lang w:val="en-GB"/>
              </w:rPr>
              <w:t>Ministry of the Interior</w:t>
            </w:r>
            <w:r w:rsidR="0014347D">
              <w:rPr>
                <w:b/>
                <w:bCs/>
                <w:lang w:val="en-GB"/>
              </w:rPr>
              <w:t>)</w:t>
            </w:r>
          </w:p>
        </w:tc>
      </w:tr>
    </w:tbl>
    <w:p w14:paraId="7FAACB9B" w14:textId="77777777" w:rsidR="0024012F" w:rsidRPr="00F4758C" w:rsidRDefault="0024012F" w:rsidP="001E440D">
      <w:pPr>
        <w:rPr>
          <w:rFonts w:eastAsia="Times New Roman"/>
          <w:lang w:val="en-GB"/>
        </w:rPr>
      </w:pPr>
    </w:p>
    <w:p w14:paraId="28583B23" w14:textId="77777777" w:rsidR="001E440D" w:rsidRPr="00F4758C" w:rsidRDefault="001E440D" w:rsidP="001E440D">
      <w:pPr>
        <w:rPr>
          <w:rFonts w:eastAsia="Times New Roman"/>
          <w:lang w:val="en-GB"/>
        </w:rPr>
      </w:pPr>
    </w:p>
    <w:p w14:paraId="3B6FD6CA" w14:textId="51EC9D50" w:rsidR="00D702F6" w:rsidRPr="00F4758C" w:rsidRDefault="00D702F6" w:rsidP="00BC6B82">
      <w:pPr>
        <w:rPr>
          <w:rFonts w:eastAsia="Times New Roman"/>
          <w:lang w:val="en-GB"/>
        </w:rPr>
      </w:pP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D62C23" w:rsidRPr="004B4BDE" w14:paraId="53710714" w14:textId="77777777" w:rsidTr="002329FF">
        <w:trPr>
          <w:jc w:val="center"/>
        </w:trPr>
        <w:tc>
          <w:tcPr>
            <w:tcW w:w="9047" w:type="dxa"/>
            <w:tcBorders>
              <w:left w:val="single" w:sz="18" w:space="0" w:color="155E48"/>
            </w:tcBorders>
            <w:shd w:val="clear" w:color="auto" w:fill="F2F2F2" w:themeFill="background1" w:themeFillShade="F2"/>
          </w:tcPr>
          <w:p w14:paraId="07A850F9" w14:textId="2B81AA6E" w:rsidR="00D62C23" w:rsidRPr="0024303C" w:rsidRDefault="0024303C" w:rsidP="00D62C23">
            <w:pPr>
              <w:pStyle w:val="TitreEncart"/>
              <w:rPr>
                <w:bCs/>
                <w:lang w:val="en-GB"/>
              </w:rPr>
            </w:pPr>
            <w:bookmarkStart w:id="64" w:name="_Toc230257735"/>
            <w:r w:rsidRPr="0024303C">
              <w:rPr>
                <w:lang w:val="en-GB"/>
              </w:rPr>
              <w:lastRenderedPageBreak/>
              <w:t xml:space="preserve">Case Study: </w:t>
            </w:r>
            <w:r w:rsidR="00D62C23" w:rsidRPr="0024303C">
              <w:rPr>
                <w:bCs/>
                <w:lang w:val="en-GB"/>
              </w:rPr>
              <w:t>CACD2 (Crédit Agricole</w:t>
            </w:r>
            <w:r w:rsidR="00D62C23" w:rsidRPr="0024303C">
              <w:rPr>
                <w:bCs/>
                <w:i/>
                <w:iCs/>
                <w:lang w:val="en-GB"/>
              </w:rPr>
              <w:t xml:space="preserve"> </w:t>
            </w:r>
            <w:r w:rsidRPr="00F4758C">
              <w:rPr>
                <w:bCs/>
                <w:lang w:val="en-GB"/>
              </w:rPr>
              <w:t>Digital Consulting and Development</w:t>
            </w:r>
            <w:r w:rsidR="00D62C23" w:rsidRPr="0024303C">
              <w:rPr>
                <w:bCs/>
                <w:lang w:val="en-GB"/>
              </w:rPr>
              <w:t>)</w:t>
            </w:r>
            <w:bookmarkEnd w:id="64"/>
            <w:r w:rsidR="00D62C23" w:rsidRPr="0024303C">
              <w:rPr>
                <w:bCs/>
                <w:lang w:val="en-GB"/>
              </w:rPr>
              <w:t xml:space="preserve"> </w:t>
            </w:r>
          </w:p>
          <w:p w14:paraId="5B039235" w14:textId="30624665" w:rsidR="00D62C23" w:rsidRPr="00F4758C" w:rsidRDefault="00D62C23" w:rsidP="0033608D">
            <w:pPr>
              <w:pStyle w:val="TitreencartREX"/>
              <w:rPr>
                <w:lang w:val="en-GB"/>
              </w:rPr>
            </w:pPr>
            <w:r w:rsidRPr="00F4758C">
              <w:rPr>
                <w:lang w:val="en-GB"/>
              </w:rPr>
              <w:t xml:space="preserve">Methodology for the operational integration of digital accessibility into a project </w:t>
            </w:r>
          </w:p>
          <w:p w14:paraId="2017BDD4" w14:textId="177B2039" w:rsidR="00F671A3" w:rsidRPr="00F4758C" w:rsidRDefault="00C56BA9" w:rsidP="00F671A3">
            <w:pPr>
              <w:rPr>
                <w:lang w:val="en-GB" w:eastAsia="fr-FR"/>
              </w:rPr>
            </w:pPr>
            <w:r w:rsidRPr="001C03FB">
              <w:rPr>
                <w:lang w:val="en-GB" w:eastAsia="fr-FR"/>
              </w:rPr>
              <w:t>“</w:t>
            </w:r>
            <w:r w:rsidR="00F671A3" w:rsidRPr="00F4758C">
              <w:rPr>
                <w:lang w:val="en-GB" w:eastAsia="fr-FR"/>
              </w:rPr>
              <w:t xml:space="preserve">To ensure the operational integration of accessibility into projects, CACD2 has prioritised the development </w:t>
            </w:r>
            <w:r w:rsidR="00F671A3" w:rsidRPr="00F4758C">
              <w:rPr>
                <w:b/>
                <w:bCs/>
                <w:lang w:val="en-GB" w:eastAsia="fr-FR"/>
              </w:rPr>
              <w:t xml:space="preserve">of robust in-house expertise </w:t>
            </w:r>
            <w:r w:rsidR="00F671A3" w:rsidRPr="00F4758C">
              <w:rPr>
                <w:lang w:val="en-GB" w:eastAsia="fr-FR"/>
              </w:rPr>
              <w:t xml:space="preserve">to support and guide the group’s teams. This strategy has taken the form of a </w:t>
            </w:r>
            <w:r w:rsidR="00F671A3" w:rsidRPr="00F4758C">
              <w:rPr>
                <w:b/>
                <w:bCs/>
                <w:lang w:val="en-GB" w:eastAsia="fr-FR"/>
              </w:rPr>
              <w:t xml:space="preserve">hub of </w:t>
            </w:r>
            <w:r w:rsidR="00B5346E" w:rsidRPr="00F4758C">
              <w:rPr>
                <w:b/>
                <w:bCs/>
                <w:lang w:val="en-GB" w:eastAsia="fr-FR"/>
              </w:rPr>
              <w:t>multidisciplinary</w:t>
            </w:r>
            <w:r w:rsidR="00F671A3" w:rsidRPr="00F4758C">
              <w:rPr>
                <w:b/>
                <w:bCs/>
                <w:lang w:val="en-GB" w:eastAsia="fr-FR"/>
              </w:rPr>
              <w:t xml:space="preserve"> specialists </w:t>
            </w:r>
            <w:r w:rsidR="00F671A3" w:rsidRPr="00F4758C">
              <w:rPr>
                <w:lang w:val="en-GB" w:eastAsia="fr-FR"/>
              </w:rPr>
              <w:t>(product managers, UX/UI designers, developers, …)</w:t>
            </w:r>
            <w:r w:rsidR="00C814C0" w:rsidRPr="00F4758C">
              <w:rPr>
                <w:lang w:val="en-GB" w:eastAsia="fr-FR"/>
              </w:rPr>
              <w:t xml:space="preserve">, </w:t>
            </w:r>
            <w:r w:rsidR="00F671A3" w:rsidRPr="00F4758C">
              <w:rPr>
                <w:lang w:val="en-GB" w:eastAsia="fr-FR"/>
              </w:rPr>
              <w:t xml:space="preserve">with expertise in digital accessibility, whose primary role is </w:t>
            </w:r>
            <w:r w:rsidR="00F671A3" w:rsidRPr="00F4758C">
              <w:rPr>
                <w:b/>
                <w:bCs/>
                <w:lang w:val="en-GB" w:eastAsia="fr-FR"/>
              </w:rPr>
              <w:t xml:space="preserve">to provide support to project teams </w:t>
            </w:r>
            <w:r w:rsidR="00F671A3" w:rsidRPr="00F4758C">
              <w:rPr>
                <w:lang w:val="en-GB" w:eastAsia="fr-FR"/>
              </w:rPr>
              <w:t xml:space="preserve">(both internally at CACD2 and </w:t>
            </w:r>
            <w:r w:rsidR="00C814C0" w:rsidRPr="00F4758C">
              <w:rPr>
                <w:lang w:val="en-GB" w:eastAsia="fr-FR"/>
              </w:rPr>
              <w:t xml:space="preserve">across </w:t>
            </w:r>
            <w:r w:rsidR="00F671A3" w:rsidRPr="00F4758C">
              <w:rPr>
                <w:lang w:val="en-GB" w:eastAsia="fr-FR"/>
              </w:rPr>
              <w:t xml:space="preserve">the group’s entities) </w:t>
            </w:r>
            <w:r w:rsidR="00F671A3" w:rsidRPr="00F4758C">
              <w:rPr>
                <w:b/>
                <w:bCs/>
                <w:lang w:val="en-GB" w:eastAsia="fr-FR"/>
              </w:rPr>
              <w:t>from the outset and throughout the project lifecycle</w:t>
            </w:r>
            <w:r w:rsidR="00F671A3" w:rsidRPr="00F4758C">
              <w:rPr>
                <w:lang w:val="en-GB" w:eastAsia="fr-FR"/>
              </w:rPr>
              <w:t xml:space="preserve">, and to </w:t>
            </w:r>
            <w:r w:rsidR="00F671A3" w:rsidRPr="00F4758C">
              <w:rPr>
                <w:b/>
                <w:bCs/>
                <w:lang w:val="en-GB" w:eastAsia="fr-FR"/>
              </w:rPr>
              <w:t xml:space="preserve">promote best practice </w:t>
            </w:r>
            <w:r w:rsidR="00F671A3" w:rsidRPr="00F4758C">
              <w:rPr>
                <w:lang w:val="en-GB" w:eastAsia="fr-FR"/>
              </w:rPr>
              <w:t>within the Crédit Agricole Group.</w:t>
            </w:r>
          </w:p>
          <w:p w14:paraId="49DA3379" w14:textId="01A6337A" w:rsidR="00F671A3" w:rsidRPr="00F4758C" w:rsidRDefault="00F671A3" w:rsidP="00F671A3">
            <w:pPr>
              <w:rPr>
                <w:lang w:val="en-GB" w:eastAsia="fr-FR"/>
              </w:rPr>
            </w:pPr>
            <w:r w:rsidRPr="00F4758C">
              <w:rPr>
                <w:lang w:val="en-GB" w:eastAsia="fr-FR"/>
              </w:rPr>
              <w:t xml:space="preserve">At the same time, CACD2 is developing </w:t>
            </w:r>
            <w:r w:rsidRPr="00F4758C">
              <w:rPr>
                <w:b/>
                <w:bCs/>
                <w:lang w:val="en-GB" w:eastAsia="fr-FR"/>
              </w:rPr>
              <w:t xml:space="preserve">partnerships with agencies specialising </w:t>
            </w:r>
            <w:r w:rsidRPr="00F4758C">
              <w:rPr>
                <w:lang w:val="en-GB" w:eastAsia="fr-FR"/>
              </w:rPr>
              <w:t xml:space="preserve">in digital accessibility to remain at the cutting edge and draw on the expertise of recognised market leaders: since 2024, </w:t>
            </w:r>
            <w:r w:rsidRPr="00F4758C">
              <w:rPr>
                <w:b/>
                <w:bCs/>
                <w:i/>
                <w:iCs/>
                <w:lang w:val="en-GB" w:eastAsia="fr-FR"/>
              </w:rPr>
              <w:t xml:space="preserve">Ethic First </w:t>
            </w:r>
            <w:r w:rsidRPr="00F4758C">
              <w:rPr>
                <w:lang w:val="en-GB" w:eastAsia="fr-FR"/>
              </w:rPr>
              <w:t>has been collaborating with CACD2 to deliver digital accessibility services, in particular to meet the relevant legal obligations and to combine their expertise to offer a comprehensive and integrated digital accessibility solution.</w:t>
            </w:r>
          </w:p>
          <w:p w14:paraId="52F59168" w14:textId="77777777" w:rsidR="00F671A3" w:rsidRPr="00F4758C" w:rsidRDefault="00F671A3" w:rsidP="00F671A3">
            <w:pPr>
              <w:rPr>
                <w:lang w:val="en-GB" w:eastAsia="fr-FR"/>
              </w:rPr>
            </w:pPr>
            <w:r w:rsidRPr="00F4758C">
              <w:rPr>
                <w:lang w:val="en-GB" w:eastAsia="fr-FR"/>
              </w:rPr>
              <w:t xml:space="preserve">CACD2 has made </w:t>
            </w:r>
            <w:r w:rsidRPr="00F4758C">
              <w:rPr>
                <w:b/>
                <w:bCs/>
                <w:lang w:val="en-GB" w:eastAsia="fr-FR"/>
              </w:rPr>
              <w:t xml:space="preserve">raising awareness and training </w:t>
            </w:r>
            <w:r w:rsidRPr="00F4758C">
              <w:rPr>
                <w:lang w:val="en-GB" w:eastAsia="fr-FR"/>
              </w:rPr>
              <w:t>all its staff a key priority. In particular, the organisation ensures that accessibility issues are taken into account in all digital practices.</w:t>
            </w:r>
          </w:p>
          <w:p w14:paraId="12EC96A1" w14:textId="08F16E6C" w:rsidR="00D62C23" w:rsidRPr="00C86D0A" w:rsidRDefault="00F671A3" w:rsidP="00F671A3">
            <w:pPr>
              <w:jc w:val="left"/>
              <w:rPr>
                <w:lang w:val="en-GB" w:eastAsia="fr-FR"/>
              </w:rPr>
            </w:pPr>
            <w:r w:rsidRPr="00F4758C">
              <w:rPr>
                <w:lang w:val="en-GB" w:eastAsia="fr-FR"/>
              </w:rPr>
              <w:t>Here is a summary of the methodological timeline for integrating digital accessibility into a project</w:t>
            </w:r>
            <w:r w:rsidR="00D62C23" w:rsidRPr="00F4758C">
              <w:rPr>
                <w:lang w:val="en-GB" w:eastAsia="fr-FR"/>
              </w:rPr>
              <w:t xml:space="preserve">: </w:t>
            </w:r>
            <w:r w:rsidR="00FB296D">
              <w:rPr>
                <w:noProof/>
              </w:rPr>
              <w:drawing>
                <wp:inline distT="0" distB="0" distL="0" distR="0" wp14:anchorId="3125D1D1" wp14:editId="2A26ECA3">
                  <wp:extent cx="5384165" cy="3028315"/>
                  <wp:effectExtent l="0" t="0" r="6985" b="635"/>
                  <wp:docPr id="530885425" name="Graphique 1" descr="This diagram, entitled ‘Accessibility: Everyone’s Responsibility from the Kick-off’, sets out how accessibility is integrated throughout the lifecycle of an agile project (from launch to the final audit), breaking down responsibilities by role:&#10;- Accessibility leads: Support cross-functional teams throughout the project.&#10;- Expert agency (Ethic First): Involved during Sprint 0 (pre-audit of mock-ups on Figma) and during development (pre-audit of code and creation of tickets).&#10;- Product Owner (PO): Leads the project from launch, drafts User Stories incorporating accessibility criteria, and oversees the refinement of the backlog.&#10;- Designers: Incorporate the recommendations from the design stage onwards and amend the mock-ups following audits.&#10;- Developers: Take the standards into account in their work and implement corrections following technical pre-audi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885425" name="Graphique 1" descr="This diagram, entitled ‘Accessibility: Everyone’s Responsibility from the Kick-off’, sets out how accessibility is integrated throughout the lifecycle of an agile project (from launch to the final audit), breaking down responsibilities by role:&#10;- Accessibility leads: Support cross-functional teams throughout the project.&#10;- Expert agency (Ethic First): Involved during Sprint 0 (pre-audit of mock-ups on Figma) and during development (pre-audit of code and creation of tickets).&#10;- Product Owner (PO): Leads the project from launch, drafts User Stories incorporating accessibility criteria, and oversees the refinement of the backlog.&#10;- Designers: Incorporate the recommendations from the design stage onwards and amend the mock-ups following audits.&#10;- Developers: Take the standards into account in their work and implement corrections following technical pre-audits."/>
                          <pic:cNvPicPr/>
                        </pic:nvPicPr>
                        <pic:blipFill>
                          <a:blip r:embed="rId27">
                            <a:extLst>
                              <a:ext uri="{96DAC541-7B7A-43D3-8B79-37D633B846F1}">
                                <asvg:svgBlip xmlns:asvg="http://schemas.microsoft.com/office/drawing/2016/SVG/main" r:embed="rId28"/>
                              </a:ext>
                            </a:extLst>
                          </a:blip>
                          <a:stretch>
                            <a:fillRect/>
                          </a:stretch>
                        </pic:blipFill>
                        <pic:spPr>
                          <a:xfrm>
                            <a:off x="0" y="0"/>
                            <a:ext cx="5384165" cy="3028315"/>
                          </a:xfrm>
                          <a:prstGeom prst="rect">
                            <a:avLst/>
                          </a:prstGeom>
                        </pic:spPr>
                      </pic:pic>
                    </a:graphicData>
                  </a:graphic>
                </wp:inline>
              </w:drawing>
            </w:r>
          </w:p>
          <w:p w14:paraId="38273035" w14:textId="10E84F4F" w:rsidR="006E1221" w:rsidRPr="00D62C23" w:rsidRDefault="00FB296D" w:rsidP="006E1221">
            <w:pPr>
              <w:jc w:val="left"/>
              <w:rPr>
                <w:lang w:eastAsia="fr-FR"/>
              </w:rPr>
            </w:pPr>
            <w:r>
              <w:rPr>
                <w:noProof/>
              </w:rPr>
              <w:lastRenderedPageBreak/>
              <w:drawing>
                <wp:inline distT="0" distB="0" distL="0" distR="0" wp14:anchorId="3B375574" wp14:editId="191FCB25">
                  <wp:extent cx="5384165" cy="3028315"/>
                  <wp:effectExtent l="0" t="0" r="6985" b="635"/>
                  <wp:docPr id="856107966" name="Graphique 1" descr="This diagram sets out a five-step methodology for integrating accessibility throughout a project’s lifecycle:&#10;- Kick-off (Awareness-raising): Support for teams from lead specialists and provision of tools (playbook, guidelines).&#10;- Project launch (Design): Use of standards (WCAG, RGAA) and automated testing tools to establish recommendations at an early stage.&#10;- Management of pre-audits: Regular accessibility checks, from the design phase through to development.&#10;- Project fixes: Recommendations via Figma and integration of prioritised accessibility tickets into the JIRA backlog.&#10;- Delivery: Carrying out the final accessibility audi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107966" name="Graphique 1" descr="This diagram sets out a five-step methodology for integrating accessibility throughout a project’s lifecycle:&#10;- Kick-off (Awareness-raising): Support for teams from lead specialists and provision of tools (playbook, guidelines).&#10;- Project launch (Design): Use of standards (WCAG, RGAA) and automated testing tools to establish recommendations at an early stage.&#10;- Management of pre-audits: Regular accessibility checks, from the design phase through to development.&#10;- Project fixes: Recommendations via Figma and integration of prioritised accessibility tickets into the JIRA backlog.&#10;- Delivery: Carrying out the final accessibility audit."/>
                          <pic:cNvPicPr/>
                        </pic:nvPicPr>
                        <pic:blipFill>
                          <a:blip r:embed="rId29">
                            <a:extLst>
                              <a:ext uri="{96DAC541-7B7A-43D3-8B79-37D633B846F1}">
                                <asvg:svgBlip xmlns:asvg="http://schemas.microsoft.com/office/drawing/2016/SVG/main" r:embed="rId30"/>
                              </a:ext>
                            </a:extLst>
                          </a:blip>
                          <a:stretch>
                            <a:fillRect/>
                          </a:stretch>
                        </pic:blipFill>
                        <pic:spPr>
                          <a:xfrm>
                            <a:off x="0" y="0"/>
                            <a:ext cx="5384165" cy="3028315"/>
                          </a:xfrm>
                          <a:prstGeom prst="rect">
                            <a:avLst/>
                          </a:prstGeom>
                        </pic:spPr>
                      </pic:pic>
                    </a:graphicData>
                  </a:graphic>
                </wp:inline>
              </w:drawing>
            </w:r>
          </w:p>
          <w:p w14:paraId="66B0063D" w14:textId="77777777" w:rsidR="00F671A3" w:rsidRPr="00F4758C" w:rsidRDefault="00F671A3" w:rsidP="00F671A3">
            <w:pPr>
              <w:jc w:val="left"/>
              <w:rPr>
                <w:lang w:val="en-GB"/>
              </w:rPr>
            </w:pPr>
            <w:r w:rsidRPr="00F4758C">
              <w:rPr>
                <w:lang w:val="en-GB"/>
              </w:rPr>
              <w:t xml:space="preserve">The results of these initial actions have been positive: </w:t>
            </w:r>
          </w:p>
          <w:p w14:paraId="09EC3A9D" w14:textId="7CE9DDFD" w:rsidR="00F671A3" w:rsidRPr="00F4758C" w:rsidRDefault="00F671A3">
            <w:pPr>
              <w:numPr>
                <w:ilvl w:val="0"/>
                <w:numId w:val="28"/>
              </w:numPr>
              <w:rPr>
                <w:lang w:val="en-GB"/>
              </w:rPr>
            </w:pPr>
            <w:r w:rsidRPr="00F4758C">
              <w:rPr>
                <w:lang w:val="en-GB"/>
              </w:rPr>
              <w:t>Training, continuous learning and the</w:t>
            </w:r>
            <w:r w:rsidR="00FB296D">
              <w:rPr>
                <w:lang w:val="en-GB"/>
              </w:rPr>
              <w:t xml:space="preserve"> </w:t>
            </w:r>
            <w:r w:rsidR="001C03FB" w:rsidRPr="001C03FB">
              <w:rPr>
                <w:lang w:val="en-GB"/>
              </w:rPr>
              <w:t>”</w:t>
            </w:r>
            <w:r w:rsidRPr="001C03FB">
              <w:rPr>
                <w:lang w:val="en-GB"/>
              </w:rPr>
              <w:t>accessibility by design</w:t>
            </w:r>
            <w:r w:rsidR="001C03FB">
              <w:rPr>
                <w:i/>
                <w:iCs/>
                <w:lang w:val="en-GB"/>
              </w:rPr>
              <w:t>”</w:t>
            </w:r>
            <w:r w:rsidRPr="00F4758C">
              <w:rPr>
                <w:i/>
                <w:iCs/>
                <w:lang w:val="en-GB"/>
              </w:rPr>
              <w:t xml:space="preserve"> </w:t>
            </w:r>
            <w:r w:rsidRPr="00F4758C">
              <w:rPr>
                <w:lang w:val="en-GB"/>
              </w:rPr>
              <w:t xml:space="preserve">approach have </w:t>
            </w:r>
            <w:r w:rsidRPr="00F4758C">
              <w:rPr>
                <w:b/>
                <w:bCs/>
                <w:lang w:val="en-GB"/>
              </w:rPr>
              <w:t>significantly reduced project management, development and UX/UI design times</w:t>
            </w:r>
            <w:r w:rsidRPr="00F4758C">
              <w:rPr>
                <w:lang w:val="en-GB"/>
              </w:rPr>
              <w:t>;</w:t>
            </w:r>
          </w:p>
          <w:p w14:paraId="46915474" w14:textId="586DA388" w:rsidR="00F671A3" w:rsidRPr="00F4758C" w:rsidRDefault="00F671A3">
            <w:pPr>
              <w:numPr>
                <w:ilvl w:val="0"/>
                <w:numId w:val="28"/>
              </w:numPr>
              <w:rPr>
                <w:lang w:val="en-GB"/>
              </w:rPr>
            </w:pPr>
            <w:r w:rsidRPr="00F4758C">
              <w:rPr>
                <w:lang w:val="en-GB"/>
              </w:rPr>
              <w:t xml:space="preserve">CACD2 is committed to the continuous professional development of its staff: developers, for example, receive </w:t>
            </w:r>
            <w:r w:rsidRPr="00F4758C">
              <w:rPr>
                <w:b/>
                <w:bCs/>
                <w:lang w:val="en-GB"/>
              </w:rPr>
              <w:t>regular training and support to enhance their expertise</w:t>
            </w:r>
            <w:r w:rsidRPr="00F4758C">
              <w:rPr>
                <w:lang w:val="en-GB"/>
              </w:rPr>
              <w:t xml:space="preserve">, notably through the </w:t>
            </w:r>
            <w:r w:rsidRPr="00F4758C">
              <w:rPr>
                <w:b/>
                <w:bCs/>
                <w:lang w:val="en-GB"/>
              </w:rPr>
              <w:t>Access42 certification</w:t>
            </w:r>
            <w:r w:rsidRPr="00F4758C">
              <w:rPr>
                <w:lang w:val="en-GB"/>
              </w:rPr>
              <w:t>, recognised for its high standards and its key role in promoting digital accessibility;</w:t>
            </w:r>
          </w:p>
          <w:p w14:paraId="5061C18D" w14:textId="77777777" w:rsidR="00F671A3" w:rsidRPr="00F4758C" w:rsidRDefault="00F671A3">
            <w:pPr>
              <w:numPr>
                <w:ilvl w:val="0"/>
                <w:numId w:val="28"/>
              </w:numPr>
              <w:rPr>
                <w:lang w:val="en-GB"/>
              </w:rPr>
            </w:pPr>
            <w:r w:rsidRPr="00F4758C">
              <w:rPr>
                <w:lang w:val="en-GB"/>
              </w:rPr>
              <w:t>The commitment of staff to the A11y (</w:t>
            </w:r>
            <w:r w:rsidRPr="001F2368">
              <w:rPr>
                <w:lang w:val="en-GB"/>
              </w:rPr>
              <w:t>Accessibility</w:t>
            </w:r>
            <w:r w:rsidRPr="00F4758C">
              <w:rPr>
                <w:lang w:val="en-GB"/>
              </w:rPr>
              <w:t xml:space="preserve">) division illustrates CACD2’s </w:t>
            </w:r>
            <w:r w:rsidRPr="00F4758C">
              <w:rPr>
                <w:b/>
                <w:bCs/>
                <w:lang w:val="en-GB"/>
              </w:rPr>
              <w:t xml:space="preserve">collective drive </w:t>
            </w:r>
            <w:r w:rsidRPr="00F4758C">
              <w:rPr>
                <w:lang w:val="en-GB"/>
              </w:rPr>
              <w:t>to embed digital accessibility into its practices on a long-term basis;</w:t>
            </w:r>
          </w:p>
          <w:p w14:paraId="514B2F24" w14:textId="77777777" w:rsidR="00F671A3" w:rsidRPr="00F4758C" w:rsidRDefault="00F671A3">
            <w:pPr>
              <w:numPr>
                <w:ilvl w:val="0"/>
                <w:numId w:val="28"/>
              </w:numPr>
              <w:rPr>
                <w:lang w:val="en-GB"/>
              </w:rPr>
            </w:pPr>
            <w:r w:rsidRPr="00F4758C">
              <w:rPr>
                <w:lang w:val="en-GB"/>
              </w:rPr>
              <w:t xml:space="preserve">Thanks to this support and training, the </w:t>
            </w:r>
            <w:r w:rsidRPr="00F4758C">
              <w:rPr>
                <w:b/>
                <w:bCs/>
                <w:lang w:val="en-GB"/>
              </w:rPr>
              <w:t>number of pre-audits required has been reduced by two-thirds</w:t>
            </w:r>
            <w:r w:rsidRPr="00F4758C">
              <w:rPr>
                <w:lang w:val="en-GB"/>
              </w:rPr>
              <w:t xml:space="preserve">; </w:t>
            </w:r>
          </w:p>
          <w:p w14:paraId="4C5C47A7" w14:textId="77777777" w:rsidR="00F671A3" w:rsidRPr="00F4758C" w:rsidRDefault="00F671A3">
            <w:pPr>
              <w:numPr>
                <w:ilvl w:val="0"/>
                <w:numId w:val="28"/>
              </w:numPr>
              <w:rPr>
                <w:lang w:val="en-GB"/>
              </w:rPr>
            </w:pPr>
            <w:r w:rsidRPr="00F4758C">
              <w:rPr>
                <w:lang w:val="en-GB"/>
              </w:rPr>
              <w:t>The showcase website is</w:t>
            </w:r>
            <w:r w:rsidRPr="00F4758C">
              <w:rPr>
                <w:b/>
                <w:bCs/>
                <w:lang w:val="en-GB"/>
              </w:rPr>
              <w:t xml:space="preserve"> 100% compliant with the RGAA </w:t>
            </w:r>
            <w:r w:rsidRPr="00F4758C">
              <w:rPr>
                <w:lang w:val="en-GB"/>
              </w:rPr>
              <w:t>(cacd2.fr certified</w:t>
            </w:r>
            <w:r>
              <w:rPr>
                <w:rStyle w:val="Appelnotedebasdep"/>
              </w:rPr>
              <w:footnoteReference w:id="29"/>
            </w:r>
            <w:r w:rsidRPr="00F4758C">
              <w:rPr>
                <w:lang w:val="en-GB"/>
              </w:rPr>
              <w:t xml:space="preserve"> );</w:t>
            </w:r>
          </w:p>
          <w:p w14:paraId="18A7B5EC" w14:textId="460FC8EB" w:rsidR="00646CD1" w:rsidRPr="00F4758C" w:rsidRDefault="00F671A3" w:rsidP="00F671A3">
            <w:pPr>
              <w:rPr>
                <w:lang w:val="en-GB"/>
              </w:rPr>
            </w:pPr>
            <w:r w:rsidRPr="00F4758C">
              <w:rPr>
                <w:lang w:val="en-GB"/>
              </w:rPr>
              <w:t>Digital accessibility should no longer be seen as a budgetary constraint, but as an essential pillar to be taken into account on a par with security or ROI</w:t>
            </w:r>
            <w:r w:rsidR="00F755EB" w:rsidRPr="00F4758C">
              <w:rPr>
                <w:lang w:val="en-GB"/>
              </w:rPr>
              <w:t>.”</w:t>
            </w:r>
          </w:p>
          <w:p w14:paraId="308402ED" w14:textId="4F78C601" w:rsidR="00D62C23" w:rsidRPr="00F4758C" w:rsidRDefault="00F671A3" w:rsidP="00F671A3">
            <w:pPr>
              <w:jc w:val="right"/>
              <w:rPr>
                <w:lang w:val="en-GB"/>
              </w:rPr>
            </w:pPr>
            <w:r w:rsidRPr="00F4758C">
              <w:rPr>
                <w:b/>
                <w:bCs/>
                <w:lang w:val="en-GB"/>
              </w:rPr>
              <w:t>Elodie Vuarchex</w:t>
            </w:r>
            <w:r w:rsidRPr="00F4758C">
              <w:rPr>
                <w:lang w:val="en-GB"/>
              </w:rPr>
              <w:t xml:space="preserve">, Digital Accessibility Lead and Product Owner </w:t>
            </w:r>
            <w:r w:rsidRPr="00F4758C">
              <w:rPr>
                <w:lang w:val="en-GB"/>
              </w:rPr>
              <w:br/>
              <w:t xml:space="preserve">at </w:t>
            </w:r>
            <w:r w:rsidRPr="00F4758C">
              <w:rPr>
                <w:b/>
                <w:bCs/>
                <w:lang w:val="en-GB"/>
              </w:rPr>
              <w:t>CACD2</w:t>
            </w:r>
          </w:p>
        </w:tc>
      </w:tr>
    </w:tbl>
    <w:p w14:paraId="0AF33B58" w14:textId="77777777" w:rsidR="00D62C23" w:rsidRPr="00F4758C" w:rsidRDefault="00D62C23" w:rsidP="00D62C23">
      <w:pPr>
        <w:rPr>
          <w:rFonts w:eastAsia="Times New Roman"/>
          <w:lang w:val="en-GB"/>
        </w:rPr>
      </w:pP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C70D0D" w:rsidRPr="00C43137" w14:paraId="7DAAA3ED" w14:textId="77777777" w:rsidTr="00F1649B">
        <w:trPr>
          <w:jc w:val="center"/>
        </w:trPr>
        <w:tc>
          <w:tcPr>
            <w:tcW w:w="9047" w:type="dxa"/>
            <w:tcBorders>
              <w:left w:val="single" w:sz="18" w:space="0" w:color="155E48"/>
            </w:tcBorders>
            <w:shd w:val="clear" w:color="auto" w:fill="F2F2F2" w:themeFill="background1" w:themeFillShade="F2"/>
          </w:tcPr>
          <w:p w14:paraId="4DC87637" w14:textId="77777777" w:rsidR="00C70D0D" w:rsidRPr="00F4758C" w:rsidRDefault="00C70D0D" w:rsidP="0098335B">
            <w:pPr>
              <w:pStyle w:val="TitreEncart"/>
              <w:rPr>
                <w:bCs/>
                <w:lang w:val="en-GB"/>
              </w:rPr>
            </w:pPr>
            <w:bookmarkStart w:id="65" w:name="_Toc230257736"/>
            <w:r w:rsidRPr="00F4758C">
              <w:rPr>
                <w:bCs/>
                <w:lang w:val="en-GB"/>
              </w:rPr>
              <w:lastRenderedPageBreak/>
              <w:t>Case Study: Caisse des Dépôts</w:t>
            </w:r>
            <w:bookmarkEnd w:id="65"/>
          </w:p>
          <w:p w14:paraId="1E6C0B67" w14:textId="77777777" w:rsidR="00C70D0D" w:rsidRPr="00F4758C" w:rsidRDefault="00C70D0D" w:rsidP="0033608D">
            <w:pPr>
              <w:pStyle w:val="TitreencartREX"/>
              <w:rPr>
                <w:lang w:val="en-GB"/>
              </w:rPr>
            </w:pPr>
            <w:r w:rsidRPr="00F4758C">
              <w:rPr>
                <w:lang w:val="en-GB"/>
              </w:rPr>
              <w:t>How can the digital accessibility process be standardised?</w:t>
            </w:r>
          </w:p>
          <w:p w14:paraId="31FE25B7" w14:textId="78F045FD" w:rsidR="00C70D0D" w:rsidRPr="00F4758C" w:rsidRDefault="00C70D0D" w:rsidP="0098335B">
            <w:pPr>
              <w:rPr>
                <w:lang w:val="en-GB" w:eastAsia="fr-FR"/>
              </w:rPr>
            </w:pPr>
            <w:r w:rsidRPr="00F4758C">
              <w:rPr>
                <w:lang w:val="en-GB" w:eastAsia="fr-FR"/>
              </w:rPr>
              <w:t>“Standardising the digital accessibility process enables us to support staff and service providers at every key stage of the digital value chain.</w:t>
            </w:r>
          </w:p>
          <w:p w14:paraId="7DF9B944" w14:textId="77777777" w:rsidR="00C70D0D" w:rsidRPr="00F4758C" w:rsidRDefault="00C70D0D" w:rsidP="0098335B">
            <w:pPr>
              <w:rPr>
                <w:lang w:val="en-GB" w:eastAsia="fr-FR"/>
              </w:rPr>
            </w:pPr>
            <w:r w:rsidRPr="00F4758C">
              <w:rPr>
                <w:lang w:val="en-GB" w:eastAsia="fr-FR"/>
              </w:rPr>
              <w:t xml:space="preserve">A document setting out accessibility specifications is systematically made available to those involved in the design of digital services (project owners, </w:t>
            </w:r>
            <w:r w:rsidRPr="001F2368">
              <w:rPr>
                <w:lang w:val="en-GB" w:eastAsia="fr-FR"/>
              </w:rPr>
              <w:t>business analysts, UX designers</w:t>
            </w:r>
            <w:r w:rsidRPr="00F4758C">
              <w:rPr>
                <w:lang w:val="en-GB" w:eastAsia="fr-FR"/>
              </w:rPr>
              <w:t>, etc.), who are responsible for drafting rules describing how user interfaces function.</w:t>
            </w:r>
          </w:p>
          <w:p w14:paraId="70455319" w14:textId="0D69D45A" w:rsidR="00C70D0D" w:rsidRDefault="00FB296D" w:rsidP="0098335B">
            <w:pPr>
              <w:rPr>
                <w:lang w:eastAsia="fr-FR"/>
              </w:rPr>
            </w:pPr>
            <w:r>
              <w:rPr>
                <w:noProof/>
              </w:rPr>
              <w:drawing>
                <wp:inline distT="0" distB="0" distL="0" distR="0" wp14:anchorId="300436A5" wp14:editId="71779589">
                  <wp:extent cx="5384144" cy="2300990"/>
                  <wp:effectExtent l="0" t="0" r="7620" b="4445"/>
                  <wp:docPr id="1144775025" name="Graphique 1" descr="This diagram illustrates the ongoing interaction between the various disciplines involved in a digital project and the accessibility leads, to ensure the product’s compliance. The process begins with the UX/UI designers creating mock-ups, which are then translated into specifications and User Stories (US) by the project owner and the business analysts. These elements are passed on to the developers for code production. Throughout this agile cycle, symbolised by a central loop, accessibility specialists work across the organisation to facilitate discussions, review specifications and carry out acceptance testing of the developed interfaces, thereby creating a constant feedback loop between design, documentation and technical impleme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775025" name="Graphique 1" descr="This diagram illustrates the ongoing interaction between the various disciplines involved in a digital project and the accessibility leads, to ensure the product’s compliance. The process begins with the UX/UI designers creating mock-ups, which are then translated into specifications and User Stories (US) by the project owner and the business analysts. These elements are passed on to the developers for code production. Throughout this agile cycle, symbolised by a central loop, accessibility specialists work across the organisation to facilitate discussions, review specifications and carry out acceptance testing of the developed interfaces, thereby creating a constant feedback loop between design, documentation and technical implementation."/>
                          <pic:cNvPicPr/>
                        </pic:nvPicPr>
                        <pic:blipFill rotWithShape="1">
                          <a:blip r:embed="rId31">
                            <a:extLst>
                              <a:ext uri="{96DAC541-7B7A-43D3-8B79-37D633B846F1}">
                                <asvg:svgBlip xmlns:asvg="http://schemas.microsoft.com/office/drawing/2016/SVG/main" r:embed="rId32"/>
                              </a:ext>
                            </a:extLst>
                          </a:blip>
                          <a:srcRect t="13860" b="10157"/>
                          <a:stretch>
                            <a:fillRect/>
                          </a:stretch>
                        </pic:blipFill>
                        <pic:spPr bwMode="auto">
                          <a:xfrm>
                            <a:off x="0" y="0"/>
                            <a:ext cx="5384165" cy="2300999"/>
                          </a:xfrm>
                          <a:prstGeom prst="rect">
                            <a:avLst/>
                          </a:prstGeom>
                          <a:ln>
                            <a:noFill/>
                          </a:ln>
                          <a:extLst>
                            <a:ext uri="{53640926-AAD7-44D8-BBD7-CCE9431645EC}">
                              <a14:shadowObscured xmlns:a14="http://schemas.microsoft.com/office/drawing/2010/main"/>
                            </a:ext>
                          </a:extLst>
                        </pic:spPr>
                      </pic:pic>
                    </a:graphicData>
                  </a:graphic>
                </wp:inline>
              </w:drawing>
            </w:r>
          </w:p>
          <w:p w14:paraId="3DF320CF" w14:textId="77777777" w:rsidR="00FB296D" w:rsidRDefault="00FB296D" w:rsidP="0098335B">
            <w:pPr>
              <w:rPr>
                <w:b/>
                <w:bCs/>
                <w:lang w:val="en-GB" w:eastAsia="fr-FR"/>
              </w:rPr>
            </w:pPr>
          </w:p>
          <w:p w14:paraId="2E91C76A" w14:textId="4B3EA956" w:rsidR="00C70D0D" w:rsidRPr="00F4758C" w:rsidRDefault="00C70D0D" w:rsidP="0098335B">
            <w:pPr>
              <w:rPr>
                <w:lang w:val="en-GB" w:eastAsia="fr-FR"/>
              </w:rPr>
            </w:pPr>
            <w:r w:rsidRPr="00F4758C">
              <w:rPr>
                <w:b/>
                <w:bCs/>
                <w:lang w:val="en-GB" w:eastAsia="fr-FR"/>
              </w:rPr>
              <w:t xml:space="preserve">Here is how the organisation was structured </w:t>
            </w:r>
            <w:r w:rsidRPr="00F4758C">
              <w:rPr>
                <w:lang w:val="en-GB" w:eastAsia="fr-FR"/>
              </w:rPr>
              <w:t>around the roll-out of digital accessibility on a large scale:</w:t>
            </w:r>
          </w:p>
          <w:p w14:paraId="299C058D" w14:textId="77777777" w:rsidR="00C70D0D" w:rsidRPr="00F4758C" w:rsidRDefault="00C70D0D">
            <w:pPr>
              <w:pStyle w:val="Paragraphedeliste"/>
              <w:numPr>
                <w:ilvl w:val="0"/>
                <w:numId w:val="40"/>
              </w:numPr>
              <w:rPr>
                <w:lang w:val="en-GB"/>
              </w:rPr>
            </w:pPr>
            <w:r w:rsidRPr="00F4758C">
              <w:rPr>
                <w:lang w:val="en-GB"/>
              </w:rPr>
              <w:t>Prerequisite: all those involved in the creation process are, at the very least, informed – or even made aware of – accessibility, or, better still, trained in accessibility and its mandatory nature in their work;</w:t>
            </w:r>
          </w:p>
          <w:p w14:paraId="618DB61B" w14:textId="37350D69" w:rsidR="00C70D0D" w:rsidRPr="00F4758C" w:rsidRDefault="00C70D0D">
            <w:pPr>
              <w:pStyle w:val="Paragraphedeliste"/>
              <w:numPr>
                <w:ilvl w:val="0"/>
                <w:numId w:val="40"/>
              </w:numPr>
              <w:rPr>
                <w:lang w:val="en-GB"/>
              </w:rPr>
            </w:pPr>
            <w:r w:rsidRPr="00F4758C">
              <w:rPr>
                <w:lang w:val="en-GB"/>
              </w:rPr>
              <w:t>The person responsible for designing mock-ups (</w:t>
            </w:r>
            <w:r w:rsidRPr="001F2368">
              <w:rPr>
                <w:lang w:val="en-GB"/>
              </w:rPr>
              <w:t>UX/UI Designer</w:t>
            </w:r>
            <w:r w:rsidRPr="00F4758C">
              <w:rPr>
                <w:lang w:val="en-GB"/>
              </w:rPr>
              <w:t>) creates mock-ups which are submitted to the subject matter experts and then sent to those responsible for the functional specifications (</w:t>
            </w:r>
            <w:r w:rsidR="000302F6" w:rsidRPr="001F2368">
              <w:rPr>
                <w:lang w:val="en-GB"/>
              </w:rPr>
              <w:t xml:space="preserve">Project </w:t>
            </w:r>
            <w:r w:rsidRPr="001F2368">
              <w:rPr>
                <w:lang w:val="en-GB"/>
              </w:rPr>
              <w:t xml:space="preserve">Owners/Business </w:t>
            </w:r>
            <w:r w:rsidR="000302F6" w:rsidRPr="001F2368">
              <w:rPr>
                <w:lang w:val="en-GB"/>
              </w:rPr>
              <w:t>Analysts</w:t>
            </w:r>
            <w:r w:rsidRPr="00F4758C">
              <w:rPr>
                <w:lang w:val="en-GB"/>
              </w:rPr>
              <w:t>);</w:t>
            </w:r>
          </w:p>
          <w:p w14:paraId="14901961" w14:textId="7C207E2B" w:rsidR="00C70D0D" w:rsidRPr="00F4758C" w:rsidRDefault="00C70D0D">
            <w:pPr>
              <w:pStyle w:val="Paragraphedeliste"/>
              <w:numPr>
                <w:ilvl w:val="0"/>
                <w:numId w:val="40"/>
              </w:numPr>
              <w:rPr>
                <w:lang w:val="en-GB"/>
              </w:rPr>
            </w:pPr>
            <w:r w:rsidRPr="00F4758C">
              <w:rPr>
                <w:lang w:val="en-GB"/>
              </w:rPr>
              <w:t>The latter produce functional specifications or product documentation</w:t>
            </w:r>
            <w:r w:rsidR="00C814C0" w:rsidRPr="00F4758C">
              <w:rPr>
                <w:lang w:val="en-GB"/>
              </w:rPr>
              <w:t xml:space="preserve">, </w:t>
            </w:r>
            <w:r w:rsidRPr="00F4758C">
              <w:rPr>
                <w:lang w:val="en-GB"/>
              </w:rPr>
              <w:t xml:space="preserve">following the </w:t>
            </w:r>
            <w:r w:rsidRPr="001F2368">
              <w:rPr>
                <w:lang w:val="en-GB"/>
              </w:rPr>
              <w:t xml:space="preserve">checklist </w:t>
            </w:r>
            <w:r w:rsidRPr="00F4758C">
              <w:rPr>
                <w:lang w:val="en-GB"/>
              </w:rPr>
              <w:t>and the specifications document drawn up by the subject matter experts. They may consult the accessibility subject matter experts for any further details or clarifications;</w:t>
            </w:r>
          </w:p>
          <w:p w14:paraId="772A6378" w14:textId="77777777" w:rsidR="00C70D0D" w:rsidRPr="00F4758C" w:rsidRDefault="00C70D0D">
            <w:pPr>
              <w:pStyle w:val="Paragraphedeliste"/>
              <w:numPr>
                <w:ilvl w:val="0"/>
                <w:numId w:val="40"/>
              </w:numPr>
              <w:rPr>
                <w:lang w:val="en-GB"/>
              </w:rPr>
            </w:pPr>
            <w:r w:rsidRPr="00F4758C">
              <w:rPr>
                <w:lang w:val="en-GB"/>
              </w:rPr>
              <w:t>The functional specifications are sent to the developers;</w:t>
            </w:r>
          </w:p>
          <w:p w14:paraId="3036EC81" w14:textId="77777777" w:rsidR="00C70D0D" w:rsidRPr="00F4758C" w:rsidRDefault="00C70D0D">
            <w:pPr>
              <w:pStyle w:val="Paragraphedeliste"/>
              <w:numPr>
                <w:ilvl w:val="0"/>
                <w:numId w:val="40"/>
              </w:numPr>
              <w:rPr>
                <w:lang w:val="en-GB"/>
              </w:rPr>
            </w:pPr>
            <w:r w:rsidRPr="00F4758C">
              <w:rPr>
                <w:lang w:val="en-GB"/>
              </w:rPr>
              <w:t>The developers follow the functional specifications and technical specifications provided when developing the interfaces;</w:t>
            </w:r>
          </w:p>
          <w:p w14:paraId="461BD8B8" w14:textId="77777777" w:rsidR="00C70D0D" w:rsidRPr="00F4758C" w:rsidRDefault="00C70D0D">
            <w:pPr>
              <w:pStyle w:val="Paragraphedeliste"/>
              <w:numPr>
                <w:ilvl w:val="0"/>
                <w:numId w:val="40"/>
              </w:numPr>
              <w:rPr>
                <w:lang w:val="en-GB"/>
              </w:rPr>
            </w:pPr>
            <w:r w:rsidRPr="00F4758C">
              <w:rPr>
                <w:lang w:val="en-GB"/>
              </w:rPr>
              <w:lastRenderedPageBreak/>
              <w:t xml:space="preserve">Project owners and </w:t>
            </w:r>
            <w:r w:rsidRPr="001F2368">
              <w:rPr>
                <w:lang w:val="en-GB"/>
              </w:rPr>
              <w:t xml:space="preserve">business analysts </w:t>
            </w:r>
            <w:r w:rsidRPr="00F4758C">
              <w:rPr>
                <w:lang w:val="en-GB"/>
              </w:rPr>
              <w:t>carry out an initial acceptance test to verify that the accessibility specifications have been met;</w:t>
            </w:r>
          </w:p>
          <w:p w14:paraId="3555EC1A" w14:textId="77777777" w:rsidR="00C70D0D" w:rsidRPr="00F4758C" w:rsidRDefault="00C70D0D">
            <w:pPr>
              <w:pStyle w:val="Paragraphedeliste"/>
              <w:numPr>
                <w:ilvl w:val="0"/>
                <w:numId w:val="40"/>
              </w:numPr>
              <w:rPr>
                <w:lang w:val="en-GB"/>
              </w:rPr>
            </w:pPr>
            <w:r w:rsidRPr="00F4758C">
              <w:rPr>
                <w:lang w:val="en-GB"/>
              </w:rPr>
              <w:t>The accessibility leads carry out a second-level acceptance test and validate the compliance of the developments.</w:t>
            </w:r>
          </w:p>
          <w:p w14:paraId="3C4F7271" w14:textId="756611E4" w:rsidR="00C70D0D" w:rsidRPr="00F4758C" w:rsidRDefault="00C70D0D" w:rsidP="0098335B">
            <w:pPr>
              <w:rPr>
                <w:lang w:val="en-GB" w:eastAsia="fr-FR"/>
              </w:rPr>
            </w:pPr>
            <w:r w:rsidRPr="00F4758C">
              <w:rPr>
                <w:b/>
                <w:bCs/>
                <w:lang w:val="en-GB" w:eastAsia="fr-FR"/>
              </w:rPr>
              <w:t>NB</w:t>
            </w:r>
            <w:r w:rsidRPr="00F4758C">
              <w:rPr>
                <w:lang w:val="en-GB" w:eastAsia="fr-FR"/>
              </w:rPr>
              <w:t>: It should be noted that the relationship between the accessibility leads, the project owner and the developers is triangular and iterative, progressing in line with the development sprints</w:t>
            </w:r>
            <w:r w:rsidR="00F755EB" w:rsidRPr="00F4758C">
              <w:rPr>
                <w:lang w:val="en-GB" w:eastAsia="fr-FR"/>
              </w:rPr>
              <w:t>.”</w:t>
            </w:r>
          </w:p>
          <w:p w14:paraId="4EE64074" w14:textId="62327471" w:rsidR="00C70D0D" w:rsidRDefault="00354DFA" w:rsidP="0098335B">
            <w:pPr>
              <w:jc w:val="center"/>
              <w:rPr>
                <w:lang w:eastAsia="fr-FR"/>
              </w:rPr>
            </w:pPr>
            <w:r>
              <w:rPr>
                <w:noProof/>
              </w:rPr>
              <w:drawing>
                <wp:inline distT="0" distB="0" distL="0" distR="0" wp14:anchorId="44A9ED1D" wp14:editId="7C459C08">
                  <wp:extent cx="5384165" cy="3028315"/>
                  <wp:effectExtent l="0" t="0" r="6985" b="635"/>
                  <wp:docPr id="1551599646" name="Graphique 1" descr="This diagram, entitled ‘2022: Scaling up the approach’, illustrates the support pathway proposed by the Caisse des Dépôts’ accessibility unit to ensure that disability is systematically taken into account in digital projects. Depicted as a journey towards success (symbolised by a rocket), this approach comprises five key stages for staff: receiving training in accessibility, designing and developing accessible solutions, testing or having solutions tested, and finally making a lasting contribution to inclusive services. The overall aim is to transform the practices of project teams to make digital accessibility an industry standard, thereby ensuring a digital transformation of society that excludes no 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599646" name="Graphique 1" descr="This diagram, entitled ‘2022: Scaling up the approach’, illustrates the support pathway proposed by the Caisse des Dépôts’ accessibility unit to ensure that disability is systematically taken into account in digital projects. Depicted as a journey towards success (symbolised by a rocket), this approach comprises five key stages for staff: receiving training in accessibility, designing and developing accessible solutions, testing or having solutions tested, and finally making a lasting contribution to inclusive services. The overall aim is to transform the practices of project teams to make digital accessibility an industry standard, thereby ensuring a digital transformation of society that excludes no one."/>
                          <pic:cNvPicPr/>
                        </pic:nvPicPr>
                        <pic:blipFill>
                          <a:blip r:embed="rId33">
                            <a:extLst>
                              <a:ext uri="{96DAC541-7B7A-43D3-8B79-37D633B846F1}">
                                <asvg:svgBlip xmlns:asvg="http://schemas.microsoft.com/office/drawing/2016/SVG/main" r:embed="rId34"/>
                              </a:ext>
                            </a:extLst>
                          </a:blip>
                          <a:stretch>
                            <a:fillRect/>
                          </a:stretch>
                        </pic:blipFill>
                        <pic:spPr>
                          <a:xfrm>
                            <a:off x="0" y="0"/>
                            <a:ext cx="5384165" cy="3028315"/>
                          </a:xfrm>
                          <a:prstGeom prst="rect">
                            <a:avLst/>
                          </a:prstGeom>
                        </pic:spPr>
                      </pic:pic>
                    </a:graphicData>
                  </a:graphic>
                </wp:inline>
              </w:drawing>
            </w:r>
          </w:p>
          <w:p w14:paraId="72436F17" w14:textId="77777777" w:rsidR="00C70D0D" w:rsidRDefault="00C70D0D" w:rsidP="0098335B">
            <w:pPr>
              <w:jc w:val="right"/>
              <w:rPr>
                <w:b/>
                <w:bCs/>
                <w:lang w:eastAsia="fr-FR"/>
              </w:rPr>
            </w:pPr>
          </w:p>
          <w:p w14:paraId="2009B41A" w14:textId="77777777" w:rsidR="00C70D0D" w:rsidRPr="002D2C27" w:rsidRDefault="00C70D0D" w:rsidP="0098335B">
            <w:pPr>
              <w:jc w:val="right"/>
              <w:rPr>
                <w:lang w:eastAsia="fr-FR"/>
              </w:rPr>
            </w:pPr>
            <w:r w:rsidRPr="002D2C27">
              <w:rPr>
                <w:b/>
                <w:bCs/>
                <w:lang w:eastAsia="fr-FR"/>
              </w:rPr>
              <w:t>Yann Goupil</w:t>
            </w:r>
            <w:r w:rsidRPr="002D2C27">
              <w:rPr>
                <w:lang w:eastAsia="fr-FR"/>
              </w:rPr>
              <w:t xml:space="preserve">, Digital Accessibility Lead at the </w:t>
            </w:r>
            <w:r w:rsidRPr="002D2C27">
              <w:rPr>
                <w:b/>
                <w:bCs/>
                <w:lang w:eastAsia="fr-FR"/>
              </w:rPr>
              <w:t xml:space="preserve">Caisse des Dépôts </w:t>
            </w:r>
            <w:r w:rsidRPr="002D2C27">
              <w:rPr>
                <w:lang w:eastAsia="fr-FR"/>
              </w:rPr>
              <w:t>Public Institution</w:t>
            </w:r>
          </w:p>
          <w:p w14:paraId="06FB9C5F" w14:textId="2D5A23D6" w:rsidR="00C70D0D" w:rsidRPr="00C43137" w:rsidRDefault="00C70D0D" w:rsidP="00646CD1">
            <w:pPr>
              <w:jc w:val="center"/>
              <w:rPr>
                <w:lang w:eastAsia="fr-FR"/>
              </w:rPr>
            </w:pPr>
            <w:r>
              <w:rPr>
                <w:b/>
                <w:bCs/>
                <w:lang w:eastAsia="fr-FR"/>
              </w:rPr>
              <w:t xml:space="preserve">                                             </w:t>
            </w:r>
            <w:r w:rsidRPr="002D2C27">
              <w:rPr>
                <w:b/>
                <w:bCs/>
                <w:lang w:eastAsia="fr-FR"/>
              </w:rPr>
              <w:t>Délia Garbarini</w:t>
            </w:r>
            <w:r w:rsidRPr="002D2C27">
              <w:rPr>
                <w:lang w:eastAsia="fr-FR"/>
              </w:rPr>
              <w:t xml:space="preserve">, Digital Accessibility Lead, </w:t>
            </w:r>
            <w:r w:rsidRPr="002D2C27">
              <w:rPr>
                <w:b/>
                <w:bCs/>
                <w:lang w:eastAsia="fr-FR"/>
              </w:rPr>
              <w:t>CDC IT</w:t>
            </w:r>
          </w:p>
        </w:tc>
      </w:tr>
    </w:tbl>
    <w:p w14:paraId="6726DC37" w14:textId="77777777" w:rsidR="00C70D0D" w:rsidRDefault="00C70D0D" w:rsidP="007B2E61">
      <w:pPr>
        <w:rPr>
          <w:rFonts w:eastAsia="Times New Roman"/>
        </w:rPr>
      </w:pPr>
    </w:p>
    <w:p w14:paraId="1B8573A1" w14:textId="4150A73E" w:rsidR="006E1221" w:rsidRPr="00F4758C" w:rsidRDefault="006E1221" w:rsidP="007B2E61">
      <w:pPr>
        <w:rPr>
          <w:rFonts w:eastAsia="Times New Roman"/>
          <w:lang w:val="en-GB"/>
        </w:rPr>
      </w:pPr>
      <w:r w:rsidRPr="00F4758C">
        <w:rPr>
          <w:rFonts w:eastAsia="Times New Roman"/>
          <w:lang w:val="en-GB"/>
        </w:rPr>
        <w:t xml:space="preserve">Digital </w:t>
      </w:r>
      <w:r w:rsidR="004B3BB1" w:rsidRPr="00F4758C">
        <w:rPr>
          <w:rFonts w:eastAsia="Times New Roman"/>
          <w:lang w:val="en-GB"/>
        </w:rPr>
        <w:t>accessibility</w:t>
      </w:r>
      <w:r w:rsidRPr="00F4758C">
        <w:rPr>
          <w:rFonts w:eastAsia="Times New Roman"/>
          <w:lang w:val="en-GB"/>
        </w:rPr>
        <w:t xml:space="preserve"> is a genuine </w:t>
      </w:r>
      <w:r w:rsidRPr="00F4758C">
        <w:rPr>
          <w:rFonts w:eastAsia="Times New Roman"/>
          <w:b/>
          <w:bCs/>
          <w:lang w:val="en-GB"/>
        </w:rPr>
        <w:t>user-centred</w:t>
      </w:r>
      <w:r w:rsidRPr="00F4758C">
        <w:rPr>
          <w:rFonts w:eastAsia="Times New Roman"/>
          <w:lang w:val="en-GB"/>
        </w:rPr>
        <w:t xml:space="preserve"> approach (primarily focused on UX) involving user participation at the early stages of the project, alongside user testing that places people with disabilities at </w:t>
      </w:r>
      <w:r w:rsidR="000234FC" w:rsidRPr="00F4758C">
        <w:rPr>
          <w:rFonts w:eastAsia="Times New Roman"/>
          <w:lang w:val="en-GB"/>
        </w:rPr>
        <w:t xml:space="preserve">the heart of </w:t>
      </w:r>
      <w:r w:rsidRPr="00F4758C">
        <w:rPr>
          <w:rFonts w:eastAsia="Times New Roman"/>
          <w:lang w:val="en-GB"/>
        </w:rPr>
        <w:t xml:space="preserve">the process. All these </w:t>
      </w:r>
      <w:r w:rsidR="000234FC" w:rsidRPr="00F4758C">
        <w:rPr>
          <w:rFonts w:eastAsia="Times New Roman"/>
          <w:lang w:val="en-GB"/>
        </w:rPr>
        <w:t xml:space="preserve">practices </w:t>
      </w:r>
      <w:r w:rsidRPr="00F4758C">
        <w:rPr>
          <w:rFonts w:eastAsia="Times New Roman"/>
          <w:lang w:val="en-GB"/>
        </w:rPr>
        <w:t xml:space="preserve">ensure the genuine </w:t>
      </w:r>
      <w:r w:rsidRPr="00F4758C">
        <w:rPr>
          <w:rFonts w:eastAsia="Times New Roman"/>
          <w:b/>
          <w:bCs/>
          <w:lang w:val="en-GB"/>
        </w:rPr>
        <w:t xml:space="preserve">usability </w:t>
      </w:r>
      <w:r w:rsidRPr="00F4758C">
        <w:rPr>
          <w:rFonts w:eastAsia="Times New Roman"/>
          <w:lang w:val="en-GB"/>
        </w:rPr>
        <w:t xml:space="preserve">of digital sites and applications, going beyond mere compliance. Indeed, it is worth noting that a website that is 100 per cent compliant is not necessarily 100 per cent accessible: issues such as dyslexia or mental health conditions, for example, are not taken into account in the RGAA. Furthermore, some websites that are 100 per cent accessible may not necessarily be very practical for users with disabilities to use, sometimes due to usability issues. </w:t>
      </w:r>
      <w:r w:rsidR="001E440D" w:rsidRPr="00F4758C">
        <w:rPr>
          <w:rFonts w:eastAsia="Times New Roman"/>
          <w:lang w:val="en-GB"/>
        </w:rPr>
        <w:t>Digital accessibility</w:t>
      </w:r>
      <w:r w:rsidRPr="00F4758C">
        <w:rPr>
          <w:rFonts w:eastAsia="Times New Roman"/>
          <w:lang w:val="en-GB"/>
        </w:rPr>
        <w:t xml:space="preserve"> criteria, in terms of compliance, are technical and ‘objective’. However, during a user test, the results will always be subjective and dependent on the type of user and their disability. </w:t>
      </w:r>
    </w:p>
    <w:p w14:paraId="66849AF2" w14:textId="02EF7C0C" w:rsidR="006E1221" w:rsidRDefault="006E1221" w:rsidP="006E1221">
      <w:pPr>
        <w:pStyle w:val="Titre2"/>
      </w:pPr>
      <w:bookmarkStart w:id="66" w:name="_Toc230077024"/>
      <w:bookmarkEnd w:id="66"/>
      <w:r>
        <w:lastRenderedPageBreak/>
        <w:t xml:space="preserve"> </w:t>
      </w:r>
      <w:r w:rsidRPr="006E1221">
        <w:t xml:space="preserve">tools and technical levers </w:t>
      </w:r>
    </w:p>
    <w:p w14:paraId="38762150" w14:textId="17712280" w:rsidR="006E1221" w:rsidRPr="00F4758C" w:rsidRDefault="006E1221" w:rsidP="006E1221">
      <w:pPr>
        <w:rPr>
          <w:rFonts w:eastAsia="Times New Roman"/>
          <w:lang w:val="en-GB"/>
        </w:rPr>
      </w:pPr>
      <w:r w:rsidRPr="00F4758C">
        <w:rPr>
          <w:rFonts w:eastAsia="Times New Roman"/>
          <w:lang w:val="en-GB"/>
        </w:rPr>
        <w:t xml:space="preserve">The success of a digital accessibility roll-out initiative across a large organisation cannot be limited to the mere technical application of standards, </w:t>
      </w:r>
      <w:r w:rsidR="004B3BB1" w:rsidRPr="00F4758C">
        <w:rPr>
          <w:rFonts w:eastAsia="Times New Roman"/>
          <w:lang w:val="en-GB"/>
        </w:rPr>
        <w:t xml:space="preserve">such </w:t>
      </w:r>
      <w:r w:rsidRPr="00F4758C">
        <w:rPr>
          <w:rFonts w:eastAsia="Times New Roman"/>
          <w:lang w:val="en-GB"/>
        </w:rPr>
        <w:t xml:space="preserve">as the </w:t>
      </w:r>
      <w:r w:rsidR="0014347D">
        <w:rPr>
          <w:rFonts w:eastAsia="Times New Roman"/>
          <w:lang w:val="en-GB"/>
        </w:rPr>
        <w:t xml:space="preserve">RGAA (France’s </w:t>
      </w:r>
      <w:r w:rsidRPr="00F4758C">
        <w:rPr>
          <w:rFonts w:eastAsia="Times New Roman"/>
          <w:lang w:val="en-GB"/>
        </w:rPr>
        <w:t>General Framework for Improving Accessibility</w:t>
      </w:r>
      <w:r w:rsidR="0014347D">
        <w:rPr>
          <w:rFonts w:eastAsia="Times New Roman"/>
          <w:lang w:val="en-GB"/>
        </w:rPr>
        <w:t>)</w:t>
      </w:r>
      <w:r w:rsidRPr="00F4758C">
        <w:rPr>
          <w:rFonts w:eastAsia="Times New Roman"/>
          <w:lang w:val="en-GB"/>
        </w:rPr>
        <w:t xml:space="preserve">. It is intrinsically based on a </w:t>
      </w:r>
      <w:r w:rsidRPr="00F4758C">
        <w:rPr>
          <w:rFonts w:eastAsia="Times New Roman"/>
          <w:b/>
          <w:bCs/>
          <w:lang w:val="en-GB"/>
        </w:rPr>
        <w:t xml:space="preserve">profound cultural transformation </w:t>
      </w:r>
      <w:r w:rsidRPr="00F4758C">
        <w:rPr>
          <w:rFonts w:eastAsia="Times New Roman"/>
          <w:lang w:val="en-GB"/>
        </w:rPr>
        <w:t xml:space="preserve">and on the </w:t>
      </w:r>
      <w:r w:rsidRPr="00F4758C">
        <w:rPr>
          <w:rFonts w:eastAsia="Times New Roman"/>
          <w:b/>
          <w:bCs/>
          <w:lang w:val="en-GB"/>
        </w:rPr>
        <w:t xml:space="preserve">provision of tools and methodologies </w:t>
      </w:r>
      <w:r w:rsidRPr="00F4758C">
        <w:rPr>
          <w:rFonts w:eastAsia="Times New Roman"/>
          <w:lang w:val="en-GB"/>
        </w:rPr>
        <w:t xml:space="preserve">enabling each professional group to integrate </w:t>
      </w:r>
      <w:r w:rsidR="00230C35" w:rsidRPr="00F4758C">
        <w:rPr>
          <w:rFonts w:eastAsia="Times New Roman"/>
          <w:lang w:val="en-GB"/>
        </w:rPr>
        <w:t xml:space="preserve">digital accessibility </w:t>
      </w:r>
      <w:r w:rsidRPr="00F4758C">
        <w:rPr>
          <w:rFonts w:eastAsia="Times New Roman"/>
          <w:lang w:val="en-GB"/>
        </w:rPr>
        <w:t>as a fundamental quality criterion, rather than as an additional constraint or an afterthought.</w:t>
      </w:r>
    </w:p>
    <w:p w14:paraId="0B2763B6" w14:textId="19E398C8" w:rsidR="006E1221" w:rsidRDefault="006E1221" w:rsidP="006E1221">
      <w:pPr>
        <w:pStyle w:val="Titre3"/>
      </w:pPr>
      <w:bookmarkStart w:id="67" w:name="_Toc230077025"/>
      <w:r w:rsidRPr="006E1221">
        <w:t>Methods and tools for fostering a culture of accessibility</w:t>
      </w:r>
      <w:bookmarkEnd w:id="67"/>
    </w:p>
    <w:p w14:paraId="0076DA3E" w14:textId="77777777" w:rsidR="006E1221" w:rsidRPr="006E1221" w:rsidRDefault="006E1221" w:rsidP="006E1221">
      <w:pPr>
        <w:rPr>
          <w:rFonts w:eastAsia="Times New Roman"/>
        </w:rPr>
      </w:pPr>
      <w:r w:rsidRPr="00F4758C">
        <w:rPr>
          <w:rFonts w:eastAsia="Times New Roman"/>
          <w:lang w:val="en-GB"/>
        </w:rPr>
        <w:t xml:space="preserve">Digital accessibility must involve all stakeholders, from business teams (responsible for requirements and content) to suppliers (through strict accessibility clauses in public and private procurement contracts). </w:t>
      </w:r>
      <w:r w:rsidRPr="006E1221">
        <w:rPr>
          <w:rFonts w:eastAsia="Times New Roman"/>
        </w:rPr>
        <w:t>To achieve this, it is necessary to:</w:t>
      </w:r>
    </w:p>
    <w:p w14:paraId="6A9F2090" w14:textId="7D9200EB" w:rsidR="006E1221" w:rsidRPr="00F4758C" w:rsidRDefault="006E1221">
      <w:pPr>
        <w:pStyle w:val="Paragraphedeliste"/>
        <w:numPr>
          <w:ilvl w:val="0"/>
          <w:numId w:val="29"/>
        </w:numPr>
        <w:rPr>
          <w:rFonts w:eastAsia="Times New Roman"/>
          <w:lang w:val="en-GB"/>
        </w:rPr>
      </w:pPr>
      <w:r w:rsidRPr="00F4758C">
        <w:rPr>
          <w:rFonts w:eastAsia="Times New Roman"/>
          <w:b/>
          <w:bCs/>
          <w:lang w:val="en-GB"/>
        </w:rPr>
        <w:t xml:space="preserve">Formalise </w:t>
      </w:r>
      <w:r w:rsidR="000234FC" w:rsidRPr="00F4758C">
        <w:rPr>
          <w:rFonts w:eastAsia="Times New Roman"/>
          <w:b/>
          <w:bCs/>
          <w:lang w:val="en-GB"/>
        </w:rPr>
        <w:t xml:space="preserve">digital accessibility </w:t>
      </w:r>
      <w:r w:rsidRPr="00F4758C">
        <w:rPr>
          <w:rFonts w:eastAsia="Times New Roman"/>
          <w:b/>
          <w:bCs/>
          <w:lang w:val="en-GB"/>
        </w:rPr>
        <w:t>within internal processes by embedding it in the organisation’s culture</w:t>
      </w:r>
      <w:r w:rsidRPr="00F4758C">
        <w:rPr>
          <w:rFonts w:eastAsia="Times New Roman"/>
          <w:lang w:val="en-GB"/>
        </w:rPr>
        <w:t xml:space="preserve">: include in </w:t>
      </w:r>
      <w:r w:rsidR="00C814C0" w:rsidRPr="00F4758C">
        <w:rPr>
          <w:rFonts w:eastAsia="Times New Roman"/>
          <w:lang w:val="en-GB"/>
        </w:rPr>
        <w:t xml:space="preserve">every employee’s </w:t>
      </w:r>
      <w:r w:rsidRPr="001F2368">
        <w:rPr>
          <w:rFonts w:eastAsia="Times New Roman"/>
          <w:lang w:val="en-GB"/>
        </w:rPr>
        <w:t>onboarding</w:t>
      </w:r>
      <w:r w:rsidRPr="00F4758C">
        <w:rPr>
          <w:rFonts w:eastAsia="Times New Roman"/>
          <w:lang w:val="en-GB"/>
        </w:rPr>
        <w:t xml:space="preserve"> programme an </w:t>
      </w:r>
      <w:r w:rsidR="001F2368">
        <w:rPr>
          <w:rFonts w:eastAsia="Times New Roman"/>
          <w:lang w:val="en-GB"/>
        </w:rPr>
        <w:t>“</w:t>
      </w:r>
      <w:r w:rsidRPr="001F2368">
        <w:rPr>
          <w:rFonts w:eastAsia="Times New Roman"/>
          <w:lang w:val="en-GB"/>
        </w:rPr>
        <w:t xml:space="preserve">accessibility </w:t>
      </w:r>
      <w:r w:rsidR="000937C7" w:rsidRPr="00F4758C">
        <w:rPr>
          <w:rFonts w:eastAsia="Times New Roman"/>
          <w:lang w:val="en-GB"/>
        </w:rPr>
        <w:t>starter</w:t>
      </w:r>
      <w:r w:rsidR="001F2368">
        <w:rPr>
          <w:rFonts w:eastAsia="Times New Roman"/>
          <w:lang w:val="en-GB"/>
        </w:rPr>
        <w:t>”</w:t>
      </w:r>
      <w:r w:rsidRPr="00F4758C">
        <w:rPr>
          <w:rFonts w:eastAsia="Times New Roman"/>
          <w:lang w:val="en-GB"/>
        </w:rPr>
        <w:t xml:space="preserve"> session lasting at least one hour</w:t>
      </w:r>
      <w:r w:rsidR="00C814C0" w:rsidRPr="00F4758C">
        <w:rPr>
          <w:rFonts w:eastAsia="Times New Roman"/>
          <w:lang w:val="en-GB"/>
        </w:rPr>
        <w:t xml:space="preserve">, </w:t>
      </w:r>
      <w:r w:rsidRPr="00F4758C">
        <w:rPr>
          <w:rFonts w:eastAsia="Times New Roman"/>
          <w:lang w:val="en-GB"/>
        </w:rPr>
        <w:t>covering the activities and projects of the digital accessibility unit, and incorporating a final assessment questionnaire.</w:t>
      </w:r>
    </w:p>
    <w:p w14:paraId="75B11C50" w14:textId="0E15D15A" w:rsidR="006E1221" w:rsidRPr="00F4758C" w:rsidRDefault="006E1221">
      <w:pPr>
        <w:pStyle w:val="Paragraphedeliste"/>
        <w:numPr>
          <w:ilvl w:val="0"/>
          <w:numId w:val="29"/>
        </w:numPr>
        <w:rPr>
          <w:rFonts w:eastAsia="Times New Roman"/>
          <w:lang w:val="en-GB"/>
        </w:rPr>
      </w:pPr>
      <w:r w:rsidRPr="00F4758C">
        <w:rPr>
          <w:rFonts w:eastAsia="Times New Roman"/>
          <w:b/>
          <w:bCs/>
          <w:lang w:val="en-GB"/>
        </w:rPr>
        <w:t xml:space="preserve">Provide the procurement department with resources </w:t>
      </w:r>
      <w:r w:rsidRPr="00F4758C">
        <w:rPr>
          <w:rFonts w:eastAsia="Times New Roman"/>
          <w:lang w:val="en-GB"/>
        </w:rPr>
        <w:t>such as standard digital accessibility clauses and specifications, as described in detail in section 2.3.</w:t>
      </w:r>
    </w:p>
    <w:p w14:paraId="269812DD" w14:textId="77777777" w:rsidR="006E1221" w:rsidRPr="00F4758C" w:rsidRDefault="006E1221">
      <w:pPr>
        <w:pStyle w:val="Paragraphedeliste"/>
        <w:numPr>
          <w:ilvl w:val="0"/>
          <w:numId w:val="29"/>
        </w:numPr>
        <w:rPr>
          <w:rFonts w:eastAsia="Times New Roman"/>
          <w:lang w:val="en-GB"/>
        </w:rPr>
      </w:pPr>
      <w:r w:rsidRPr="00F4758C">
        <w:rPr>
          <w:rFonts w:eastAsia="Times New Roman"/>
          <w:b/>
          <w:bCs/>
          <w:lang w:val="en-GB"/>
        </w:rPr>
        <w:t>Raise awareness across the organisation</w:t>
      </w:r>
      <w:r w:rsidRPr="00F4758C">
        <w:rPr>
          <w:rFonts w:eastAsia="Times New Roman"/>
          <w:lang w:val="en-GB"/>
        </w:rPr>
        <w:t xml:space="preserve">: </w:t>
      </w:r>
    </w:p>
    <w:p w14:paraId="33186E0B" w14:textId="62EC0D8B" w:rsidR="006E1221" w:rsidRPr="00F4758C" w:rsidRDefault="006E1221">
      <w:pPr>
        <w:pStyle w:val="Paragraphedeliste"/>
        <w:numPr>
          <w:ilvl w:val="1"/>
          <w:numId w:val="29"/>
        </w:numPr>
        <w:rPr>
          <w:rFonts w:eastAsia="Times New Roman"/>
          <w:lang w:val="en-GB"/>
        </w:rPr>
      </w:pPr>
      <w:r w:rsidRPr="00F4758C">
        <w:rPr>
          <w:rFonts w:eastAsia="Times New Roman"/>
          <w:lang w:val="en-GB"/>
        </w:rPr>
        <w:t>Implement initiatives to raise awareness amongst all staff, not just technical teams</w:t>
      </w:r>
      <w:r w:rsidR="000234FC" w:rsidRPr="00F4758C">
        <w:rPr>
          <w:rFonts w:eastAsia="Times New Roman"/>
          <w:lang w:val="en-GB"/>
        </w:rPr>
        <w:t>;</w:t>
      </w:r>
    </w:p>
    <w:p w14:paraId="4B4279F5" w14:textId="19A9A721" w:rsidR="006E1221" w:rsidRPr="00F4758C" w:rsidRDefault="006E1221">
      <w:pPr>
        <w:pStyle w:val="Paragraphedeliste"/>
        <w:numPr>
          <w:ilvl w:val="1"/>
          <w:numId w:val="29"/>
        </w:numPr>
        <w:rPr>
          <w:rFonts w:eastAsia="Times New Roman"/>
          <w:lang w:val="en-GB"/>
        </w:rPr>
      </w:pPr>
      <w:r w:rsidRPr="00F4758C">
        <w:rPr>
          <w:rFonts w:eastAsia="Times New Roman"/>
          <w:lang w:val="en-GB"/>
        </w:rPr>
        <w:t xml:space="preserve">Offer </w:t>
      </w:r>
      <w:r w:rsidR="001E440D" w:rsidRPr="00F4758C">
        <w:rPr>
          <w:rFonts w:eastAsia="Times New Roman"/>
          <w:lang w:val="en-GB"/>
        </w:rPr>
        <w:t>specific training courses,</w:t>
      </w:r>
      <w:r w:rsidRPr="00F4758C">
        <w:rPr>
          <w:rFonts w:eastAsia="Times New Roman"/>
          <w:lang w:val="en-GB"/>
        </w:rPr>
        <w:t xml:space="preserve"> tailored to the employee’s profile and career path</w:t>
      </w:r>
      <w:r w:rsidR="001E440D" w:rsidRPr="00F4758C">
        <w:rPr>
          <w:rFonts w:eastAsia="Times New Roman"/>
          <w:lang w:val="en-GB"/>
        </w:rPr>
        <w:t xml:space="preserve">, </w:t>
      </w:r>
      <w:r w:rsidR="000234FC" w:rsidRPr="00F4758C">
        <w:rPr>
          <w:rFonts w:eastAsia="Times New Roman"/>
          <w:lang w:val="en-GB"/>
        </w:rPr>
        <w:t xml:space="preserve">such as modules on writing and creating accessible materials, </w:t>
      </w:r>
      <w:r w:rsidR="001C77FE" w:rsidRPr="00F4758C">
        <w:rPr>
          <w:rFonts w:eastAsia="Times New Roman"/>
          <w:lang w:val="en-GB"/>
        </w:rPr>
        <w:t>or on communicating via social media</w:t>
      </w:r>
      <w:r w:rsidR="001C77FE">
        <w:rPr>
          <w:rStyle w:val="Appelnotedebasdep"/>
          <w:rFonts w:eastAsia="Times New Roman"/>
        </w:rPr>
        <w:footnoteReference w:id="30"/>
      </w:r>
      <w:r w:rsidR="001C77FE" w:rsidRPr="00F4758C">
        <w:rPr>
          <w:rFonts w:eastAsia="Times New Roman"/>
          <w:lang w:val="en-GB"/>
        </w:rPr>
        <w:t xml:space="preserve"> , </w:t>
      </w:r>
      <w:r w:rsidR="000234FC" w:rsidRPr="00F4758C">
        <w:rPr>
          <w:rFonts w:eastAsia="Times New Roman"/>
          <w:lang w:val="en-GB"/>
        </w:rPr>
        <w:t xml:space="preserve">demonstrating that it is possible to reconcile editorial quality with compliance </w:t>
      </w:r>
      <w:r w:rsidRPr="00F4758C">
        <w:rPr>
          <w:rFonts w:eastAsia="Times New Roman"/>
          <w:lang w:val="en-GB"/>
        </w:rPr>
        <w:t>(making PDFs accessible, ensuring the accessibility of editorial content, etc.)</w:t>
      </w:r>
      <w:r w:rsidR="000234FC" w:rsidRPr="00F4758C">
        <w:rPr>
          <w:rFonts w:eastAsia="Times New Roman"/>
          <w:lang w:val="en-GB"/>
        </w:rPr>
        <w:t>;</w:t>
      </w:r>
    </w:p>
    <w:p w14:paraId="504D7D4D" w14:textId="524F40A6" w:rsidR="006E1221" w:rsidRPr="00F4758C" w:rsidRDefault="006E1221">
      <w:pPr>
        <w:pStyle w:val="Paragraphedeliste"/>
        <w:numPr>
          <w:ilvl w:val="1"/>
          <w:numId w:val="29"/>
        </w:numPr>
        <w:rPr>
          <w:rFonts w:eastAsia="Times New Roman"/>
          <w:lang w:val="en-GB"/>
        </w:rPr>
      </w:pPr>
      <w:r w:rsidRPr="00F4758C">
        <w:rPr>
          <w:rFonts w:eastAsia="Times New Roman"/>
          <w:lang w:val="en-GB"/>
        </w:rPr>
        <w:t xml:space="preserve">For developers in particular, ensure </w:t>
      </w:r>
      <w:r w:rsidR="00C814C0" w:rsidRPr="00F4758C">
        <w:rPr>
          <w:rFonts w:eastAsia="Times New Roman"/>
          <w:lang w:val="en-GB"/>
        </w:rPr>
        <w:t xml:space="preserve">rigorous </w:t>
      </w:r>
      <w:r w:rsidRPr="00F4758C">
        <w:rPr>
          <w:rFonts w:eastAsia="Times New Roman"/>
          <w:lang w:val="en-GB"/>
        </w:rPr>
        <w:t>training in testing tools and the interpretation of results.</w:t>
      </w:r>
    </w:p>
    <w:p w14:paraId="47CCCFE2" w14:textId="1BC72212" w:rsidR="006E1221" w:rsidRPr="00F4758C" w:rsidRDefault="006E1221">
      <w:pPr>
        <w:pStyle w:val="Paragraphedeliste"/>
        <w:numPr>
          <w:ilvl w:val="0"/>
          <w:numId w:val="29"/>
        </w:numPr>
        <w:rPr>
          <w:rFonts w:eastAsia="Times New Roman"/>
          <w:lang w:val="en-GB"/>
        </w:rPr>
      </w:pPr>
      <w:r w:rsidRPr="00F4758C">
        <w:rPr>
          <w:rFonts w:eastAsia="Times New Roman"/>
          <w:b/>
          <w:bCs/>
          <w:lang w:val="en-GB"/>
        </w:rPr>
        <w:t>Provide training in stages</w:t>
      </w:r>
      <w:r w:rsidRPr="00F4758C">
        <w:rPr>
          <w:rFonts w:eastAsia="Times New Roman"/>
          <w:lang w:val="en-GB"/>
        </w:rPr>
        <w:t xml:space="preserve">: offer a range of training courses tailored to different roles (developers, designers, project managers, copywriters) and </w:t>
      </w:r>
      <w:r w:rsidR="003B1D74" w:rsidRPr="00F4758C">
        <w:rPr>
          <w:rFonts w:eastAsia="Times New Roman"/>
          <w:lang w:val="en-GB"/>
        </w:rPr>
        <w:t xml:space="preserve">spread these courses out </w:t>
      </w:r>
      <w:r w:rsidRPr="00F4758C">
        <w:rPr>
          <w:rFonts w:eastAsia="Times New Roman"/>
          <w:lang w:val="en-GB"/>
        </w:rPr>
        <w:t>over the long term.</w:t>
      </w:r>
    </w:p>
    <w:p w14:paraId="174FF3EF" w14:textId="5406D53B" w:rsidR="006E1221" w:rsidRPr="00F4758C" w:rsidRDefault="006E1221">
      <w:pPr>
        <w:pStyle w:val="Paragraphedeliste"/>
        <w:numPr>
          <w:ilvl w:val="0"/>
          <w:numId w:val="29"/>
        </w:numPr>
        <w:rPr>
          <w:rFonts w:eastAsia="Times New Roman"/>
          <w:lang w:val="en-GB"/>
        </w:rPr>
      </w:pPr>
      <w:r w:rsidRPr="00F4758C">
        <w:rPr>
          <w:rFonts w:eastAsia="Times New Roman"/>
          <w:b/>
          <w:bCs/>
          <w:lang w:val="en-GB"/>
        </w:rPr>
        <w:t>Foster synergy between departments</w:t>
      </w:r>
      <w:r w:rsidRPr="00F4758C">
        <w:rPr>
          <w:rFonts w:eastAsia="Times New Roman"/>
          <w:lang w:val="en-GB"/>
        </w:rPr>
        <w:t>: seek to optimise the multidisciplinary synergies of product teams using agile methods</w:t>
      </w:r>
      <w:r w:rsidR="00C814C0" w:rsidRPr="00F4758C">
        <w:rPr>
          <w:rFonts w:eastAsia="Times New Roman"/>
          <w:lang w:val="en-GB"/>
        </w:rPr>
        <w:t xml:space="preserve">. This point </w:t>
      </w:r>
      <w:r w:rsidRPr="00F4758C">
        <w:rPr>
          <w:rFonts w:eastAsia="Times New Roman"/>
          <w:lang w:val="en-GB"/>
        </w:rPr>
        <w:t xml:space="preserve">is crucial in the context of </w:t>
      </w:r>
      <w:r w:rsidR="000234FC" w:rsidRPr="00F4758C">
        <w:rPr>
          <w:rFonts w:eastAsia="Times New Roman"/>
          <w:lang w:val="en-GB"/>
        </w:rPr>
        <w:t>digital accessibility</w:t>
      </w:r>
      <w:r w:rsidR="00C814C0" w:rsidRPr="00F4758C">
        <w:rPr>
          <w:rFonts w:eastAsia="Times New Roman"/>
          <w:lang w:val="en-GB"/>
        </w:rPr>
        <w:t xml:space="preserve">, and </w:t>
      </w:r>
      <w:r w:rsidRPr="00F4758C">
        <w:rPr>
          <w:rFonts w:eastAsia="Times New Roman"/>
          <w:lang w:val="en-GB"/>
        </w:rPr>
        <w:t>it is possible to capitalise on common ground between design and accessibility, accessibility and eco-design</w:t>
      </w:r>
      <w:r w:rsidR="00F1730F" w:rsidRPr="00F4758C">
        <w:rPr>
          <w:rFonts w:eastAsia="Times New Roman"/>
          <w:lang w:val="en-GB"/>
        </w:rPr>
        <w:t>,</w:t>
      </w:r>
      <w:r w:rsidRPr="00F4758C">
        <w:rPr>
          <w:rFonts w:eastAsia="Times New Roman"/>
          <w:lang w:val="en-GB"/>
        </w:rPr>
        <w:t xml:space="preserve"> or even eco-design and security</w:t>
      </w:r>
      <w:r w:rsidR="00F1730F" w:rsidRPr="00F4758C">
        <w:rPr>
          <w:rFonts w:eastAsia="Times New Roman"/>
          <w:lang w:val="en-GB"/>
        </w:rPr>
        <w:t xml:space="preserve">, through </w:t>
      </w:r>
      <w:r w:rsidRPr="00F4758C">
        <w:rPr>
          <w:rFonts w:eastAsia="Times New Roman"/>
          <w:lang w:val="en-GB"/>
        </w:rPr>
        <w:t>joint workshops or sessions led by people trained in these various areas.</w:t>
      </w:r>
    </w:p>
    <w:p w14:paraId="2700833E" w14:textId="1F69EE7E" w:rsidR="006E1221" w:rsidRPr="00F4758C" w:rsidRDefault="006E1221">
      <w:pPr>
        <w:pStyle w:val="Paragraphedeliste"/>
        <w:numPr>
          <w:ilvl w:val="0"/>
          <w:numId w:val="29"/>
        </w:numPr>
        <w:rPr>
          <w:rFonts w:eastAsia="Times New Roman"/>
          <w:lang w:val="en-GB"/>
        </w:rPr>
      </w:pPr>
      <w:r w:rsidRPr="00F4758C">
        <w:rPr>
          <w:rFonts w:eastAsia="Times New Roman"/>
          <w:b/>
          <w:bCs/>
          <w:lang w:val="en-GB"/>
        </w:rPr>
        <w:t xml:space="preserve">Organise the </w:t>
      </w:r>
      <w:r w:rsidRPr="00233A88">
        <w:rPr>
          <w:rFonts w:eastAsia="Times New Roman"/>
          <w:b/>
          <w:bCs/>
          <w:lang w:val="en-GB"/>
        </w:rPr>
        <w:t>continuous</w:t>
      </w:r>
      <w:r w:rsidRPr="00F4758C">
        <w:rPr>
          <w:rFonts w:eastAsia="Times New Roman"/>
          <w:lang w:val="en-GB"/>
        </w:rPr>
        <w:t xml:space="preserve"> </w:t>
      </w:r>
      <w:r w:rsidRPr="00F4758C">
        <w:rPr>
          <w:rFonts w:eastAsia="Times New Roman"/>
          <w:b/>
          <w:bCs/>
          <w:lang w:val="en-GB"/>
        </w:rPr>
        <w:t xml:space="preserve">collection of feedback </w:t>
      </w:r>
      <w:r w:rsidRPr="00F4758C">
        <w:rPr>
          <w:rFonts w:eastAsia="Times New Roman"/>
          <w:lang w:val="en-GB"/>
        </w:rPr>
        <w:t xml:space="preserve">to promote </w:t>
      </w:r>
      <w:r w:rsidR="000234FC" w:rsidRPr="00F4758C">
        <w:rPr>
          <w:rFonts w:eastAsia="Times New Roman"/>
          <w:lang w:val="en-GB"/>
        </w:rPr>
        <w:t>digital accessibility</w:t>
      </w:r>
      <w:r w:rsidRPr="00F4758C">
        <w:rPr>
          <w:rFonts w:eastAsia="Times New Roman"/>
          <w:lang w:val="en-GB"/>
        </w:rPr>
        <w:t xml:space="preserve"> projects and </w:t>
      </w:r>
      <w:r w:rsidR="00F1730F" w:rsidRPr="00F4758C">
        <w:rPr>
          <w:rFonts w:eastAsia="Times New Roman"/>
          <w:lang w:val="en-GB"/>
        </w:rPr>
        <w:t xml:space="preserve">identify </w:t>
      </w:r>
      <w:r w:rsidRPr="00F4758C">
        <w:rPr>
          <w:rFonts w:eastAsia="Times New Roman"/>
          <w:lang w:val="en-GB"/>
        </w:rPr>
        <w:t>their challenges and successes.</w:t>
      </w:r>
    </w:p>
    <w:p w14:paraId="1334294D" w14:textId="56B51557" w:rsidR="00C70D0D" w:rsidRPr="00F4758C" w:rsidRDefault="006E1221">
      <w:pPr>
        <w:pStyle w:val="Paragraphedeliste"/>
        <w:numPr>
          <w:ilvl w:val="0"/>
          <w:numId w:val="29"/>
        </w:numPr>
        <w:rPr>
          <w:rFonts w:eastAsia="Times New Roman"/>
          <w:lang w:val="en-GB"/>
        </w:rPr>
      </w:pPr>
      <w:r w:rsidRPr="00F4758C">
        <w:rPr>
          <w:rFonts w:eastAsia="Times New Roman"/>
          <w:b/>
          <w:bCs/>
          <w:lang w:val="en-GB"/>
        </w:rPr>
        <w:lastRenderedPageBreak/>
        <w:t>Create operational guides incorporating practical case studies tailored to the organisation</w:t>
      </w:r>
      <w:r w:rsidRPr="00F4758C">
        <w:rPr>
          <w:rFonts w:eastAsia="Times New Roman"/>
          <w:lang w:val="en-GB"/>
        </w:rPr>
        <w:t>. It is worth drawing inspiration from existing resources, such as the factsheets provided by the RGAA</w:t>
      </w:r>
      <w:r>
        <w:rPr>
          <w:rStyle w:val="Appelnotedebasdep"/>
          <w:rFonts w:eastAsia="Times New Roman"/>
        </w:rPr>
        <w:footnoteReference w:id="31"/>
      </w:r>
      <w:r w:rsidRPr="00F4758C">
        <w:rPr>
          <w:rFonts w:eastAsia="Times New Roman"/>
          <w:lang w:val="en-GB"/>
        </w:rPr>
        <w:t xml:space="preserve"> , WCAG</w:t>
      </w:r>
      <w:r>
        <w:rPr>
          <w:rStyle w:val="Appelnotedebasdep"/>
          <w:rFonts w:eastAsia="Times New Roman"/>
        </w:rPr>
        <w:footnoteReference w:id="32"/>
      </w:r>
      <w:r w:rsidRPr="00F4758C">
        <w:rPr>
          <w:rFonts w:eastAsia="Times New Roman"/>
          <w:lang w:val="en-GB"/>
        </w:rPr>
        <w:t xml:space="preserve"> , Orange</w:t>
      </w:r>
      <w:r>
        <w:rPr>
          <w:rStyle w:val="Appelnotedebasdep"/>
          <w:rFonts w:eastAsia="Times New Roman"/>
        </w:rPr>
        <w:footnoteReference w:id="33"/>
      </w:r>
      <w:r w:rsidRPr="00F4758C">
        <w:rPr>
          <w:rFonts w:eastAsia="Times New Roman"/>
          <w:lang w:val="en-GB"/>
        </w:rPr>
        <w:t xml:space="preserve"> , or Déque University</w:t>
      </w:r>
      <w:r>
        <w:rPr>
          <w:rStyle w:val="Appelnotedebasdep"/>
          <w:rFonts w:eastAsia="Times New Roman"/>
        </w:rPr>
        <w:footnoteReference w:id="34"/>
      </w:r>
      <w:r w:rsidRPr="00F4758C">
        <w:rPr>
          <w:rFonts w:eastAsia="Times New Roman"/>
          <w:lang w:val="en-GB"/>
        </w:rPr>
        <w:t xml:space="preserve">.  Orange, for example, has developed an immersive </w:t>
      </w:r>
      <w:r w:rsidRPr="001C03FB">
        <w:rPr>
          <w:rFonts w:eastAsia="Times New Roman"/>
          <w:lang w:val="en-GB"/>
        </w:rPr>
        <w:t xml:space="preserve">escape game </w:t>
      </w:r>
      <w:r w:rsidR="000937C7" w:rsidRPr="00F4758C">
        <w:rPr>
          <w:rFonts w:eastAsia="Times New Roman"/>
          <w:lang w:val="en-GB"/>
        </w:rPr>
        <w:t xml:space="preserve">called </w:t>
      </w:r>
      <w:r w:rsidR="001C03FB">
        <w:rPr>
          <w:rFonts w:eastAsia="Times New Roman"/>
          <w:lang w:val="en-GB"/>
        </w:rPr>
        <w:t>“</w:t>
      </w:r>
      <w:r w:rsidR="000937C7" w:rsidRPr="00F4758C">
        <w:rPr>
          <w:rFonts w:eastAsia="Times New Roman"/>
          <w:lang w:val="en-GB"/>
        </w:rPr>
        <w:t>Tota11ylos</w:t>
      </w:r>
      <w:r w:rsidR="001C03FB">
        <w:rPr>
          <w:rFonts w:eastAsia="Times New Roman"/>
          <w:lang w:val="en-GB"/>
        </w:rPr>
        <w:t>”</w:t>
      </w:r>
      <w:r>
        <w:rPr>
          <w:rStyle w:val="Appelnotedebasdep"/>
          <w:rFonts w:eastAsia="Times New Roman"/>
        </w:rPr>
        <w:footnoteReference w:id="35"/>
      </w:r>
      <w:r w:rsidRPr="00F4758C">
        <w:rPr>
          <w:rFonts w:eastAsia="Times New Roman"/>
          <w:lang w:val="en-GB"/>
        </w:rPr>
        <w:t xml:space="preserve"> , which aims to raise awareness of the challenges faced by people with digital disabilities</w:t>
      </w:r>
      <w:r>
        <w:rPr>
          <w:rStyle w:val="Appelnotedebasdep"/>
          <w:rFonts w:eastAsia="Times New Roman"/>
        </w:rPr>
        <w:footnoteReference w:id="36"/>
      </w:r>
      <w:r w:rsidRPr="00F4758C">
        <w:rPr>
          <w:rFonts w:eastAsia="Times New Roman"/>
          <w:lang w:val="en-GB"/>
        </w:rPr>
        <w:t xml:space="preserve"> .</w:t>
      </w:r>
    </w:p>
    <w:p w14:paraId="5CC5064D" w14:textId="39D2CB46" w:rsidR="00C70D0D" w:rsidRPr="00F4758C" w:rsidRDefault="00F1730F" w:rsidP="00C70D0D">
      <w:pPr>
        <w:rPr>
          <w:rFonts w:eastAsia="Times New Roman"/>
          <w:lang w:val="en-GB"/>
        </w:rPr>
      </w:pPr>
      <w:r w:rsidRPr="00F4758C">
        <w:rPr>
          <w:rFonts w:eastAsia="Times New Roman"/>
          <w:lang w:val="en-GB"/>
        </w:rPr>
        <w:t xml:space="preserve">The following </w:t>
      </w:r>
      <w:r w:rsidR="00C70D0D" w:rsidRPr="00F4758C">
        <w:rPr>
          <w:rFonts w:eastAsia="Times New Roman"/>
          <w:lang w:val="en-GB"/>
        </w:rPr>
        <w:t xml:space="preserve">case studies </w:t>
      </w:r>
      <w:r w:rsidRPr="00F4758C">
        <w:rPr>
          <w:rFonts w:eastAsia="Times New Roman"/>
          <w:lang w:val="en-GB"/>
        </w:rPr>
        <w:t>from</w:t>
      </w:r>
      <w:r w:rsidR="00C70D0D" w:rsidRPr="00F4758C">
        <w:rPr>
          <w:rFonts w:eastAsia="Times New Roman"/>
          <w:lang w:val="en-GB"/>
        </w:rPr>
        <w:t xml:space="preserve"> Crédit Agricole S.A. and CACD2 outline </w:t>
      </w:r>
      <w:r w:rsidR="000302F6" w:rsidRPr="00F4758C">
        <w:rPr>
          <w:rFonts w:eastAsia="Times New Roman"/>
          <w:lang w:val="en-GB"/>
        </w:rPr>
        <w:t xml:space="preserve">their approaches </w:t>
      </w:r>
      <w:r w:rsidR="00C70D0D" w:rsidRPr="00F4758C">
        <w:rPr>
          <w:rFonts w:eastAsia="Times New Roman"/>
          <w:lang w:val="en-GB"/>
        </w:rPr>
        <w:t>to fostering a culture of inclusion and providing support through a number of practical tools and initiatives</w:t>
      </w:r>
      <w:r w:rsidR="000302F6" w:rsidRPr="00F4758C">
        <w:rPr>
          <w:rFonts w:eastAsia="Times New Roman"/>
          <w:lang w:val="en-GB"/>
        </w:rPr>
        <w:t>.</w:t>
      </w: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C70D0D" w:rsidRPr="00C43137" w14:paraId="33601633" w14:textId="77777777" w:rsidTr="006720AE">
        <w:trPr>
          <w:jc w:val="center"/>
        </w:trPr>
        <w:tc>
          <w:tcPr>
            <w:tcW w:w="9047" w:type="dxa"/>
            <w:tcBorders>
              <w:left w:val="single" w:sz="18" w:space="0" w:color="155E48"/>
            </w:tcBorders>
            <w:shd w:val="clear" w:color="auto" w:fill="F2F2F2" w:themeFill="background1" w:themeFillShade="F2"/>
          </w:tcPr>
          <w:p w14:paraId="601150C0" w14:textId="386AEBCC" w:rsidR="00C70D0D" w:rsidRPr="00F4758C" w:rsidRDefault="0024303C" w:rsidP="0098335B">
            <w:pPr>
              <w:pStyle w:val="TitreEncart"/>
              <w:spacing w:line="276" w:lineRule="auto"/>
              <w:rPr>
                <w:bCs/>
                <w:lang w:val="en-GB"/>
              </w:rPr>
            </w:pPr>
            <w:bookmarkStart w:id="68" w:name="_Toc230257737"/>
            <w:r w:rsidRPr="00F4758C">
              <w:rPr>
                <w:lang w:val="en-GB"/>
              </w:rPr>
              <w:lastRenderedPageBreak/>
              <w:t xml:space="preserve">Case Study: </w:t>
            </w:r>
            <w:r w:rsidR="00C70D0D" w:rsidRPr="00F4758C">
              <w:rPr>
                <w:bCs/>
                <w:lang w:val="en-GB"/>
              </w:rPr>
              <w:t>Crédit Agricole S.A.</w:t>
            </w:r>
            <w:bookmarkEnd w:id="68"/>
          </w:p>
          <w:p w14:paraId="1353BDC1" w14:textId="77777777" w:rsidR="00C70D0D" w:rsidRPr="00F4758C" w:rsidRDefault="00C70D0D" w:rsidP="00F25788">
            <w:pPr>
              <w:pStyle w:val="TitreencartREX"/>
              <w:rPr>
                <w:lang w:val="en-GB"/>
              </w:rPr>
            </w:pPr>
            <w:r w:rsidRPr="00F4758C">
              <w:rPr>
                <w:lang w:val="en-GB"/>
              </w:rPr>
              <w:t>Operational roll-out and support measures for staff</w:t>
            </w:r>
          </w:p>
          <w:p w14:paraId="0EA34D17" w14:textId="6FEA7025" w:rsidR="00C70D0D" w:rsidRPr="00F4758C" w:rsidRDefault="00F1730F">
            <w:pPr>
              <w:pStyle w:val="Paragraphedeliste"/>
              <w:keepNext/>
              <w:keepLines/>
              <w:numPr>
                <w:ilvl w:val="0"/>
                <w:numId w:val="73"/>
              </w:numPr>
              <w:tabs>
                <w:tab w:val="left" w:pos="6285"/>
              </w:tabs>
              <w:spacing w:before="100" w:after="200" w:line="276" w:lineRule="auto"/>
              <w:rPr>
                <w:rFonts w:ascii="Calibri" w:eastAsia="Calibri" w:hAnsi="Calibri" w:cs="Calibri"/>
                <w:b/>
                <w:color w:val="262626"/>
                <w:lang w:val="en-GB"/>
              </w:rPr>
            </w:pPr>
            <w:r w:rsidRPr="00F4758C">
              <w:rPr>
                <w:rFonts w:ascii="Calibri" w:eastAsia="Calibri" w:hAnsi="Calibri" w:cs="Calibri"/>
                <w:b/>
                <w:color w:val="262626"/>
                <w:lang w:val="en-GB"/>
              </w:rPr>
              <w:t xml:space="preserve">Tools to </w:t>
            </w:r>
            <w:r w:rsidR="00C70D0D" w:rsidRPr="00F4758C">
              <w:rPr>
                <w:rFonts w:ascii="Calibri" w:eastAsia="Calibri" w:hAnsi="Calibri" w:cs="Calibri"/>
                <w:b/>
                <w:color w:val="262626"/>
                <w:lang w:val="en-GB"/>
              </w:rPr>
              <w:t>raise awareness amongst all staff</w:t>
            </w:r>
          </w:p>
          <w:p w14:paraId="29D112C5" w14:textId="73EA971C" w:rsidR="00C70D0D" w:rsidRPr="00F4758C" w:rsidRDefault="00BD1AC1" w:rsidP="0098335B">
            <w:pPr>
              <w:keepNext/>
              <w:keepLines/>
              <w:tabs>
                <w:tab w:val="left" w:pos="6285"/>
              </w:tabs>
              <w:spacing w:before="100" w:after="200" w:line="276" w:lineRule="auto"/>
              <w:rPr>
                <w:rFonts w:ascii="Calibri" w:eastAsia="Calibri" w:hAnsi="Calibri" w:cs="Calibri"/>
                <w:color w:val="262626"/>
                <w:lang w:val="en-GB"/>
              </w:rPr>
            </w:pPr>
            <w:r>
              <w:rPr>
                <w:rFonts w:ascii="Calibri" w:eastAsia="Calibri" w:hAnsi="Calibri" w:cs="Calibri"/>
                <w:color w:val="262626"/>
                <w:lang w:val="en-GB"/>
              </w:rPr>
              <w:t>“</w:t>
            </w:r>
            <w:r w:rsidR="00C70D0D" w:rsidRPr="00F4758C">
              <w:rPr>
                <w:rFonts w:ascii="Calibri" w:eastAsia="Calibri" w:hAnsi="Calibri" w:cs="Calibri"/>
                <w:color w:val="262626"/>
                <w:lang w:val="en-GB"/>
              </w:rPr>
              <w:t xml:space="preserve">As awareness-raising is considered central to the roll-out of digital accessibility, Crédit Agricole has put in place a number of tools and resources to embed these practices into staff members’ daily routines: </w:t>
            </w:r>
          </w:p>
          <w:p w14:paraId="54C9D7DF" w14:textId="166C6B86" w:rsidR="00C70D0D" w:rsidRPr="00F4758C" w:rsidRDefault="00C70D0D">
            <w:pPr>
              <w:keepNext/>
              <w:keepLines/>
              <w:numPr>
                <w:ilvl w:val="0"/>
                <w:numId w:val="38"/>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 xml:space="preserve">A </w:t>
            </w:r>
            <w:r w:rsidRPr="00F4758C">
              <w:rPr>
                <w:rFonts w:ascii="Calibri" w:eastAsia="Calibri" w:hAnsi="Calibri" w:cs="Calibri"/>
                <w:b/>
                <w:bCs/>
                <w:color w:val="262626"/>
                <w:lang w:val="en-GB"/>
              </w:rPr>
              <w:t xml:space="preserve">video </w:t>
            </w:r>
            <w:r w:rsidRPr="00F4758C">
              <w:rPr>
                <w:rFonts w:ascii="Calibri" w:eastAsia="Calibri" w:hAnsi="Calibri" w:cs="Calibri"/>
                <w:color w:val="262626"/>
                <w:lang w:val="en-GB"/>
              </w:rPr>
              <w:t>aimed at all staff</w:t>
            </w:r>
            <w:r w:rsidR="00F1730F" w:rsidRPr="00F4758C">
              <w:rPr>
                <w:rFonts w:ascii="Calibri" w:eastAsia="Calibri" w:hAnsi="Calibri" w:cs="Calibri"/>
                <w:color w:val="262626"/>
                <w:lang w:val="en-GB"/>
              </w:rPr>
              <w:t xml:space="preserve">, </w:t>
            </w:r>
            <w:r w:rsidRPr="00F4758C">
              <w:rPr>
                <w:rFonts w:ascii="Calibri" w:eastAsia="Calibri" w:hAnsi="Calibri" w:cs="Calibri"/>
                <w:color w:val="262626"/>
                <w:lang w:val="en-GB"/>
              </w:rPr>
              <w:t>designed to raise their awareness of digital accessibility (presenting the different types of disability, key statistics, a reminder of the regulations, the link to the Social Project and the Group’s DNA, as well as the approaches envisaged for the future).</w:t>
            </w:r>
          </w:p>
          <w:p w14:paraId="5E6B6AB7" w14:textId="31879053" w:rsidR="00C70D0D" w:rsidRPr="00F4758C" w:rsidRDefault="00C70D0D">
            <w:pPr>
              <w:keepNext/>
              <w:keepLines/>
              <w:numPr>
                <w:ilvl w:val="0"/>
                <w:numId w:val="38"/>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 xml:space="preserve">Four </w:t>
            </w:r>
            <w:r w:rsidRPr="00F4758C">
              <w:rPr>
                <w:rFonts w:ascii="Calibri" w:eastAsia="Calibri" w:hAnsi="Calibri" w:cs="Calibri"/>
                <w:b/>
                <w:bCs/>
                <w:color w:val="262626"/>
                <w:lang w:val="en-GB"/>
              </w:rPr>
              <w:t>short videos</w:t>
            </w:r>
            <w:r w:rsidRPr="00F4758C">
              <w:rPr>
                <w:rFonts w:ascii="Calibri" w:eastAsia="Calibri" w:hAnsi="Calibri" w:cs="Calibri"/>
                <w:color w:val="262626"/>
                <w:lang w:val="en-GB"/>
              </w:rPr>
              <w:t xml:space="preserve">, each focusing on a specific type of disability (visual, hearing, cognitive, motor), </w:t>
            </w:r>
            <w:r w:rsidR="00F1730F" w:rsidRPr="00F4758C">
              <w:rPr>
                <w:rFonts w:ascii="Calibri" w:eastAsia="Calibri" w:hAnsi="Calibri" w:cs="Calibri"/>
                <w:color w:val="262626"/>
                <w:lang w:val="en-GB"/>
              </w:rPr>
              <w:t xml:space="preserve">and </w:t>
            </w:r>
            <w:r w:rsidRPr="00F4758C">
              <w:rPr>
                <w:rFonts w:ascii="Calibri" w:eastAsia="Calibri" w:hAnsi="Calibri" w:cs="Calibri"/>
                <w:color w:val="262626"/>
                <w:lang w:val="en-GB"/>
              </w:rPr>
              <w:t>sharing findings, needs and proposed solutions with staff.</w:t>
            </w:r>
          </w:p>
          <w:p w14:paraId="59E9CD1D" w14:textId="77777777" w:rsidR="00C70D0D" w:rsidRPr="00F4758C" w:rsidRDefault="00C70D0D">
            <w:pPr>
              <w:keepNext/>
              <w:keepLines/>
              <w:numPr>
                <w:ilvl w:val="0"/>
                <w:numId w:val="38"/>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b/>
                <w:bCs/>
                <w:color w:val="262626"/>
                <w:lang w:val="en-GB"/>
              </w:rPr>
              <w:t>A booklet raising awareness of digital accessibility</w:t>
            </w:r>
            <w:r w:rsidRPr="00F4758C">
              <w:rPr>
                <w:rFonts w:ascii="Calibri" w:eastAsia="Calibri" w:hAnsi="Calibri" w:cs="Calibri"/>
                <w:color w:val="262626"/>
                <w:lang w:val="en-GB"/>
              </w:rPr>
              <w:t xml:space="preserve">: </w:t>
            </w:r>
          </w:p>
          <w:p w14:paraId="796EBB2E" w14:textId="20405A63" w:rsidR="00C70D0D" w:rsidRPr="00F4758C" w:rsidRDefault="00C70D0D">
            <w:pPr>
              <w:keepNext/>
              <w:keepLines/>
              <w:numPr>
                <w:ilvl w:val="0"/>
                <w:numId w:val="6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Outlining the key principles for a more inclusive digital environment</w:t>
            </w:r>
            <w:r w:rsidR="000302F6" w:rsidRPr="00F4758C">
              <w:rPr>
                <w:rFonts w:ascii="Calibri" w:eastAsia="Calibri" w:hAnsi="Calibri" w:cs="Calibri"/>
                <w:color w:val="262626"/>
                <w:lang w:val="en-GB"/>
              </w:rPr>
              <w:t>;</w:t>
            </w:r>
          </w:p>
          <w:p w14:paraId="280FD843" w14:textId="276476A2" w:rsidR="00C70D0D" w:rsidRPr="00F4758C" w:rsidRDefault="00C70D0D">
            <w:pPr>
              <w:keepNext/>
              <w:keepLines/>
              <w:numPr>
                <w:ilvl w:val="0"/>
                <w:numId w:val="67"/>
              </w:numPr>
              <w:tabs>
                <w:tab w:val="left" w:pos="6285"/>
              </w:tabs>
              <w:spacing w:after="0" w:line="276" w:lineRule="auto"/>
              <w:rPr>
                <w:rFonts w:ascii="Calibri" w:eastAsia="Calibri" w:hAnsi="Calibri" w:cs="Calibri"/>
                <w:color w:val="262626"/>
                <w:lang w:val="en-GB"/>
              </w:rPr>
            </w:pPr>
            <w:r w:rsidRPr="00F4758C">
              <w:rPr>
                <w:rFonts w:ascii="Calibri" w:eastAsia="Calibri" w:hAnsi="Calibri" w:cs="Calibri"/>
                <w:color w:val="262626"/>
                <w:lang w:val="en-GB"/>
              </w:rPr>
              <w:t>Designed for Crédit Agricole Group staff</w:t>
            </w:r>
            <w:r w:rsidR="000302F6" w:rsidRPr="00F4758C">
              <w:rPr>
                <w:rFonts w:ascii="Calibri" w:eastAsia="Calibri" w:hAnsi="Calibri" w:cs="Calibri"/>
                <w:color w:val="262626"/>
                <w:lang w:val="en-GB"/>
              </w:rPr>
              <w:t>;</w:t>
            </w:r>
          </w:p>
          <w:p w14:paraId="02E84242" w14:textId="0C42897E" w:rsidR="00C70D0D" w:rsidRPr="00F4758C" w:rsidRDefault="00C70D0D">
            <w:pPr>
              <w:keepNext/>
              <w:keepLines/>
              <w:numPr>
                <w:ilvl w:val="0"/>
                <w:numId w:val="67"/>
              </w:numPr>
              <w:tabs>
                <w:tab w:val="left" w:pos="6285"/>
              </w:tabs>
              <w:spacing w:after="0" w:line="276" w:lineRule="auto"/>
              <w:rPr>
                <w:rFonts w:ascii="Calibri" w:eastAsia="Calibri" w:hAnsi="Calibri" w:cs="Calibri"/>
                <w:color w:val="262626"/>
                <w:lang w:val="en-GB"/>
              </w:rPr>
            </w:pPr>
            <w:r w:rsidRPr="00F4758C">
              <w:rPr>
                <w:rFonts w:ascii="Calibri" w:eastAsia="Calibri" w:hAnsi="Calibri" w:cs="Calibri"/>
                <w:color w:val="262626"/>
                <w:lang w:val="en-GB"/>
              </w:rPr>
              <w:t>Helping to understand digital accessibility</w:t>
            </w:r>
            <w:r w:rsidR="000302F6" w:rsidRPr="00F4758C">
              <w:rPr>
                <w:rFonts w:ascii="Calibri" w:eastAsia="Calibri" w:hAnsi="Calibri" w:cs="Calibri"/>
                <w:color w:val="262626"/>
                <w:lang w:val="en-GB"/>
              </w:rPr>
              <w:t>;</w:t>
            </w:r>
          </w:p>
          <w:p w14:paraId="23428F22" w14:textId="4E19632A" w:rsidR="00C70D0D" w:rsidRPr="00F4758C" w:rsidRDefault="00C70D0D">
            <w:pPr>
              <w:keepNext/>
              <w:keepLines/>
              <w:numPr>
                <w:ilvl w:val="0"/>
                <w:numId w:val="67"/>
              </w:numPr>
              <w:tabs>
                <w:tab w:val="left" w:pos="6285"/>
              </w:tabs>
              <w:spacing w:after="0" w:line="276" w:lineRule="auto"/>
              <w:rPr>
                <w:rFonts w:ascii="Calibri" w:eastAsia="Calibri" w:hAnsi="Calibri" w:cs="Calibri"/>
                <w:color w:val="262626"/>
                <w:lang w:val="en-GB"/>
              </w:rPr>
            </w:pPr>
            <w:r w:rsidRPr="00F4758C">
              <w:rPr>
                <w:rFonts w:ascii="Calibri" w:eastAsia="Calibri" w:hAnsi="Calibri" w:cs="Calibri"/>
                <w:color w:val="262626"/>
                <w:lang w:val="en-GB"/>
              </w:rPr>
              <w:t>Including real-life scenarios, within a corporate context, for four types of disability (motor, hearing, visual and cognitive)</w:t>
            </w:r>
            <w:r w:rsidR="000302F6" w:rsidRPr="00F4758C">
              <w:rPr>
                <w:rFonts w:ascii="Calibri" w:eastAsia="Calibri" w:hAnsi="Calibri" w:cs="Calibri"/>
                <w:color w:val="262626"/>
                <w:lang w:val="en-GB"/>
              </w:rPr>
              <w:t>;</w:t>
            </w:r>
          </w:p>
          <w:p w14:paraId="4B79C4D3" w14:textId="6DA25B6D" w:rsidR="00C70D0D" w:rsidRPr="00F4758C" w:rsidRDefault="00C70D0D">
            <w:pPr>
              <w:keepNext/>
              <w:keepLines/>
              <w:numPr>
                <w:ilvl w:val="0"/>
                <w:numId w:val="67"/>
              </w:numPr>
              <w:tabs>
                <w:tab w:val="left" w:pos="6285"/>
              </w:tabs>
              <w:spacing w:after="0" w:line="276" w:lineRule="auto"/>
              <w:rPr>
                <w:rFonts w:ascii="Calibri" w:eastAsia="Calibri" w:hAnsi="Calibri" w:cs="Calibri"/>
                <w:color w:val="262626"/>
                <w:lang w:val="en-GB"/>
              </w:rPr>
            </w:pPr>
            <w:r w:rsidRPr="00F4758C">
              <w:rPr>
                <w:rFonts w:ascii="Calibri" w:eastAsia="Calibri" w:hAnsi="Calibri" w:cs="Calibri"/>
                <w:color w:val="262626"/>
                <w:lang w:val="en-GB"/>
              </w:rPr>
              <w:t>Available on a dedicated intranet page</w:t>
            </w:r>
            <w:r w:rsidR="000302F6" w:rsidRPr="00F4758C">
              <w:rPr>
                <w:rFonts w:ascii="Calibri" w:eastAsia="Calibri" w:hAnsi="Calibri" w:cs="Calibri"/>
                <w:color w:val="262626"/>
                <w:lang w:val="en-GB"/>
              </w:rPr>
              <w:t>;</w:t>
            </w:r>
          </w:p>
          <w:p w14:paraId="1980A959" w14:textId="75DBDF3D" w:rsidR="00C70D0D" w:rsidRDefault="00F1730F">
            <w:pPr>
              <w:keepNext/>
              <w:keepLines/>
              <w:numPr>
                <w:ilvl w:val="0"/>
                <w:numId w:val="67"/>
              </w:numPr>
              <w:tabs>
                <w:tab w:val="left" w:pos="6285"/>
              </w:tabs>
              <w:spacing w:after="200" w:line="276" w:lineRule="auto"/>
              <w:rPr>
                <w:rFonts w:ascii="Calibri" w:eastAsia="Calibri" w:hAnsi="Calibri" w:cs="Calibri"/>
                <w:color w:val="262626"/>
              </w:rPr>
            </w:pPr>
            <w:r>
              <w:rPr>
                <w:rFonts w:ascii="Calibri" w:eastAsia="Calibri" w:hAnsi="Calibri" w:cs="Calibri"/>
                <w:color w:val="262626"/>
              </w:rPr>
              <w:t xml:space="preserve">And </w:t>
            </w:r>
            <w:r w:rsidR="00C70D0D">
              <w:rPr>
                <w:rFonts w:ascii="Calibri" w:eastAsia="Calibri" w:hAnsi="Calibri" w:cs="Calibri"/>
                <w:color w:val="262626"/>
              </w:rPr>
              <w:t>fully accessible</w:t>
            </w:r>
            <w:r>
              <w:rPr>
                <w:rFonts w:ascii="Calibri" w:eastAsia="Calibri" w:hAnsi="Calibri" w:cs="Calibri"/>
                <w:color w:val="262626"/>
              </w:rPr>
              <w:t>.</w:t>
            </w:r>
          </w:p>
          <w:p w14:paraId="77ED74E0" w14:textId="29F6187B" w:rsidR="00C70D0D" w:rsidRPr="00F4758C" w:rsidRDefault="00C70D0D">
            <w:pPr>
              <w:pStyle w:val="Paragraphedeliste"/>
              <w:keepNext/>
              <w:keepLines/>
              <w:numPr>
                <w:ilvl w:val="0"/>
                <w:numId w:val="37"/>
              </w:numPr>
              <w:tabs>
                <w:tab w:val="left" w:pos="6285"/>
              </w:tabs>
              <w:spacing w:after="200" w:line="276" w:lineRule="auto"/>
              <w:rPr>
                <w:rFonts w:ascii="Calibri" w:eastAsia="Calibri" w:hAnsi="Calibri" w:cs="Calibri"/>
                <w:color w:val="262626"/>
                <w:lang w:val="en-GB"/>
              </w:rPr>
            </w:pPr>
            <w:r w:rsidRPr="00F4758C">
              <w:rPr>
                <w:rFonts w:ascii="Calibri" w:eastAsia="Calibri" w:hAnsi="Calibri" w:cs="Calibri"/>
                <w:color w:val="262626"/>
                <w:lang w:val="en-GB"/>
              </w:rPr>
              <w:t>In addition</w:t>
            </w:r>
            <w:r w:rsidR="00F1730F" w:rsidRPr="00F4758C">
              <w:rPr>
                <w:rFonts w:ascii="Calibri" w:eastAsia="Calibri" w:hAnsi="Calibri" w:cs="Calibri"/>
                <w:color w:val="262626"/>
                <w:lang w:val="en-GB"/>
              </w:rPr>
              <w:t>,</w:t>
            </w:r>
            <w:r w:rsidRPr="00F4758C">
              <w:rPr>
                <w:rFonts w:ascii="Calibri" w:eastAsia="Calibri" w:hAnsi="Calibri" w:cs="Calibri"/>
                <w:color w:val="262626"/>
                <w:lang w:val="en-GB"/>
              </w:rPr>
              <w:t xml:space="preserve"> </w:t>
            </w:r>
            <w:r w:rsidRPr="00F4758C">
              <w:rPr>
                <w:rFonts w:ascii="Calibri" w:eastAsia="Calibri" w:hAnsi="Calibri" w:cs="Calibri"/>
                <w:b/>
                <w:bCs/>
                <w:color w:val="262626"/>
                <w:lang w:val="en-GB"/>
              </w:rPr>
              <w:t xml:space="preserve">a guide </w:t>
            </w:r>
            <w:r w:rsidRPr="00F4758C">
              <w:rPr>
                <w:rFonts w:ascii="Calibri" w:eastAsia="Calibri" w:hAnsi="Calibri" w:cs="Calibri"/>
                <w:color w:val="262626"/>
                <w:lang w:val="en-GB"/>
              </w:rPr>
              <w:t>to Office 365 tools, detailing features dedicated to digital accessibility</w:t>
            </w:r>
            <w:r w:rsidR="00F1730F" w:rsidRPr="00F4758C">
              <w:rPr>
                <w:rFonts w:ascii="Calibri" w:eastAsia="Calibri" w:hAnsi="Calibri" w:cs="Calibri"/>
                <w:color w:val="262626"/>
                <w:lang w:val="en-GB"/>
              </w:rPr>
              <w:t xml:space="preserve">, has been published, and </w:t>
            </w:r>
            <w:r w:rsidRPr="00F4758C">
              <w:rPr>
                <w:rFonts w:ascii="Calibri" w:eastAsia="Calibri" w:hAnsi="Calibri" w:cs="Calibri"/>
                <w:color w:val="262626"/>
                <w:lang w:val="en-GB"/>
              </w:rPr>
              <w:t xml:space="preserve">practical guides on applying best practice </w:t>
            </w:r>
            <w:r w:rsidR="000302F6" w:rsidRPr="00F4758C">
              <w:rPr>
                <w:rFonts w:ascii="Calibri" w:eastAsia="Calibri" w:hAnsi="Calibri" w:cs="Calibri"/>
                <w:color w:val="262626"/>
                <w:lang w:val="en-GB"/>
              </w:rPr>
              <w:t xml:space="preserve">in digital accessibility </w:t>
            </w:r>
            <w:r w:rsidR="00F1730F" w:rsidRPr="00F4758C">
              <w:rPr>
                <w:rFonts w:ascii="Calibri" w:eastAsia="Calibri" w:hAnsi="Calibri" w:cs="Calibri"/>
                <w:color w:val="262626"/>
                <w:lang w:val="en-GB"/>
              </w:rPr>
              <w:t>have been made available to staff</w:t>
            </w:r>
            <w:r w:rsidRPr="00F4758C">
              <w:rPr>
                <w:rFonts w:ascii="Calibri" w:eastAsia="Calibri" w:hAnsi="Calibri" w:cs="Calibri"/>
                <w:color w:val="262626"/>
                <w:lang w:val="en-GB"/>
              </w:rPr>
              <w:t>.</w:t>
            </w:r>
          </w:p>
          <w:p w14:paraId="3578BD8A" w14:textId="77777777" w:rsidR="00AC31F3" w:rsidRPr="00F4758C" w:rsidRDefault="00AC31F3" w:rsidP="000302F6">
            <w:pPr>
              <w:pStyle w:val="Paragraphedeliste"/>
              <w:keepNext/>
              <w:keepLines/>
              <w:tabs>
                <w:tab w:val="left" w:pos="6285"/>
              </w:tabs>
              <w:spacing w:after="200" w:line="276" w:lineRule="auto"/>
              <w:ind w:left="993"/>
              <w:rPr>
                <w:rFonts w:ascii="Calibri" w:eastAsia="Calibri" w:hAnsi="Calibri" w:cs="Calibri"/>
                <w:color w:val="262626"/>
                <w:lang w:val="en-GB"/>
              </w:rPr>
            </w:pPr>
          </w:p>
          <w:p w14:paraId="6BA9A265" w14:textId="77777777" w:rsidR="00C70D0D" w:rsidRPr="000302F6" w:rsidRDefault="00C70D0D">
            <w:pPr>
              <w:pStyle w:val="Paragraphedeliste"/>
              <w:keepNext/>
              <w:keepLines/>
              <w:numPr>
                <w:ilvl w:val="0"/>
                <w:numId w:val="73"/>
              </w:numPr>
              <w:tabs>
                <w:tab w:val="left" w:pos="6285"/>
              </w:tabs>
              <w:spacing w:before="100" w:after="200" w:line="276" w:lineRule="auto"/>
              <w:rPr>
                <w:rFonts w:ascii="Calibri" w:eastAsia="Calibri" w:hAnsi="Calibri" w:cs="Calibri"/>
                <w:b/>
                <w:color w:val="262626"/>
              </w:rPr>
            </w:pPr>
            <w:r w:rsidRPr="000302F6">
              <w:rPr>
                <w:rFonts w:ascii="Calibri" w:eastAsia="Calibri" w:hAnsi="Calibri" w:cs="Calibri"/>
                <w:b/>
                <w:color w:val="262626"/>
              </w:rPr>
              <w:t>Best practice guides for communication</w:t>
            </w:r>
          </w:p>
          <w:p w14:paraId="65C7E19E" w14:textId="77777777" w:rsidR="00C70D0D" w:rsidRPr="00F4758C" w:rsidRDefault="00C70D0D" w:rsidP="0098335B">
            <w:pPr>
              <w:keepNext/>
              <w:keepLines/>
              <w:tabs>
                <w:tab w:val="left" w:pos="6285"/>
              </w:tabs>
              <w:spacing w:before="100" w:after="200" w:line="276" w:lineRule="auto"/>
              <w:rPr>
                <w:rFonts w:ascii="Calibri" w:eastAsia="Calibri" w:hAnsi="Calibri" w:cs="Calibri"/>
                <w:color w:val="262626"/>
                <w:lang w:val="en-GB"/>
              </w:rPr>
            </w:pPr>
            <w:r w:rsidRPr="00F4758C">
              <w:rPr>
                <w:rFonts w:ascii="Calibri" w:eastAsia="Calibri" w:hAnsi="Calibri" w:cs="Calibri"/>
                <w:color w:val="262626"/>
                <w:lang w:val="en-GB"/>
              </w:rPr>
              <w:t>These practical guides are designed to assist communications officers in producing accessible communications materials. They provide recommendations, illustrated with examples of best and worst practices, for the distribution of content by Crédit Agricole (newsletters, LinkedIn posts, video transcripts, etc.)</w:t>
            </w:r>
          </w:p>
          <w:p w14:paraId="40275E03" w14:textId="77777777" w:rsidR="00C70D0D" w:rsidRPr="00F4758C" w:rsidRDefault="00C70D0D" w:rsidP="0098335B">
            <w:pPr>
              <w:keepNext/>
              <w:keepLines/>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Example of a guide on newsletter accessibility:</w:t>
            </w:r>
          </w:p>
          <w:p w14:paraId="414E7D58" w14:textId="1AF5BAEE" w:rsidR="00C70D0D" w:rsidRPr="00F4758C" w:rsidRDefault="00C70D0D">
            <w:pPr>
              <w:keepNext/>
              <w:keepLines/>
              <w:numPr>
                <w:ilvl w:val="0"/>
                <w:numId w:val="3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 xml:space="preserve">The content of the newsletter must meet the following criteria: simple wording and structure using paragraphs and headings, etc.; use of a single language; and a </w:t>
            </w:r>
            <w:r w:rsidR="00C86D0A">
              <w:rPr>
                <w:rFonts w:ascii="Calibri" w:eastAsia="Calibri" w:hAnsi="Calibri" w:cs="Calibri"/>
                <w:color w:val="262626"/>
                <w:lang w:val="en-GB"/>
              </w:rPr>
              <w:t>“</w:t>
            </w:r>
            <w:r w:rsidRPr="00F4758C">
              <w:rPr>
                <w:rFonts w:ascii="Calibri" w:eastAsia="Calibri" w:hAnsi="Calibri" w:cs="Calibri"/>
                <w:color w:val="262626"/>
                <w:lang w:val="en-GB"/>
              </w:rPr>
              <w:t>sans-serif</w:t>
            </w:r>
            <w:r w:rsidR="00C86D0A">
              <w:rPr>
                <w:rFonts w:ascii="Calibri" w:eastAsia="Calibri" w:hAnsi="Calibri" w:cs="Calibri"/>
                <w:color w:val="262626"/>
                <w:lang w:val="en-GB"/>
              </w:rPr>
              <w:t>”</w:t>
            </w:r>
            <w:r w:rsidRPr="00F4758C">
              <w:rPr>
                <w:rFonts w:ascii="Calibri" w:eastAsia="Calibri" w:hAnsi="Calibri" w:cs="Calibri"/>
                <w:color w:val="262626"/>
                <w:lang w:val="en-GB"/>
              </w:rPr>
              <w:t xml:space="preserve"> font.</w:t>
            </w:r>
          </w:p>
          <w:p w14:paraId="7B2B7427" w14:textId="77777777" w:rsidR="00C70D0D" w:rsidRPr="00F4758C" w:rsidRDefault="00C70D0D">
            <w:pPr>
              <w:keepNext/>
              <w:keepLines/>
              <w:numPr>
                <w:ilvl w:val="0"/>
                <w:numId w:val="3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lastRenderedPageBreak/>
              <w:t>When using images, a distinction must be made between decorative and informative images.</w:t>
            </w:r>
          </w:p>
          <w:p w14:paraId="4D13FE8B" w14:textId="77777777" w:rsidR="00C70D0D" w:rsidRPr="00F4758C" w:rsidRDefault="00C70D0D">
            <w:pPr>
              <w:keepNext/>
              <w:keepLines/>
              <w:numPr>
                <w:ilvl w:val="0"/>
                <w:numId w:val="3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Contrast and colour schemes must comply with accessibility criteria.</w:t>
            </w:r>
          </w:p>
          <w:p w14:paraId="1318F670" w14:textId="60796279" w:rsidR="00C70D0D" w:rsidRPr="00F4758C" w:rsidRDefault="00AC31F3">
            <w:pPr>
              <w:keepNext/>
              <w:keepLines/>
              <w:numPr>
                <w:ilvl w:val="0"/>
                <w:numId w:val="3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 xml:space="preserve">The </w:t>
            </w:r>
            <w:r w:rsidR="00C70D0D" w:rsidRPr="00F4758C">
              <w:rPr>
                <w:rFonts w:ascii="Calibri" w:eastAsia="Calibri" w:hAnsi="Calibri" w:cs="Calibri"/>
                <w:color w:val="262626"/>
                <w:lang w:val="en-GB"/>
              </w:rPr>
              <w:t xml:space="preserve">guide concludes with a checklist to assess compliance with digital accessibility requirements: </w:t>
            </w:r>
            <w:r w:rsidR="00BD1AC1">
              <w:rPr>
                <w:rFonts w:ascii="Calibri" w:eastAsia="Calibri" w:hAnsi="Calibri" w:cs="Calibri"/>
                <w:color w:val="262626"/>
                <w:lang w:val="en-GB"/>
              </w:rPr>
              <w:t>“</w:t>
            </w:r>
            <w:r w:rsidR="00C70D0D" w:rsidRPr="00F4758C">
              <w:rPr>
                <w:rFonts w:ascii="Calibri" w:eastAsia="Calibri" w:hAnsi="Calibri" w:cs="Calibri"/>
                <w:color w:val="262626"/>
                <w:lang w:val="en-GB"/>
              </w:rPr>
              <w:t>Is my newsletter accessible?</w:t>
            </w:r>
            <w:r w:rsidR="00BD1AC1">
              <w:rPr>
                <w:rFonts w:ascii="Calibri" w:eastAsia="Calibri" w:hAnsi="Calibri" w:cs="Calibri"/>
                <w:color w:val="262626"/>
                <w:lang w:val="en-GB"/>
              </w:rPr>
              <w:t>”</w:t>
            </w:r>
          </w:p>
          <w:p w14:paraId="476969D8" w14:textId="77777777" w:rsidR="00AC31F3" w:rsidRPr="00F4758C" w:rsidRDefault="00AC31F3" w:rsidP="000302F6">
            <w:pPr>
              <w:keepNext/>
              <w:keepLines/>
              <w:tabs>
                <w:tab w:val="left" w:pos="6285"/>
              </w:tabs>
              <w:spacing w:before="100" w:after="0" w:line="276" w:lineRule="auto"/>
              <w:ind w:left="993"/>
              <w:rPr>
                <w:rFonts w:ascii="Calibri" w:eastAsia="Calibri" w:hAnsi="Calibri" w:cs="Calibri"/>
                <w:color w:val="262626"/>
                <w:lang w:val="en-GB"/>
              </w:rPr>
            </w:pPr>
          </w:p>
          <w:p w14:paraId="3FB2D54B" w14:textId="520109F1" w:rsidR="00C70D0D" w:rsidRPr="00F4758C" w:rsidRDefault="00C70D0D">
            <w:pPr>
              <w:pStyle w:val="Paragraphedeliste"/>
              <w:keepNext/>
              <w:keepLines/>
              <w:numPr>
                <w:ilvl w:val="0"/>
                <w:numId w:val="73"/>
              </w:numPr>
              <w:tabs>
                <w:tab w:val="left" w:pos="6285"/>
              </w:tabs>
              <w:spacing w:before="100" w:after="200" w:line="276" w:lineRule="auto"/>
              <w:rPr>
                <w:rFonts w:ascii="Calibri" w:eastAsia="Calibri" w:hAnsi="Calibri" w:cs="Calibri"/>
                <w:bCs/>
                <w:color w:val="262626"/>
                <w:lang w:val="en-GB"/>
              </w:rPr>
            </w:pPr>
            <w:r w:rsidRPr="00F4758C">
              <w:rPr>
                <w:rFonts w:ascii="Calibri" w:eastAsia="Calibri" w:hAnsi="Calibri" w:cs="Calibri"/>
                <w:b/>
                <w:color w:val="262626"/>
                <w:lang w:val="en-GB"/>
              </w:rPr>
              <w:t xml:space="preserve">The digital accessibility implementation guide for digital accessibility </w:t>
            </w:r>
            <w:r w:rsidR="00A25D43">
              <w:rPr>
                <w:rFonts w:ascii="Calibri" w:eastAsia="Calibri" w:hAnsi="Calibri" w:cs="Calibri"/>
                <w:b/>
                <w:color w:val="262626"/>
                <w:lang w:val="en-GB"/>
              </w:rPr>
              <w:t>lead</w:t>
            </w:r>
            <w:r w:rsidRPr="00F4758C">
              <w:rPr>
                <w:rFonts w:ascii="Calibri" w:eastAsia="Calibri" w:hAnsi="Calibri" w:cs="Calibri"/>
                <w:b/>
                <w:color w:val="262626"/>
                <w:lang w:val="en-GB"/>
              </w:rPr>
              <w:t xml:space="preserve"> </w:t>
            </w:r>
            <w:r w:rsidRPr="00F4758C">
              <w:rPr>
                <w:rFonts w:ascii="Calibri" w:eastAsia="Calibri" w:hAnsi="Calibri" w:cs="Calibri"/>
                <w:bCs/>
                <w:color w:val="262626"/>
                <w:lang w:val="en-GB"/>
              </w:rPr>
              <w:t xml:space="preserve">complements the framework </w:t>
            </w:r>
            <w:r w:rsidR="00AC31F3" w:rsidRPr="00F4758C">
              <w:rPr>
                <w:rFonts w:ascii="Calibri" w:eastAsia="Calibri" w:hAnsi="Calibri" w:cs="Calibri"/>
                <w:bCs/>
                <w:color w:val="262626"/>
                <w:lang w:val="en-GB"/>
              </w:rPr>
              <w:t>and includes</w:t>
            </w:r>
            <w:r w:rsidRPr="00F4758C">
              <w:rPr>
                <w:rFonts w:ascii="Calibri" w:eastAsia="Calibri" w:hAnsi="Calibri" w:cs="Calibri"/>
                <w:bCs/>
                <w:color w:val="262626"/>
                <w:lang w:val="en-GB"/>
              </w:rPr>
              <w:t>:</w:t>
            </w:r>
          </w:p>
          <w:p w14:paraId="4AAD7756" w14:textId="77777777" w:rsidR="00C70D0D" w:rsidRPr="00F4758C" w:rsidRDefault="00C70D0D">
            <w:pPr>
              <w:keepNext/>
              <w:keepLines/>
              <w:numPr>
                <w:ilvl w:val="0"/>
                <w:numId w:val="3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An introduction to digital accessibility (definition, principles, link to the wider societal project, challenges, business opportunities, risk management – images, regulations, etc.)</w:t>
            </w:r>
          </w:p>
          <w:p w14:paraId="7BC7F6F4" w14:textId="24EE07A1" w:rsidR="00C70D0D" w:rsidRPr="00F4758C" w:rsidRDefault="00AC31F3">
            <w:pPr>
              <w:keepNext/>
              <w:keepLines/>
              <w:numPr>
                <w:ilvl w:val="0"/>
                <w:numId w:val="3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 xml:space="preserve">The application of </w:t>
            </w:r>
            <w:r w:rsidR="00C70D0D" w:rsidRPr="00F4758C">
              <w:rPr>
                <w:rFonts w:ascii="Calibri" w:eastAsia="Calibri" w:hAnsi="Calibri" w:cs="Calibri"/>
                <w:color w:val="262626"/>
                <w:lang w:val="en-GB"/>
              </w:rPr>
              <w:t xml:space="preserve">digital accessibility within the Group (objectives, scope of application, collective responsibilities </w:t>
            </w:r>
            <w:r w:rsidRPr="00F4758C">
              <w:rPr>
                <w:rFonts w:ascii="Calibri" w:eastAsia="Calibri" w:hAnsi="Calibri" w:cs="Calibri"/>
                <w:color w:val="262626"/>
                <w:lang w:val="en-GB"/>
              </w:rPr>
              <w:t xml:space="preserve">with a </w:t>
            </w:r>
            <w:r w:rsidR="00C70D0D" w:rsidRPr="00F4758C">
              <w:rPr>
                <w:rFonts w:ascii="Calibri" w:eastAsia="Calibri" w:hAnsi="Calibri" w:cs="Calibri"/>
                <w:color w:val="262626"/>
                <w:lang w:val="en-GB"/>
              </w:rPr>
              <w:t>focus on user journeys requiring collaborative work with the Group’s various entities)</w:t>
            </w:r>
          </w:p>
          <w:p w14:paraId="4159F13E" w14:textId="220A49E0" w:rsidR="00C70D0D" w:rsidRPr="00F4758C" w:rsidRDefault="00C70D0D">
            <w:pPr>
              <w:keepNext/>
              <w:keepLines/>
              <w:numPr>
                <w:ilvl w:val="0"/>
                <w:numId w:val="37"/>
              </w:numPr>
              <w:tabs>
                <w:tab w:val="left" w:pos="6285"/>
              </w:tabs>
              <w:spacing w:before="100" w:after="0" w:line="276" w:lineRule="auto"/>
              <w:rPr>
                <w:rFonts w:ascii="Calibri" w:eastAsia="Calibri" w:hAnsi="Calibri" w:cs="Calibri"/>
                <w:color w:val="262626"/>
                <w:lang w:val="en-GB"/>
              </w:rPr>
            </w:pPr>
            <w:r w:rsidRPr="00F4758C">
              <w:rPr>
                <w:rFonts w:ascii="Calibri" w:eastAsia="Calibri" w:hAnsi="Calibri" w:cs="Calibri"/>
                <w:color w:val="262626"/>
                <w:lang w:val="en-GB"/>
              </w:rPr>
              <w:t>The roll-out of the initiative within each entity (priority actions, available resources, governance at entity and Group level, external support)</w:t>
            </w:r>
            <w:r w:rsidR="000302F6" w:rsidRPr="00F4758C">
              <w:rPr>
                <w:rFonts w:ascii="Calibri" w:eastAsia="Calibri" w:hAnsi="Calibri" w:cs="Calibri"/>
                <w:color w:val="262626"/>
                <w:lang w:val="en-GB"/>
              </w:rPr>
              <w:t>.</w:t>
            </w:r>
            <w:r w:rsidR="00BD1AC1">
              <w:rPr>
                <w:rFonts w:ascii="Calibri" w:eastAsia="Calibri" w:hAnsi="Calibri" w:cs="Calibri"/>
                <w:color w:val="262626"/>
                <w:lang w:val="en-GB"/>
              </w:rPr>
              <w:t>”</w:t>
            </w:r>
          </w:p>
          <w:p w14:paraId="3288A214" w14:textId="77777777" w:rsidR="00C70D0D" w:rsidRPr="00F4758C" w:rsidRDefault="00C70D0D" w:rsidP="0098335B">
            <w:pPr>
              <w:keepNext/>
              <w:keepLines/>
              <w:tabs>
                <w:tab w:val="left" w:pos="6285"/>
              </w:tabs>
              <w:spacing w:before="100" w:after="0" w:line="276" w:lineRule="auto"/>
              <w:rPr>
                <w:rFonts w:ascii="Calibri" w:eastAsia="Calibri" w:hAnsi="Calibri" w:cs="Calibri"/>
                <w:color w:val="262626"/>
                <w:lang w:val="en-GB"/>
              </w:rPr>
            </w:pPr>
          </w:p>
          <w:p w14:paraId="38F52089" w14:textId="774B82DD" w:rsidR="00AC31F3" w:rsidRPr="00F4758C" w:rsidRDefault="00C70D0D" w:rsidP="0098335B">
            <w:pPr>
              <w:spacing w:line="276" w:lineRule="auto"/>
              <w:jc w:val="right"/>
              <w:rPr>
                <w:b/>
                <w:bCs/>
                <w:lang w:val="en-GB" w:eastAsia="fr-FR"/>
              </w:rPr>
            </w:pPr>
            <w:r w:rsidRPr="00F4758C">
              <w:rPr>
                <w:b/>
                <w:bCs/>
                <w:lang w:val="en-GB" w:eastAsia="fr-FR"/>
              </w:rPr>
              <w:t>Élodie Tesson</w:t>
            </w:r>
            <w:r w:rsidRPr="00F4758C">
              <w:rPr>
                <w:lang w:val="en-GB" w:eastAsia="fr-FR"/>
              </w:rPr>
              <w:t>, IT Business Line Communications</w:t>
            </w:r>
          </w:p>
          <w:p w14:paraId="1EB78F16" w14:textId="3ADFDB84" w:rsidR="00AC31F3" w:rsidRDefault="00C70D0D" w:rsidP="0098335B">
            <w:pPr>
              <w:spacing w:line="276" w:lineRule="auto"/>
              <w:jc w:val="right"/>
              <w:rPr>
                <w:b/>
                <w:bCs/>
                <w:lang w:eastAsia="fr-FR"/>
              </w:rPr>
            </w:pPr>
            <w:r w:rsidRPr="00EF07F7">
              <w:rPr>
                <w:b/>
                <w:bCs/>
                <w:lang w:eastAsia="fr-FR"/>
              </w:rPr>
              <w:t>Fabien Métivet</w:t>
            </w:r>
            <w:r w:rsidRPr="00EF07F7">
              <w:rPr>
                <w:lang w:eastAsia="fr-FR"/>
              </w:rPr>
              <w:t xml:space="preserve">, Senior Digital Project Manager, </w:t>
            </w:r>
          </w:p>
          <w:p w14:paraId="3EBEA8D7" w14:textId="07F36007" w:rsidR="00C70D0D" w:rsidRPr="00C43137" w:rsidRDefault="00C70D0D" w:rsidP="0098335B">
            <w:pPr>
              <w:spacing w:line="276" w:lineRule="auto"/>
              <w:jc w:val="right"/>
              <w:rPr>
                <w:lang w:eastAsia="fr-FR"/>
              </w:rPr>
            </w:pPr>
            <w:r w:rsidRPr="00EF07F7">
              <w:rPr>
                <w:b/>
                <w:bCs/>
                <w:lang w:eastAsia="fr-FR"/>
              </w:rPr>
              <w:t xml:space="preserve">Crédit Agricole Group SA </w:t>
            </w:r>
          </w:p>
        </w:tc>
      </w:tr>
    </w:tbl>
    <w:p w14:paraId="77B73565" w14:textId="77777777" w:rsidR="00C70D0D" w:rsidRDefault="00C70D0D" w:rsidP="00C70D0D">
      <w:pPr>
        <w:rPr>
          <w:rFonts w:eastAsia="Times New Roman"/>
        </w:rPr>
      </w:pP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C70D0D" w:rsidRPr="004B4BDE" w14:paraId="618F3D24" w14:textId="77777777" w:rsidTr="006A2D6E">
        <w:trPr>
          <w:jc w:val="center"/>
        </w:trPr>
        <w:tc>
          <w:tcPr>
            <w:tcW w:w="9047" w:type="dxa"/>
            <w:tcBorders>
              <w:left w:val="single" w:sz="18" w:space="0" w:color="155E48"/>
            </w:tcBorders>
            <w:shd w:val="clear" w:color="auto" w:fill="F2F2F2" w:themeFill="background1" w:themeFillShade="F2"/>
          </w:tcPr>
          <w:p w14:paraId="5FB10150" w14:textId="0B93E6CD" w:rsidR="00C70D0D" w:rsidRPr="00F4758C" w:rsidRDefault="0024303C" w:rsidP="0098335B">
            <w:pPr>
              <w:pStyle w:val="TitreEncart"/>
              <w:ind w:left="0"/>
              <w:rPr>
                <w:lang w:val="en-GB"/>
              </w:rPr>
            </w:pPr>
            <w:bookmarkStart w:id="69" w:name="_Toc230257738"/>
            <w:r w:rsidRPr="00F4758C">
              <w:rPr>
                <w:lang w:val="en-GB"/>
              </w:rPr>
              <w:lastRenderedPageBreak/>
              <w:t xml:space="preserve">Case Study: </w:t>
            </w:r>
            <w:r w:rsidR="00C70D0D" w:rsidRPr="00F4758C">
              <w:rPr>
                <w:bCs/>
                <w:lang w:val="en-GB"/>
              </w:rPr>
              <w:t>CACD2 (Crédit Agricole Digital Consulting and Development)</w:t>
            </w:r>
            <w:bookmarkEnd w:id="69"/>
          </w:p>
          <w:p w14:paraId="248C3361" w14:textId="77777777" w:rsidR="00C70D0D" w:rsidRPr="00F4758C" w:rsidRDefault="00C70D0D" w:rsidP="0033608D">
            <w:pPr>
              <w:pStyle w:val="TitreencartREX"/>
              <w:rPr>
                <w:lang w:val="en-GB"/>
              </w:rPr>
            </w:pPr>
            <w:r w:rsidRPr="00F4758C">
              <w:rPr>
                <w:lang w:val="en-GB"/>
              </w:rPr>
              <w:t xml:space="preserve">Resources for support and training  </w:t>
            </w:r>
          </w:p>
          <w:p w14:paraId="319BD77F" w14:textId="58EDD2F3" w:rsidR="00C70D0D" w:rsidRPr="0024303C" w:rsidRDefault="00C70D0D" w:rsidP="0024303C">
            <w:pPr>
              <w:pStyle w:val="Paragraphedeliste"/>
              <w:numPr>
                <w:ilvl w:val="0"/>
                <w:numId w:val="58"/>
              </w:numPr>
              <w:rPr>
                <w:lang w:val="en-GB" w:eastAsia="fr-FR"/>
              </w:rPr>
            </w:pPr>
            <w:r w:rsidRPr="00F4758C">
              <w:rPr>
                <w:lang w:val="en-GB" w:eastAsia="fr-FR"/>
              </w:rPr>
              <w:t xml:space="preserve">A </w:t>
            </w:r>
            <w:r w:rsidR="001F2368" w:rsidRPr="001F2368">
              <w:rPr>
                <w:lang w:val="en-GB" w:eastAsia="fr-FR"/>
              </w:rPr>
              <w:t xml:space="preserve">ninety-minute </w:t>
            </w:r>
            <w:r w:rsidRPr="0024303C">
              <w:rPr>
                <w:lang w:val="en-GB" w:eastAsia="fr-FR"/>
              </w:rPr>
              <w:t xml:space="preserve">presentation on the </w:t>
            </w:r>
            <w:r w:rsidR="00BD1AC1" w:rsidRPr="0024303C">
              <w:rPr>
                <w:lang w:val="en-GB" w:eastAsia="fr-FR"/>
              </w:rPr>
              <w:t>“</w:t>
            </w:r>
            <w:r w:rsidRPr="0024303C">
              <w:rPr>
                <w:lang w:val="en-GB" w:eastAsia="fr-FR"/>
              </w:rPr>
              <w:t xml:space="preserve">CACD2 </w:t>
            </w:r>
            <w:r w:rsidR="00AC31F3" w:rsidRPr="0024303C">
              <w:rPr>
                <w:lang w:val="en-GB" w:eastAsia="fr-FR"/>
              </w:rPr>
              <w:t>checklists</w:t>
            </w:r>
            <w:r w:rsidR="00BD1AC1" w:rsidRPr="0024303C">
              <w:rPr>
                <w:lang w:val="en-GB" w:eastAsia="fr-FR"/>
              </w:rPr>
              <w:t>”</w:t>
            </w:r>
            <w:r w:rsidR="00AC31F3" w:rsidRPr="0024303C">
              <w:rPr>
                <w:lang w:val="en-GB" w:eastAsia="fr-FR"/>
              </w:rPr>
              <w:t xml:space="preserve"> </w:t>
            </w:r>
            <w:r w:rsidRPr="0024303C">
              <w:rPr>
                <w:lang w:val="en-GB" w:eastAsia="fr-FR"/>
              </w:rPr>
              <w:t xml:space="preserve">is offered to developers, </w:t>
            </w:r>
            <w:r w:rsidRPr="001F2368">
              <w:rPr>
                <w:lang w:val="en-GB" w:eastAsia="fr-FR"/>
              </w:rPr>
              <w:t xml:space="preserve">Product Owners, UX/UI designers </w:t>
            </w:r>
            <w:r w:rsidRPr="0024303C">
              <w:rPr>
                <w:lang w:val="en-GB" w:eastAsia="fr-FR"/>
              </w:rPr>
              <w:t xml:space="preserve">and </w:t>
            </w:r>
            <w:r w:rsidR="00AC31F3" w:rsidRPr="0024303C">
              <w:rPr>
                <w:lang w:val="en-GB" w:eastAsia="fr-FR"/>
              </w:rPr>
              <w:t>project</w:t>
            </w:r>
            <w:r w:rsidRPr="0024303C">
              <w:rPr>
                <w:lang w:val="en-GB" w:eastAsia="fr-FR"/>
              </w:rPr>
              <w:t xml:space="preserve"> managers, followed by a quiz, which adds a fun element that is very well received. This presentation can also be delivered to other entities within the Group.</w:t>
            </w:r>
          </w:p>
          <w:p w14:paraId="42A6F303" w14:textId="77777777" w:rsidR="00C70D0D" w:rsidRPr="00F4758C" w:rsidRDefault="00C70D0D" w:rsidP="0098335B">
            <w:pPr>
              <w:rPr>
                <w:b/>
                <w:bCs/>
                <w:lang w:val="en-GB" w:eastAsia="fr-FR"/>
              </w:rPr>
            </w:pPr>
            <w:r w:rsidRPr="00F4758C">
              <w:rPr>
                <w:b/>
                <w:bCs/>
                <w:lang w:val="en-GB" w:eastAsia="fr-FR"/>
              </w:rPr>
              <w:t>The documentation tools, which are updated regularly, serve as reference resources for teams:</w:t>
            </w:r>
          </w:p>
          <w:p w14:paraId="19C585B2" w14:textId="77777777" w:rsidR="00C70D0D" w:rsidRDefault="00C70D0D">
            <w:pPr>
              <w:pStyle w:val="Paragraphedeliste"/>
              <w:numPr>
                <w:ilvl w:val="0"/>
                <w:numId w:val="39"/>
              </w:numPr>
              <w:ind w:hanging="284"/>
              <w:contextualSpacing w:val="0"/>
              <w:rPr>
                <w:lang w:eastAsia="fr-FR"/>
              </w:rPr>
            </w:pPr>
            <w:r>
              <w:rPr>
                <w:lang w:eastAsia="fr-FR"/>
              </w:rPr>
              <w:t>Checklist for developers;</w:t>
            </w:r>
          </w:p>
          <w:p w14:paraId="49A6BBB4" w14:textId="77777777" w:rsidR="00C70D0D" w:rsidRDefault="00C70D0D">
            <w:pPr>
              <w:pStyle w:val="Paragraphedeliste"/>
              <w:numPr>
                <w:ilvl w:val="0"/>
                <w:numId w:val="39"/>
              </w:numPr>
              <w:ind w:hanging="284"/>
              <w:contextualSpacing w:val="0"/>
              <w:rPr>
                <w:lang w:eastAsia="fr-FR"/>
              </w:rPr>
            </w:pPr>
            <w:r>
              <w:rPr>
                <w:lang w:eastAsia="fr-FR"/>
              </w:rPr>
              <w:t>Checklist for designers;</w:t>
            </w:r>
          </w:p>
          <w:p w14:paraId="1C7BD184" w14:textId="77777777" w:rsidR="00C70D0D" w:rsidRPr="00F4758C" w:rsidRDefault="00C70D0D">
            <w:pPr>
              <w:pStyle w:val="Paragraphedeliste"/>
              <w:numPr>
                <w:ilvl w:val="0"/>
                <w:numId w:val="39"/>
              </w:numPr>
              <w:ind w:hanging="284"/>
              <w:contextualSpacing w:val="0"/>
              <w:rPr>
                <w:lang w:val="en-GB" w:eastAsia="fr-FR"/>
              </w:rPr>
            </w:pPr>
            <w:r w:rsidRPr="00F4758C">
              <w:rPr>
                <w:lang w:val="en-GB" w:eastAsia="fr-FR"/>
              </w:rPr>
              <w:t xml:space="preserve">Recommendations to be included in </w:t>
            </w:r>
            <w:r w:rsidRPr="001F2368">
              <w:rPr>
                <w:lang w:val="en-GB" w:eastAsia="fr-FR"/>
              </w:rPr>
              <w:t>user</w:t>
            </w:r>
            <w:r w:rsidRPr="00F4758C">
              <w:rPr>
                <w:lang w:val="en-GB" w:eastAsia="fr-FR"/>
              </w:rPr>
              <w:t xml:space="preserve"> </w:t>
            </w:r>
            <w:r w:rsidRPr="001F2368">
              <w:rPr>
                <w:lang w:val="en-GB" w:eastAsia="fr-FR"/>
              </w:rPr>
              <w:t>stories.</w:t>
            </w:r>
          </w:p>
          <w:p w14:paraId="552188B9" w14:textId="42462485" w:rsidR="00C70D0D" w:rsidRPr="00F4758C" w:rsidRDefault="00C70D0D">
            <w:pPr>
              <w:pStyle w:val="Paragraphedeliste"/>
              <w:numPr>
                <w:ilvl w:val="0"/>
                <w:numId w:val="59"/>
              </w:numPr>
              <w:ind w:left="357" w:hanging="357"/>
              <w:contextualSpacing w:val="0"/>
              <w:rPr>
                <w:lang w:val="en-GB" w:eastAsia="fr-FR"/>
              </w:rPr>
            </w:pPr>
            <w:r w:rsidRPr="00F4758C">
              <w:rPr>
                <w:lang w:val="en-GB" w:eastAsia="fr-FR"/>
              </w:rPr>
              <w:t>At the same time, a hub has been set up to bring together all information on digital accessibility, providing access to checklists, industry updates, an overview of the accessibility team, and details of compliance rates achieved</w:t>
            </w:r>
            <w:r w:rsidR="00AC31F3" w:rsidRPr="00F4758C">
              <w:rPr>
                <w:lang w:val="en-GB" w:eastAsia="fr-FR"/>
              </w:rPr>
              <w:t>.</w:t>
            </w:r>
          </w:p>
          <w:p w14:paraId="0286FDE6" w14:textId="77777777" w:rsidR="00C70D0D" w:rsidRPr="00F4758C" w:rsidRDefault="00C70D0D">
            <w:pPr>
              <w:pStyle w:val="Paragraphedeliste"/>
              <w:numPr>
                <w:ilvl w:val="0"/>
                <w:numId w:val="59"/>
              </w:numPr>
              <w:ind w:left="357" w:hanging="357"/>
              <w:contextualSpacing w:val="0"/>
              <w:rPr>
                <w:lang w:val="en-GB" w:eastAsia="fr-FR"/>
              </w:rPr>
            </w:pPr>
            <w:r w:rsidRPr="00F4758C">
              <w:rPr>
                <w:lang w:val="en-GB" w:eastAsia="fr-FR"/>
              </w:rPr>
              <w:t xml:space="preserve">CACD2 </w:t>
            </w:r>
            <w:r w:rsidRPr="00F4758C">
              <w:rPr>
                <w:b/>
                <w:bCs/>
                <w:lang w:val="en-GB" w:eastAsia="fr-FR"/>
              </w:rPr>
              <w:t xml:space="preserve">actively </w:t>
            </w:r>
            <w:r w:rsidRPr="00F4758C">
              <w:rPr>
                <w:lang w:val="en-GB" w:eastAsia="fr-FR"/>
              </w:rPr>
              <w:t xml:space="preserve">monitors </w:t>
            </w:r>
            <w:r w:rsidRPr="00F4758C">
              <w:rPr>
                <w:b/>
                <w:bCs/>
                <w:lang w:val="en-GB" w:eastAsia="fr-FR"/>
              </w:rPr>
              <w:t xml:space="preserve">developments </w:t>
            </w:r>
            <w:r w:rsidRPr="00F4758C">
              <w:rPr>
                <w:lang w:val="en-GB" w:eastAsia="fr-FR"/>
              </w:rPr>
              <w:t xml:space="preserve">by attending specialist events and conferences, and runs a </w:t>
            </w:r>
            <w:r w:rsidRPr="00F4758C">
              <w:rPr>
                <w:b/>
                <w:bCs/>
                <w:lang w:val="en-GB" w:eastAsia="fr-FR"/>
              </w:rPr>
              <w:t>dedicated Slack channel</w:t>
            </w:r>
            <w:r w:rsidRPr="00F4758C">
              <w:rPr>
                <w:lang w:val="en-GB" w:eastAsia="fr-FR"/>
              </w:rPr>
              <w:t xml:space="preserve">, fostering a genuine community of mutual support around accessible development. </w:t>
            </w:r>
          </w:p>
          <w:p w14:paraId="2B92AECF" w14:textId="77777777" w:rsidR="00646CD1" w:rsidRPr="00F4758C" w:rsidRDefault="00646CD1" w:rsidP="00646CD1">
            <w:pPr>
              <w:rPr>
                <w:lang w:val="en-GB" w:eastAsia="fr-FR"/>
              </w:rPr>
            </w:pPr>
          </w:p>
          <w:p w14:paraId="0FC7081F" w14:textId="77777777" w:rsidR="00C70D0D" w:rsidRPr="00F4758C" w:rsidRDefault="00C70D0D" w:rsidP="0098335B">
            <w:pPr>
              <w:jc w:val="right"/>
              <w:rPr>
                <w:lang w:val="en-GB" w:eastAsia="fr-FR"/>
              </w:rPr>
            </w:pPr>
            <w:r w:rsidRPr="00F4758C">
              <w:rPr>
                <w:b/>
                <w:bCs/>
                <w:lang w:val="en-GB" w:eastAsia="fr-FR"/>
              </w:rPr>
              <w:t>Elodie Vuarchex</w:t>
            </w:r>
            <w:r w:rsidRPr="00F4758C">
              <w:rPr>
                <w:lang w:val="en-GB" w:eastAsia="fr-FR"/>
              </w:rPr>
              <w:t xml:space="preserve">, Digital Accessibility Lead and Product Owner at </w:t>
            </w:r>
            <w:r w:rsidRPr="00F4758C">
              <w:rPr>
                <w:b/>
                <w:bCs/>
                <w:lang w:val="en-GB" w:eastAsia="fr-FR"/>
              </w:rPr>
              <w:t>CACD2</w:t>
            </w:r>
          </w:p>
        </w:tc>
      </w:tr>
    </w:tbl>
    <w:p w14:paraId="7FEC12C8" w14:textId="77777777" w:rsidR="00C70D0D" w:rsidRPr="00F4758C" w:rsidRDefault="00C70D0D" w:rsidP="00C70D0D">
      <w:pPr>
        <w:rPr>
          <w:rFonts w:eastAsia="Times New Roman"/>
          <w:lang w:val="en-GB"/>
        </w:rPr>
      </w:pPr>
    </w:p>
    <w:p w14:paraId="33F09CDC" w14:textId="556089BC" w:rsidR="006E1221" w:rsidRPr="000234FC" w:rsidRDefault="006E1221" w:rsidP="006E1221">
      <w:pPr>
        <w:pStyle w:val="Titre3"/>
        <w:rPr>
          <w:lang w:val="fr-FR"/>
        </w:rPr>
      </w:pPr>
      <w:bookmarkStart w:id="70" w:name="_Toc230077026"/>
      <w:r w:rsidRPr="000234FC">
        <w:rPr>
          <w:lang w:val="fr-FR"/>
        </w:rPr>
        <w:t>Focus on accessible design systems</w:t>
      </w:r>
      <w:bookmarkEnd w:id="70"/>
    </w:p>
    <w:p w14:paraId="5B5D7E88" w14:textId="4D6DB5E4" w:rsidR="006E1221" w:rsidRDefault="00BF3E4B" w:rsidP="006E1221">
      <w:pPr>
        <w:rPr>
          <w:rFonts w:eastAsia="Times New Roman"/>
        </w:rPr>
      </w:pPr>
      <w:r w:rsidRPr="00F4758C">
        <w:rPr>
          <w:rFonts w:eastAsia="Times New Roman"/>
          <w:lang w:val="en-GB"/>
        </w:rPr>
        <w:t xml:space="preserve">The majority of </w:t>
      </w:r>
      <w:r w:rsidR="006E1221" w:rsidRPr="00F4758C">
        <w:rPr>
          <w:rFonts w:eastAsia="Times New Roman"/>
          <w:lang w:val="en-GB"/>
        </w:rPr>
        <w:t xml:space="preserve">organisations </w:t>
      </w:r>
      <w:r w:rsidR="000302F6" w:rsidRPr="00F4758C">
        <w:rPr>
          <w:rFonts w:eastAsia="Times New Roman"/>
          <w:lang w:val="en-GB"/>
        </w:rPr>
        <w:t xml:space="preserve">in the working group are seeking to develop </w:t>
      </w:r>
      <w:r w:rsidR="006E1221" w:rsidRPr="00F4758C">
        <w:rPr>
          <w:rFonts w:eastAsia="Times New Roman"/>
          <w:lang w:val="en-GB"/>
        </w:rPr>
        <w:t xml:space="preserve">a framework for </w:t>
      </w:r>
      <w:r w:rsidR="006E1221" w:rsidRPr="001F2368">
        <w:rPr>
          <w:rFonts w:eastAsia="Times New Roman"/>
          <w:lang w:val="en-GB"/>
        </w:rPr>
        <w:t xml:space="preserve">an </w:t>
      </w:r>
      <w:r w:rsidR="006E1221" w:rsidRPr="00F4758C">
        <w:rPr>
          <w:rFonts w:eastAsia="Times New Roman"/>
          <w:lang w:val="en-GB"/>
        </w:rPr>
        <w:t xml:space="preserve">accessible </w:t>
      </w:r>
      <w:r w:rsidR="006E1221" w:rsidRPr="001F2368">
        <w:rPr>
          <w:rFonts w:eastAsia="Times New Roman"/>
          <w:lang w:val="en-GB"/>
        </w:rPr>
        <w:t>design system</w:t>
      </w:r>
      <w:r w:rsidR="006E1221" w:rsidRPr="00F4758C">
        <w:rPr>
          <w:rFonts w:eastAsia="Times New Roman"/>
          <w:lang w:val="en-GB"/>
        </w:rPr>
        <w:t xml:space="preserve">. A </w:t>
      </w:r>
      <w:r w:rsidR="006E1221" w:rsidRPr="001F2368">
        <w:rPr>
          <w:rFonts w:eastAsia="Times New Roman"/>
          <w:lang w:val="en-GB"/>
        </w:rPr>
        <w:t xml:space="preserve">design system </w:t>
      </w:r>
      <w:r w:rsidR="006E1221" w:rsidRPr="00F4758C">
        <w:rPr>
          <w:rFonts w:eastAsia="Times New Roman"/>
          <w:lang w:val="en-GB"/>
        </w:rPr>
        <w:t xml:space="preserve">is a portal or platform that brings together a set of resources (component libraries, code, documentation) </w:t>
      </w:r>
      <w:r w:rsidR="00740013" w:rsidRPr="00F4758C">
        <w:rPr>
          <w:rFonts w:eastAsia="Times New Roman"/>
          <w:lang w:val="en-GB"/>
        </w:rPr>
        <w:t xml:space="preserve">and rules </w:t>
      </w:r>
      <w:r w:rsidR="006E1221" w:rsidRPr="00F4758C">
        <w:rPr>
          <w:rFonts w:eastAsia="Times New Roman"/>
          <w:lang w:val="en-GB"/>
        </w:rPr>
        <w:t xml:space="preserve">for harmonising user </w:t>
      </w:r>
      <w:r w:rsidR="00740013" w:rsidRPr="00F4758C">
        <w:rPr>
          <w:rFonts w:eastAsia="Times New Roman"/>
          <w:lang w:val="en-GB"/>
        </w:rPr>
        <w:t xml:space="preserve">interfaces. More and more </w:t>
      </w:r>
      <w:r w:rsidR="00740013" w:rsidRPr="001F2368">
        <w:rPr>
          <w:rFonts w:eastAsia="Times New Roman"/>
          <w:lang w:val="en-GB"/>
        </w:rPr>
        <w:t xml:space="preserve">design </w:t>
      </w:r>
      <w:r w:rsidR="00AC31F3" w:rsidRPr="001F2368">
        <w:rPr>
          <w:rFonts w:eastAsia="Times New Roman"/>
          <w:lang w:val="en-GB"/>
        </w:rPr>
        <w:t>systems</w:t>
      </w:r>
      <w:r w:rsidR="00740013" w:rsidRPr="00F4758C">
        <w:rPr>
          <w:rFonts w:eastAsia="Times New Roman"/>
          <w:lang w:val="en-GB"/>
        </w:rPr>
        <w:t xml:space="preserve"> are incorporating digital accessibility criteria to facilitate and standardise their implementation by </w:t>
      </w:r>
      <w:r w:rsidR="006E1221" w:rsidRPr="00F4758C">
        <w:rPr>
          <w:rFonts w:eastAsia="Times New Roman"/>
          <w:lang w:val="en-GB"/>
        </w:rPr>
        <w:t xml:space="preserve">designers and developers. </w:t>
      </w:r>
      <w:r w:rsidR="00740013">
        <w:rPr>
          <w:rFonts w:eastAsia="Times New Roman"/>
        </w:rPr>
        <w:t xml:space="preserve">They </w:t>
      </w:r>
      <w:r w:rsidR="006E1221" w:rsidRPr="006E1221">
        <w:rPr>
          <w:rFonts w:eastAsia="Times New Roman"/>
        </w:rPr>
        <w:t xml:space="preserve">generally </w:t>
      </w:r>
      <w:r w:rsidR="00740013">
        <w:rPr>
          <w:rFonts w:eastAsia="Times New Roman"/>
        </w:rPr>
        <w:t>include</w:t>
      </w:r>
      <w:r w:rsidR="006E1221" w:rsidRPr="006E1221">
        <w:rPr>
          <w:rFonts w:eastAsia="Times New Roman"/>
        </w:rPr>
        <w:t>:</w:t>
      </w:r>
    </w:p>
    <w:p w14:paraId="23391753" w14:textId="4D1F4CAB" w:rsidR="006E1221" w:rsidRPr="00F4758C" w:rsidRDefault="006E1221">
      <w:pPr>
        <w:pStyle w:val="Paragraphedeliste"/>
        <w:numPr>
          <w:ilvl w:val="0"/>
          <w:numId w:val="30"/>
        </w:numPr>
        <w:rPr>
          <w:rFonts w:eastAsia="Times New Roman"/>
          <w:lang w:val="en-GB"/>
        </w:rPr>
      </w:pPr>
      <w:r w:rsidRPr="00F4758C">
        <w:rPr>
          <w:rFonts w:eastAsia="Times New Roman"/>
          <w:lang w:val="en-GB"/>
        </w:rPr>
        <w:t xml:space="preserve">Essential information on </w:t>
      </w:r>
      <w:r w:rsidR="00740013" w:rsidRPr="00F4758C">
        <w:rPr>
          <w:rFonts w:eastAsia="Times New Roman"/>
          <w:lang w:val="en-GB"/>
        </w:rPr>
        <w:t xml:space="preserve">digital accessibility, </w:t>
      </w:r>
      <w:r w:rsidRPr="00F4758C">
        <w:rPr>
          <w:rFonts w:eastAsia="Times New Roman"/>
          <w:lang w:val="en-GB"/>
        </w:rPr>
        <w:t>along with all relevant media and content (web, mobile and conversational interfaces, videos, etc.);</w:t>
      </w:r>
    </w:p>
    <w:p w14:paraId="60407EA0" w14:textId="77777777" w:rsidR="006E1221" w:rsidRPr="00F4758C" w:rsidRDefault="006E1221">
      <w:pPr>
        <w:pStyle w:val="Paragraphedeliste"/>
        <w:numPr>
          <w:ilvl w:val="0"/>
          <w:numId w:val="30"/>
        </w:numPr>
        <w:rPr>
          <w:rFonts w:eastAsia="Times New Roman"/>
          <w:lang w:val="en-GB"/>
        </w:rPr>
      </w:pPr>
      <w:r w:rsidRPr="00F4758C">
        <w:rPr>
          <w:rFonts w:eastAsia="Times New Roman"/>
          <w:lang w:val="en-GB"/>
        </w:rPr>
        <w:t xml:space="preserve">Technical </w:t>
      </w:r>
      <w:r w:rsidRPr="001F2368">
        <w:rPr>
          <w:rFonts w:eastAsia="Times New Roman"/>
          <w:lang w:val="en-GB"/>
        </w:rPr>
        <w:t xml:space="preserve">frameworks </w:t>
      </w:r>
      <w:r w:rsidRPr="00F4758C">
        <w:rPr>
          <w:rFonts w:eastAsia="Times New Roman"/>
          <w:lang w:val="en-GB"/>
        </w:rPr>
        <w:t xml:space="preserve">and specific </w:t>
      </w:r>
      <w:r w:rsidRPr="001F2368">
        <w:rPr>
          <w:rFonts w:eastAsia="Times New Roman"/>
          <w:lang w:val="en-GB"/>
        </w:rPr>
        <w:t xml:space="preserve">guidelines </w:t>
      </w:r>
      <w:r w:rsidRPr="00F4758C">
        <w:rPr>
          <w:rFonts w:eastAsia="Times New Roman"/>
          <w:lang w:val="en-GB"/>
        </w:rPr>
        <w:t>concerning the choice of colours, typefaces, iconography, etc.;</w:t>
      </w:r>
    </w:p>
    <w:p w14:paraId="2546B829" w14:textId="578FB6A1" w:rsidR="006E1221" w:rsidRPr="00F4758C" w:rsidRDefault="006E1221">
      <w:pPr>
        <w:pStyle w:val="Paragraphedeliste"/>
        <w:numPr>
          <w:ilvl w:val="0"/>
          <w:numId w:val="30"/>
        </w:numPr>
        <w:rPr>
          <w:rFonts w:eastAsia="Times New Roman"/>
          <w:lang w:val="en-GB"/>
        </w:rPr>
      </w:pPr>
      <w:r w:rsidRPr="00F4758C">
        <w:rPr>
          <w:rFonts w:eastAsia="Times New Roman"/>
          <w:lang w:val="en-GB"/>
        </w:rPr>
        <w:t xml:space="preserve">A section on </w:t>
      </w:r>
      <w:r w:rsidR="000234FC" w:rsidRPr="00F4758C">
        <w:rPr>
          <w:rFonts w:eastAsia="Times New Roman"/>
          <w:lang w:val="en-GB"/>
        </w:rPr>
        <w:t>eco-design</w:t>
      </w:r>
      <w:r w:rsidRPr="00F4758C">
        <w:rPr>
          <w:rFonts w:eastAsia="Times New Roman"/>
          <w:lang w:val="en-GB"/>
        </w:rPr>
        <w:t>;</w:t>
      </w:r>
    </w:p>
    <w:p w14:paraId="7FF780A1" w14:textId="2513D649" w:rsidR="006E1221" w:rsidRDefault="006E1221">
      <w:pPr>
        <w:pStyle w:val="Paragraphedeliste"/>
        <w:numPr>
          <w:ilvl w:val="0"/>
          <w:numId w:val="30"/>
        </w:numPr>
        <w:rPr>
          <w:rFonts w:eastAsia="Times New Roman"/>
        </w:rPr>
      </w:pPr>
      <w:r w:rsidRPr="006E1221">
        <w:rPr>
          <w:rFonts w:eastAsia="Times New Roman"/>
        </w:rPr>
        <w:t>Examples of accessible pages or applications.</w:t>
      </w:r>
    </w:p>
    <w:p w14:paraId="218B6553" w14:textId="32169089" w:rsidR="006E1221" w:rsidRPr="00F4758C" w:rsidRDefault="006E1221" w:rsidP="007C3AC5">
      <w:pPr>
        <w:rPr>
          <w:rFonts w:eastAsia="Times New Roman"/>
          <w:lang w:val="en-GB"/>
        </w:rPr>
      </w:pPr>
      <w:r w:rsidRPr="00F4758C">
        <w:rPr>
          <w:rFonts w:eastAsia="Times New Roman"/>
          <w:lang w:val="en-GB"/>
        </w:rPr>
        <w:lastRenderedPageBreak/>
        <w:t xml:space="preserve">Some </w:t>
      </w:r>
      <w:r w:rsidRPr="001F2368">
        <w:rPr>
          <w:rFonts w:eastAsia="Times New Roman"/>
          <w:lang w:val="en-GB"/>
        </w:rPr>
        <w:t xml:space="preserve">design </w:t>
      </w:r>
      <w:r w:rsidR="000937C7" w:rsidRPr="001F2368">
        <w:rPr>
          <w:rFonts w:eastAsia="Times New Roman"/>
          <w:lang w:val="en-GB"/>
        </w:rPr>
        <w:t xml:space="preserve">systems </w:t>
      </w:r>
      <w:r w:rsidRPr="00F4758C">
        <w:rPr>
          <w:rFonts w:eastAsia="Times New Roman"/>
          <w:lang w:val="en-GB"/>
        </w:rPr>
        <w:t xml:space="preserve">also incorporate an inspection mode or a checklist to assess the compliance of the services or products developed. </w:t>
      </w:r>
    </w:p>
    <w:p w14:paraId="7BBAD4B3" w14:textId="60A9457E" w:rsidR="006E1221" w:rsidRPr="00F4758C" w:rsidRDefault="006E1221" w:rsidP="007C3AC5">
      <w:pPr>
        <w:rPr>
          <w:rFonts w:eastAsia="Times New Roman"/>
          <w:lang w:val="en-GB"/>
        </w:rPr>
      </w:pPr>
      <w:r w:rsidRPr="00F4758C">
        <w:rPr>
          <w:rFonts w:eastAsia="Times New Roman"/>
          <w:lang w:val="en-GB"/>
        </w:rPr>
        <w:t xml:space="preserve">For some organisations, the </w:t>
      </w:r>
      <w:r w:rsidRPr="001F2368">
        <w:rPr>
          <w:rFonts w:eastAsia="Times New Roman"/>
          <w:lang w:val="en-GB"/>
        </w:rPr>
        <w:t xml:space="preserve">design system </w:t>
      </w:r>
      <w:r w:rsidRPr="00F4758C">
        <w:rPr>
          <w:rFonts w:eastAsia="Times New Roman"/>
          <w:lang w:val="en-GB"/>
        </w:rPr>
        <w:t xml:space="preserve">has helped to secure strong buy-in from teams regarding </w:t>
      </w:r>
      <w:r w:rsidR="000234FC" w:rsidRPr="00F4758C">
        <w:rPr>
          <w:rFonts w:eastAsia="Times New Roman"/>
          <w:lang w:val="en-GB"/>
        </w:rPr>
        <w:t>digital accessibility</w:t>
      </w:r>
      <w:r w:rsidRPr="00F4758C">
        <w:rPr>
          <w:rFonts w:eastAsia="Times New Roman"/>
          <w:lang w:val="en-GB"/>
        </w:rPr>
        <w:t xml:space="preserve">, particularly </w:t>
      </w:r>
      <w:r w:rsidR="00AC31F3" w:rsidRPr="00F4758C">
        <w:rPr>
          <w:rFonts w:eastAsia="Times New Roman"/>
          <w:lang w:val="en-GB"/>
        </w:rPr>
        <w:t xml:space="preserve">when the system </w:t>
      </w:r>
      <w:r w:rsidRPr="00F4758C">
        <w:rPr>
          <w:rFonts w:eastAsia="Times New Roman"/>
          <w:lang w:val="en-GB"/>
        </w:rPr>
        <w:t>itself is well designed</w:t>
      </w:r>
      <w:r w:rsidR="00740013" w:rsidRPr="00F4758C">
        <w:rPr>
          <w:rFonts w:eastAsia="Times New Roman"/>
          <w:lang w:val="en-GB"/>
        </w:rPr>
        <w:t>.</w:t>
      </w:r>
    </w:p>
    <w:p w14:paraId="3B3F5962" w14:textId="58DBEDBB" w:rsidR="006E1221" w:rsidRPr="00F4758C" w:rsidRDefault="006E1221" w:rsidP="006E1221">
      <w:pPr>
        <w:rPr>
          <w:rFonts w:eastAsia="Times New Roman"/>
          <w:lang w:val="en-GB"/>
        </w:rPr>
      </w:pPr>
      <w:r w:rsidRPr="00F4758C">
        <w:rPr>
          <w:rFonts w:eastAsia="Times New Roman"/>
          <w:lang w:val="en-GB"/>
        </w:rPr>
        <w:t xml:space="preserve">The </w:t>
      </w:r>
      <w:r w:rsidRPr="001F2368">
        <w:rPr>
          <w:rFonts w:eastAsia="Times New Roman"/>
          <w:lang w:val="en-GB"/>
        </w:rPr>
        <w:t xml:space="preserve">design system </w:t>
      </w:r>
      <w:r w:rsidRPr="00F4758C">
        <w:rPr>
          <w:rFonts w:eastAsia="Times New Roman"/>
          <w:lang w:val="en-GB"/>
        </w:rPr>
        <w:t>thus acts as an essential technical and methodological tool that structures production and pools resources. It centralises communication between designers and developers</w:t>
      </w:r>
      <w:r w:rsidR="00517094" w:rsidRPr="00F4758C">
        <w:rPr>
          <w:rFonts w:eastAsia="Times New Roman"/>
          <w:lang w:val="en-GB"/>
        </w:rPr>
        <w:t xml:space="preserve">, </w:t>
      </w:r>
      <w:r w:rsidRPr="00F4758C">
        <w:rPr>
          <w:rFonts w:eastAsia="Times New Roman"/>
          <w:lang w:val="en-GB"/>
        </w:rPr>
        <w:t>enabling</w:t>
      </w:r>
      <w:r w:rsidR="00517094" w:rsidRPr="00F4758C">
        <w:rPr>
          <w:rFonts w:eastAsia="Times New Roman"/>
          <w:lang w:val="en-GB"/>
        </w:rPr>
        <w:t xml:space="preserve"> them to collaborate more effectively and </w:t>
      </w:r>
      <w:r w:rsidRPr="00F4758C">
        <w:rPr>
          <w:rFonts w:eastAsia="Times New Roman"/>
          <w:lang w:val="en-GB"/>
        </w:rPr>
        <w:t>avoid any loss of information.</w:t>
      </w:r>
    </w:p>
    <w:tbl>
      <w:tblPr>
        <w:tblW w:w="5000" w:type="pct"/>
        <w:jc w:val="center"/>
        <w:tblBorders>
          <w:top w:val="nil"/>
          <w:left w:val="single" w:sz="48" w:space="0" w:color="0F516C"/>
          <w:bottom w:val="nil"/>
          <w:right w:val="nil"/>
          <w:insideH w:val="nil"/>
          <w:insideV w:val="nil"/>
        </w:tblBorders>
        <w:tblLayout w:type="fixed"/>
        <w:tblCellMar>
          <w:top w:w="284" w:type="dxa"/>
          <w:left w:w="284" w:type="dxa"/>
          <w:bottom w:w="284" w:type="dxa"/>
          <w:right w:w="284" w:type="dxa"/>
        </w:tblCellMar>
        <w:tblLook w:val="0420" w:firstRow="1" w:lastRow="0" w:firstColumn="0" w:lastColumn="0" w:noHBand="0" w:noVBand="1"/>
      </w:tblPr>
      <w:tblGrid>
        <w:gridCol w:w="9047"/>
      </w:tblGrid>
      <w:tr w:rsidR="006E1221" w:rsidRPr="004B4BDE" w14:paraId="27A144CA" w14:textId="77777777" w:rsidTr="00183343">
        <w:trPr>
          <w:jc w:val="center"/>
        </w:trPr>
        <w:tc>
          <w:tcPr>
            <w:tcW w:w="9047" w:type="dxa"/>
            <w:tcBorders>
              <w:left w:val="single" w:sz="18" w:space="0" w:color="155E48"/>
            </w:tcBorders>
            <w:shd w:val="clear" w:color="auto" w:fill="F2F2F2" w:themeFill="background1" w:themeFillShade="F2"/>
          </w:tcPr>
          <w:p w14:paraId="1AF0FE83" w14:textId="5543B530" w:rsidR="006E1221" w:rsidRPr="00F4758C" w:rsidRDefault="001F2368" w:rsidP="00875CEE">
            <w:pPr>
              <w:pStyle w:val="TitreEncart"/>
              <w:ind w:left="708" w:hanging="424"/>
              <w:rPr>
                <w:lang w:val="en-GB"/>
              </w:rPr>
            </w:pPr>
            <w:bookmarkStart w:id="71" w:name="_Toc230257739"/>
            <w:r>
              <w:rPr>
                <w:bCs/>
                <w:lang w:val="en-GB"/>
              </w:rPr>
              <w:lastRenderedPageBreak/>
              <w:t>Case Study:</w:t>
            </w:r>
            <w:r w:rsidR="006E1221" w:rsidRPr="00F4758C">
              <w:rPr>
                <w:bCs/>
                <w:lang w:val="en-GB"/>
              </w:rPr>
              <w:t xml:space="preserve"> iMSA</w:t>
            </w:r>
            <w:bookmarkEnd w:id="71"/>
          </w:p>
          <w:p w14:paraId="2A60AF5F" w14:textId="4983BBBB" w:rsidR="006E1221" w:rsidRPr="00F4758C" w:rsidRDefault="006E1221" w:rsidP="00F25788">
            <w:pPr>
              <w:pStyle w:val="TitreencartREX"/>
              <w:rPr>
                <w:lang w:val="en-GB"/>
              </w:rPr>
            </w:pPr>
            <w:r w:rsidRPr="00F4758C">
              <w:rPr>
                <w:lang w:val="en-GB"/>
              </w:rPr>
              <w:t xml:space="preserve">Scaling up digital accessibility through governance, the </w:t>
            </w:r>
            <w:r w:rsidRPr="001F2368">
              <w:rPr>
                <w:lang w:val="en-GB"/>
              </w:rPr>
              <w:t xml:space="preserve">design system </w:t>
            </w:r>
            <w:r w:rsidRPr="00F4758C">
              <w:rPr>
                <w:lang w:val="en-GB"/>
              </w:rPr>
              <w:t xml:space="preserve">and training </w:t>
            </w:r>
          </w:p>
          <w:p w14:paraId="085EFC52" w14:textId="64213E94" w:rsidR="00EF07F7" w:rsidRPr="00F4758C" w:rsidRDefault="00BD1AC1" w:rsidP="009D1CBC">
            <w:pPr>
              <w:rPr>
                <w:lang w:val="en-GB" w:eastAsia="fr-FR"/>
              </w:rPr>
            </w:pPr>
            <w:r>
              <w:rPr>
                <w:lang w:val="en-GB" w:eastAsia="fr-FR"/>
              </w:rPr>
              <w:t>“</w:t>
            </w:r>
            <w:r w:rsidR="00EF07F7" w:rsidRPr="00F4758C">
              <w:rPr>
                <w:lang w:val="en-GB" w:eastAsia="fr-FR"/>
              </w:rPr>
              <w:t>For iMSA</w:t>
            </w:r>
            <w:r w:rsidR="00517094" w:rsidRPr="00F4758C">
              <w:rPr>
                <w:lang w:val="en-GB" w:eastAsia="fr-FR"/>
              </w:rPr>
              <w:t xml:space="preserve">, </w:t>
            </w:r>
            <w:r w:rsidR="00EF07F7" w:rsidRPr="00F4758C">
              <w:rPr>
                <w:lang w:val="en-GB" w:eastAsia="fr-FR"/>
              </w:rPr>
              <w:t xml:space="preserve">an economic interest group (GIE) of the MSA (France’s second-largest social protection organisation), which manages 400 digital products for 5 million beneficiaries and 16,000 staff, accessibility is not merely a legal requirement but a societal challenge stemming from the demands of public service. The issue has been addressed for several years (the Accessiweb label for msa.fr in 2008) but has recently gained momentum with the creation of the in-house UX/UI Studio, which drives initiatives on quality issues such as user experience, eco-design and accessibility. </w:t>
            </w:r>
          </w:p>
          <w:p w14:paraId="3F0297A7" w14:textId="68BAB852" w:rsidR="00EF07F7" w:rsidRPr="00F4758C" w:rsidRDefault="00EF07F7">
            <w:pPr>
              <w:pStyle w:val="Paragraphedeliste"/>
              <w:numPr>
                <w:ilvl w:val="0"/>
                <w:numId w:val="75"/>
              </w:numPr>
              <w:rPr>
                <w:lang w:val="en-GB" w:eastAsia="fr-FR"/>
              </w:rPr>
            </w:pPr>
            <w:r w:rsidRPr="00F4758C">
              <w:rPr>
                <w:lang w:val="en-GB" w:eastAsia="fr-FR"/>
              </w:rPr>
              <w:t>The approach is now natively integrated into our governance framework through:</w:t>
            </w:r>
          </w:p>
          <w:p w14:paraId="67163086" w14:textId="77777777" w:rsidR="000937C7" w:rsidRPr="00F4758C" w:rsidRDefault="00EF07F7">
            <w:pPr>
              <w:numPr>
                <w:ilvl w:val="0"/>
                <w:numId w:val="31"/>
              </w:numPr>
              <w:rPr>
                <w:lang w:val="en-GB" w:eastAsia="fr-FR"/>
              </w:rPr>
            </w:pPr>
            <w:r w:rsidRPr="00F4758C">
              <w:rPr>
                <w:b/>
                <w:bCs/>
                <w:lang w:val="en-GB" w:eastAsia="fr-FR"/>
              </w:rPr>
              <w:t xml:space="preserve">Integration into </w:t>
            </w:r>
            <w:r w:rsidRPr="001F2368">
              <w:rPr>
                <w:b/>
                <w:bCs/>
                <w:lang w:val="en-GB" w:eastAsia="fr-FR"/>
              </w:rPr>
              <w:t>Lean Portfolio Management</w:t>
            </w:r>
            <w:r w:rsidRPr="00F4758C">
              <w:rPr>
                <w:lang w:val="en-GB" w:eastAsia="fr-FR"/>
              </w:rPr>
              <w:t>: accessibility is incorporated as a fully-fledged budget line and approved by the business units during budget votes.</w:t>
            </w:r>
          </w:p>
          <w:p w14:paraId="6180AE8B" w14:textId="18967EAE" w:rsidR="00EF07F7" w:rsidRPr="00F4758C" w:rsidRDefault="000937C7">
            <w:pPr>
              <w:pStyle w:val="Paragraphedeliste"/>
              <w:numPr>
                <w:ilvl w:val="0"/>
                <w:numId w:val="31"/>
              </w:numPr>
              <w:rPr>
                <w:lang w:val="en-GB" w:eastAsia="fr-FR"/>
              </w:rPr>
            </w:pPr>
            <w:r w:rsidRPr="00F4758C">
              <w:rPr>
                <w:b/>
                <w:bCs/>
                <w:lang w:val="en-GB" w:eastAsia="fr-FR"/>
              </w:rPr>
              <w:t>An institutional partnership (DINUM)</w:t>
            </w:r>
            <w:r w:rsidRPr="00F4758C">
              <w:rPr>
                <w:lang w:val="en-GB" w:eastAsia="fr-FR"/>
              </w:rPr>
              <w:t>: DINUM supports iMSA</w:t>
            </w:r>
            <w:r w:rsidR="00517094" w:rsidRPr="00F4758C">
              <w:rPr>
                <w:lang w:val="en-GB" w:eastAsia="fr-FR"/>
              </w:rPr>
              <w:t xml:space="preserve">, </w:t>
            </w:r>
            <w:r w:rsidRPr="00F4758C">
              <w:rPr>
                <w:lang w:val="en-GB" w:eastAsia="fr-FR"/>
              </w:rPr>
              <w:t>on the one hand through its funding scheme to overhaul its online services by improving accessibility and user experience, and on the other hand through the Digital Intervention Brigade (</w:t>
            </w:r>
            <w:r w:rsidR="0014347D">
              <w:rPr>
                <w:lang w:val="en-GB" w:eastAsia="fr-FR"/>
              </w:rPr>
              <w:t>DIB</w:t>
            </w:r>
            <w:r w:rsidRPr="00F4758C">
              <w:rPr>
                <w:lang w:val="en-GB" w:eastAsia="fr-FR"/>
              </w:rPr>
              <w:t xml:space="preserve">), which offers training courses to raise awareness of digital accessibility. </w:t>
            </w:r>
          </w:p>
          <w:p w14:paraId="13E7CE46" w14:textId="0D83B374" w:rsidR="000937C7" w:rsidRPr="00F4758C" w:rsidRDefault="000937C7" w:rsidP="009D1CBC">
            <w:pPr>
              <w:pStyle w:val="Paragraphedeliste"/>
              <w:numPr>
                <w:ilvl w:val="0"/>
                <w:numId w:val="31"/>
              </w:numPr>
              <w:spacing w:before="240"/>
              <w:rPr>
                <w:lang w:val="en-GB" w:eastAsia="fr-FR"/>
              </w:rPr>
            </w:pPr>
            <w:r w:rsidRPr="00F4758C">
              <w:rPr>
                <w:b/>
                <w:bCs/>
                <w:lang w:val="en-GB" w:eastAsia="fr-FR"/>
              </w:rPr>
              <w:t>A joint leadership approach</w:t>
            </w:r>
            <w:r w:rsidRPr="00F4758C">
              <w:rPr>
                <w:lang w:val="en-GB" w:eastAsia="fr-FR"/>
              </w:rPr>
              <w:t xml:space="preserve">: the initiative is being led, alongside Julie Parra (Project Manager at the MSA), to ensure strategy development, regulatory compliance and training. </w:t>
            </w:r>
          </w:p>
          <w:p w14:paraId="39C24210" w14:textId="3813ECE8" w:rsidR="00EF07F7" w:rsidRPr="00F4758C" w:rsidRDefault="00EF07F7">
            <w:pPr>
              <w:pStyle w:val="Paragraphedeliste"/>
              <w:numPr>
                <w:ilvl w:val="0"/>
                <w:numId w:val="74"/>
              </w:numPr>
              <w:spacing w:before="240"/>
              <w:rPr>
                <w:lang w:val="en-GB" w:eastAsia="fr-FR"/>
              </w:rPr>
            </w:pPr>
            <w:r w:rsidRPr="00F4758C">
              <w:rPr>
                <w:lang w:val="en-GB" w:eastAsia="fr-FR"/>
              </w:rPr>
              <w:t xml:space="preserve">Scaling up across an application portfolio as extensive as iMSA’s relies on rigorous standardisation – particularly when updating the application portfolio – and </w:t>
            </w:r>
            <w:r w:rsidR="00517094" w:rsidRPr="00F4758C">
              <w:rPr>
                <w:lang w:val="en-GB" w:eastAsia="fr-FR"/>
              </w:rPr>
              <w:t xml:space="preserve">on </w:t>
            </w:r>
            <w:r w:rsidRPr="00F4758C">
              <w:rPr>
                <w:lang w:val="en-GB" w:eastAsia="fr-FR"/>
              </w:rPr>
              <w:t xml:space="preserve">gradual compliance based on: </w:t>
            </w:r>
          </w:p>
          <w:p w14:paraId="6C6D26FE" w14:textId="56AB4A2C" w:rsidR="00EF07F7" w:rsidRPr="00F4758C" w:rsidRDefault="00EF07F7">
            <w:pPr>
              <w:numPr>
                <w:ilvl w:val="0"/>
                <w:numId w:val="32"/>
              </w:numPr>
              <w:rPr>
                <w:lang w:val="en-GB" w:eastAsia="fr-FR"/>
              </w:rPr>
            </w:pPr>
            <w:r w:rsidRPr="00F4758C">
              <w:rPr>
                <w:b/>
                <w:bCs/>
                <w:lang w:val="en-GB" w:eastAsia="fr-FR"/>
              </w:rPr>
              <w:t xml:space="preserve">Two </w:t>
            </w:r>
            <w:r w:rsidRPr="001F2368">
              <w:rPr>
                <w:b/>
                <w:bCs/>
                <w:lang w:val="en-GB" w:eastAsia="fr-FR"/>
              </w:rPr>
              <w:t xml:space="preserve">Design </w:t>
            </w:r>
            <w:r w:rsidR="00517094" w:rsidRPr="001F2368">
              <w:rPr>
                <w:b/>
                <w:bCs/>
                <w:lang w:val="en-GB" w:eastAsia="fr-FR"/>
              </w:rPr>
              <w:t xml:space="preserve">Systems </w:t>
            </w:r>
            <w:r w:rsidRPr="00F4758C">
              <w:rPr>
                <w:b/>
                <w:bCs/>
                <w:lang w:val="en-GB" w:eastAsia="fr-FR"/>
              </w:rPr>
              <w:t>as a foundation for consistency and standardisation</w:t>
            </w:r>
          </w:p>
          <w:p w14:paraId="327DCD8B" w14:textId="3C97F4C1" w:rsidR="00EF07F7" w:rsidRPr="00F4758C" w:rsidRDefault="00EF07F7">
            <w:pPr>
              <w:numPr>
                <w:ilvl w:val="0"/>
                <w:numId w:val="33"/>
              </w:numPr>
              <w:ind w:left="1068"/>
              <w:rPr>
                <w:lang w:val="en-GB" w:eastAsia="fr-FR"/>
              </w:rPr>
            </w:pPr>
            <w:r w:rsidRPr="00F4758C">
              <w:rPr>
                <w:b/>
                <w:bCs/>
                <w:lang w:val="en-GB" w:eastAsia="fr-FR"/>
              </w:rPr>
              <w:t>MSA Design</w:t>
            </w:r>
            <w:r w:rsidR="00A17A21" w:rsidRPr="00F4758C">
              <w:rPr>
                <w:lang w:val="en-GB" w:eastAsia="fr-FR"/>
              </w:rPr>
              <w:t xml:space="preserve">, </w:t>
            </w:r>
            <w:r w:rsidRPr="00F4758C">
              <w:rPr>
                <w:lang w:val="en-GB" w:eastAsia="fr-FR"/>
              </w:rPr>
              <w:t xml:space="preserve">for the public/members’ scope (online services, </w:t>
            </w:r>
            <w:r w:rsidR="00517094" w:rsidRPr="00F4758C">
              <w:rPr>
                <w:lang w:val="en-GB" w:eastAsia="fr-FR"/>
              </w:rPr>
              <w:t>mobile</w:t>
            </w:r>
            <w:r w:rsidRPr="00F4758C">
              <w:rPr>
                <w:lang w:val="en-GB" w:eastAsia="fr-FR"/>
              </w:rPr>
              <w:t xml:space="preserve"> apps, white-label websites)</w:t>
            </w:r>
          </w:p>
          <w:p w14:paraId="1F431D4C" w14:textId="6BD95595" w:rsidR="00EF07F7" w:rsidRPr="00F4758C" w:rsidRDefault="00EF07F7">
            <w:pPr>
              <w:numPr>
                <w:ilvl w:val="0"/>
                <w:numId w:val="34"/>
              </w:numPr>
              <w:ind w:left="1068"/>
              <w:rPr>
                <w:lang w:val="en-GB" w:eastAsia="fr-FR"/>
              </w:rPr>
            </w:pPr>
            <w:r w:rsidRPr="00F4758C">
              <w:rPr>
                <w:b/>
                <w:bCs/>
                <w:lang w:val="en-GB" w:eastAsia="fr-FR"/>
              </w:rPr>
              <w:t>Orion</w:t>
            </w:r>
            <w:r w:rsidR="00A17A21" w:rsidRPr="00F4758C">
              <w:rPr>
                <w:lang w:val="en-GB" w:eastAsia="fr-FR"/>
              </w:rPr>
              <w:t xml:space="preserve">, </w:t>
            </w:r>
            <w:r w:rsidRPr="00F4758C">
              <w:rPr>
                <w:lang w:val="en-GB" w:eastAsia="fr-FR"/>
              </w:rPr>
              <w:t>for the internal MSA (16,000 staff) and iMSA (1,000 staff) domains.</w:t>
            </w:r>
          </w:p>
          <w:p w14:paraId="6CC7B13E" w14:textId="77777777" w:rsidR="00EF07F7" w:rsidRPr="00F4758C" w:rsidRDefault="00EF07F7" w:rsidP="000302F6">
            <w:pPr>
              <w:ind w:left="708"/>
              <w:rPr>
                <w:lang w:val="en-GB" w:eastAsia="fr-FR"/>
              </w:rPr>
            </w:pPr>
            <w:r w:rsidRPr="00F4758C">
              <w:rPr>
                <w:lang w:val="en-GB" w:eastAsia="fr-FR"/>
              </w:rPr>
              <w:t xml:space="preserve">These tools are essential for maintaining and updating the application portfolio. </w:t>
            </w:r>
          </w:p>
          <w:p w14:paraId="43E7800C" w14:textId="77777777" w:rsidR="00EF07F7" w:rsidRPr="00F4758C" w:rsidRDefault="00EF07F7">
            <w:pPr>
              <w:numPr>
                <w:ilvl w:val="0"/>
                <w:numId w:val="35"/>
              </w:numPr>
              <w:rPr>
                <w:lang w:val="en-GB" w:eastAsia="fr-FR"/>
              </w:rPr>
            </w:pPr>
            <w:r w:rsidRPr="00F4758C">
              <w:rPr>
                <w:b/>
                <w:bCs/>
                <w:lang w:val="en-GB" w:eastAsia="fr-FR"/>
              </w:rPr>
              <w:t>A pragmatic approach to compliance</w:t>
            </w:r>
            <w:r w:rsidRPr="00F4758C">
              <w:rPr>
                <w:lang w:val="en-GB" w:eastAsia="fr-FR"/>
              </w:rPr>
              <w:t xml:space="preserve">: management focuses on resolving critical and major issues, followed by validation through pre-audit cycles (once 80 per cent of development is complete, aimed at developers and focused on productivity), final audits and counter-audits by service providers. Project integration is carried out agilely and throughout the value chain (in </w:t>
            </w:r>
            <w:r w:rsidRPr="001F2368">
              <w:rPr>
                <w:lang w:val="en-GB" w:eastAsia="fr-FR"/>
              </w:rPr>
              <w:t>sprints</w:t>
            </w:r>
            <w:r w:rsidRPr="00F4758C">
              <w:rPr>
                <w:lang w:val="en-GB" w:eastAsia="fr-FR"/>
              </w:rPr>
              <w:t>), seeking to forge partnerships within the business teams.</w:t>
            </w:r>
          </w:p>
          <w:p w14:paraId="23283530" w14:textId="069E0E6C" w:rsidR="00EF07F7" w:rsidRPr="00F4758C" w:rsidRDefault="00EF07F7">
            <w:pPr>
              <w:pStyle w:val="Paragraphedeliste"/>
              <w:numPr>
                <w:ilvl w:val="0"/>
                <w:numId w:val="74"/>
              </w:numPr>
              <w:rPr>
                <w:lang w:val="en-GB" w:eastAsia="fr-FR"/>
              </w:rPr>
            </w:pPr>
            <w:r w:rsidRPr="00F4758C">
              <w:rPr>
                <w:lang w:val="en-GB" w:eastAsia="fr-FR"/>
              </w:rPr>
              <w:lastRenderedPageBreak/>
              <w:t xml:space="preserve">Recognising that accessibility requires specialist expertise, iMSA has implemented a strategy for managing and continuously improving skills to combat the </w:t>
            </w:r>
            <w:r w:rsidR="00BD1AC1">
              <w:rPr>
                <w:lang w:val="en-GB" w:eastAsia="fr-FR"/>
              </w:rPr>
              <w:t>“</w:t>
            </w:r>
            <w:r w:rsidRPr="00F4758C">
              <w:rPr>
                <w:lang w:val="en-GB" w:eastAsia="fr-FR"/>
              </w:rPr>
              <w:t>Dunning-Kruger</w:t>
            </w:r>
            <w:r w:rsidR="00A17A21" w:rsidRPr="00F4758C">
              <w:rPr>
                <w:lang w:val="en-GB" w:eastAsia="fr-FR"/>
              </w:rPr>
              <w:t xml:space="preserve"> effect</w:t>
            </w:r>
            <w:r w:rsidR="00BD1AC1">
              <w:rPr>
                <w:lang w:val="en-GB" w:eastAsia="fr-FR"/>
              </w:rPr>
              <w:t>”</w:t>
            </w:r>
            <w:r w:rsidR="00A17A21" w:rsidRPr="00F4758C">
              <w:rPr>
                <w:lang w:val="en-GB" w:eastAsia="fr-FR"/>
              </w:rPr>
              <w:t xml:space="preserve"> </w:t>
            </w:r>
            <w:r w:rsidRPr="00F4758C">
              <w:rPr>
                <w:lang w:val="en-GB" w:eastAsia="fr-FR"/>
              </w:rPr>
              <w:t>(i.e. the overestimation of one’s own abilities) and technical obsolescence, in addition to the individual monitoring carried out by accessibility leads:</w:t>
            </w:r>
          </w:p>
          <w:p w14:paraId="588D2A55" w14:textId="60778024" w:rsidR="00EF07F7" w:rsidRPr="00F4758C" w:rsidRDefault="00EF07F7">
            <w:pPr>
              <w:numPr>
                <w:ilvl w:val="0"/>
                <w:numId w:val="36"/>
              </w:numPr>
              <w:rPr>
                <w:lang w:val="en-GB" w:eastAsia="fr-FR"/>
              </w:rPr>
            </w:pPr>
            <w:r w:rsidRPr="00F4758C">
              <w:rPr>
                <w:b/>
                <w:bCs/>
                <w:lang w:val="en-GB" w:eastAsia="fr-FR"/>
              </w:rPr>
              <w:t xml:space="preserve">Promoting </w:t>
            </w:r>
            <w:r w:rsidRPr="001F2368">
              <w:rPr>
                <w:b/>
                <w:bCs/>
                <w:lang w:val="en-GB" w:eastAsia="fr-FR"/>
              </w:rPr>
              <w:t>front-end</w:t>
            </w:r>
            <w:r w:rsidRPr="00F4758C">
              <w:rPr>
                <w:b/>
                <w:bCs/>
                <w:lang w:val="en-GB" w:eastAsia="fr-FR"/>
              </w:rPr>
              <w:t xml:space="preserve"> expertise</w:t>
            </w:r>
            <w:r w:rsidRPr="00F4758C">
              <w:rPr>
                <w:lang w:val="en-GB" w:eastAsia="fr-FR"/>
              </w:rPr>
              <w:t xml:space="preserve">: challenging the myth of </w:t>
            </w:r>
            <w:r w:rsidRPr="00BD1AC1">
              <w:rPr>
                <w:lang w:val="en-GB" w:eastAsia="fr-FR"/>
              </w:rPr>
              <w:t>the</w:t>
            </w:r>
            <w:r w:rsidR="00BD1AC1" w:rsidRPr="00BD1AC1">
              <w:rPr>
                <w:lang w:val="en-GB" w:eastAsia="fr-FR"/>
              </w:rPr>
              <w:t xml:space="preserve"> </w:t>
            </w:r>
            <w:r w:rsidRPr="00BD1AC1">
              <w:rPr>
                <w:lang w:val="en-GB" w:eastAsia="fr-FR"/>
              </w:rPr>
              <w:t>full</w:t>
            </w:r>
            <w:r w:rsidR="00A17A21" w:rsidRPr="00BD1AC1">
              <w:rPr>
                <w:lang w:val="en-GB" w:eastAsia="fr-FR"/>
              </w:rPr>
              <w:t>-stack</w:t>
            </w:r>
            <w:r w:rsidR="00A17A21" w:rsidRPr="00F4758C">
              <w:rPr>
                <w:lang w:val="en-GB" w:eastAsia="fr-FR"/>
              </w:rPr>
              <w:t xml:space="preserve"> </w:t>
            </w:r>
            <w:r w:rsidRPr="00F4758C">
              <w:rPr>
                <w:lang w:val="en-GB" w:eastAsia="fr-FR"/>
              </w:rPr>
              <w:t xml:space="preserve">developer by reaffirming the need for specific skills (semantics, W3C standards) distinct from those required for </w:t>
            </w:r>
            <w:r w:rsidRPr="001F2368">
              <w:rPr>
                <w:lang w:val="en-GB" w:eastAsia="fr-FR"/>
              </w:rPr>
              <w:t>back-end development</w:t>
            </w:r>
            <w:r w:rsidRPr="00F4758C">
              <w:rPr>
                <w:lang w:val="en-GB" w:eastAsia="fr-FR"/>
              </w:rPr>
              <w:t>.</w:t>
            </w:r>
          </w:p>
          <w:p w14:paraId="3A9DEC0D" w14:textId="2D2700B6" w:rsidR="00EF07F7" w:rsidRPr="00F4758C" w:rsidRDefault="00EF07F7">
            <w:pPr>
              <w:numPr>
                <w:ilvl w:val="0"/>
                <w:numId w:val="36"/>
              </w:numPr>
              <w:rPr>
                <w:lang w:val="en-GB" w:eastAsia="fr-FR"/>
              </w:rPr>
            </w:pPr>
            <w:r w:rsidRPr="00F4758C">
              <w:rPr>
                <w:b/>
                <w:bCs/>
                <w:lang w:val="en-GB" w:eastAsia="fr-FR"/>
              </w:rPr>
              <w:t>A differentiated, long-term training programme</w:t>
            </w:r>
            <w:r w:rsidRPr="00F4758C">
              <w:rPr>
                <w:lang w:val="en-GB" w:eastAsia="fr-FR"/>
              </w:rPr>
              <w:t>: a segmented approach distinguishing between awareness-raising (general knowledge and fostering a mindset), operational training (for day-to-day internal or external activities), expert training (</w:t>
            </w:r>
            <w:r w:rsidR="00BD1AC1">
              <w:rPr>
                <w:lang w:val="en-GB" w:eastAsia="fr-FR"/>
              </w:rPr>
              <w:t>“</w:t>
            </w:r>
            <w:r w:rsidRPr="00F4758C">
              <w:rPr>
                <w:lang w:val="en-GB" w:eastAsia="fr-FR"/>
              </w:rPr>
              <w:t xml:space="preserve">training the </w:t>
            </w:r>
            <w:r w:rsidR="00A17A21" w:rsidRPr="00F4758C">
              <w:rPr>
                <w:lang w:val="en-GB" w:eastAsia="fr-FR"/>
              </w:rPr>
              <w:t>trainer</w:t>
            </w:r>
            <w:r w:rsidR="00BD1AC1">
              <w:rPr>
                <w:lang w:val="en-GB" w:eastAsia="fr-FR"/>
              </w:rPr>
              <w:t>”</w:t>
            </w:r>
            <w:r w:rsidRPr="00F4758C">
              <w:rPr>
                <w:lang w:val="en-GB" w:eastAsia="fr-FR"/>
              </w:rPr>
              <w:t>, for identified roles, to be maintained in the long term) and technical monitoring (constantly evolving topics) to ensure the long-term retention of knowledge within the organisation.</w:t>
            </w:r>
          </w:p>
          <w:p w14:paraId="57757B26" w14:textId="33FBC7B3" w:rsidR="00EF07F7" w:rsidRPr="00F4758C" w:rsidRDefault="00EF07F7">
            <w:pPr>
              <w:numPr>
                <w:ilvl w:val="0"/>
                <w:numId w:val="36"/>
              </w:numPr>
              <w:rPr>
                <w:lang w:val="en-GB" w:eastAsia="fr-FR"/>
              </w:rPr>
            </w:pPr>
            <w:r w:rsidRPr="00F4758C">
              <w:rPr>
                <w:b/>
                <w:bCs/>
                <w:lang w:val="en-GB" w:eastAsia="fr-FR"/>
              </w:rPr>
              <w:t>Operational support (</w:t>
            </w:r>
            <w:r w:rsidR="00BD1AC1">
              <w:rPr>
                <w:rFonts w:ascii="Arial" w:hAnsi="Arial" w:cs="Arial"/>
                <w:b/>
                <w:bCs/>
                <w:lang w:val="en-GB" w:eastAsia="fr-FR"/>
              </w:rPr>
              <w:t>“</w:t>
            </w:r>
            <w:r w:rsidRPr="00F4758C">
              <w:rPr>
                <w:b/>
                <w:bCs/>
                <w:lang w:val="en-GB" w:eastAsia="fr-FR"/>
              </w:rPr>
              <w:t>Accessibility Expert Helpline</w:t>
            </w:r>
            <w:r w:rsidR="00BD1AC1">
              <w:rPr>
                <w:b/>
                <w:bCs/>
                <w:lang w:val="en-GB" w:eastAsia="fr-FR"/>
              </w:rPr>
              <w:t>”</w:t>
            </w:r>
            <w:r w:rsidRPr="00F4758C">
              <w:rPr>
                <w:b/>
                <w:bCs/>
                <w:lang w:val="en-GB" w:eastAsia="fr-FR"/>
              </w:rPr>
              <w:t>)</w:t>
            </w:r>
            <w:r w:rsidRPr="00F4758C">
              <w:rPr>
                <w:lang w:val="en-GB" w:eastAsia="fr-FR"/>
              </w:rPr>
              <w:t>: provision of expert resources during development phases to respond to requests from project teams in real time</w:t>
            </w:r>
            <w:r w:rsidR="00F755EB" w:rsidRPr="00F4758C">
              <w:rPr>
                <w:lang w:val="en-GB" w:eastAsia="fr-FR"/>
              </w:rPr>
              <w:t>.”</w:t>
            </w:r>
          </w:p>
          <w:p w14:paraId="665F5BDF" w14:textId="77777777" w:rsidR="00646CD1" w:rsidRPr="00F4758C" w:rsidRDefault="00646CD1" w:rsidP="00646CD1">
            <w:pPr>
              <w:rPr>
                <w:lang w:val="en-GB" w:eastAsia="fr-FR"/>
              </w:rPr>
            </w:pPr>
          </w:p>
          <w:p w14:paraId="29E7407A" w14:textId="052FA222" w:rsidR="006E1221" w:rsidRPr="00F4758C" w:rsidRDefault="00EF07F7" w:rsidP="00EF07F7">
            <w:pPr>
              <w:jc w:val="right"/>
              <w:rPr>
                <w:lang w:val="en-GB" w:eastAsia="fr-FR"/>
              </w:rPr>
            </w:pPr>
            <w:r w:rsidRPr="00F4758C">
              <w:rPr>
                <w:b/>
                <w:bCs/>
                <w:lang w:val="en-GB" w:eastAsia="fr-FR"/>
              </w:rPr>
              <w:t xml:space="preserve">Benoît Klein, </w:t>
            </w:r>
            <w:r w:rsidRPr="00F4758C">
              <w:rPr>
                <w:lang w:val="en-GB" w:eastAsia="fr-FR"/>
              </w:rPr>
              <w:t xml:space="preserve">Digital Accessibility Lead at </w:t>
            </w:r>
            <w:r w:rsidRPr="00F4758C">
              <w:rPr>
                <w:b/>
                <w:bCs/>
                <w:lang w:val="en-GB" w:eastAsia="fr-FR"/>
              </w:rPr>
              <w:t>iMSA</w:t>
            </w:r>
            <w:r w:rsidR="006E1221" w:rsidRPr="00F4758C">
              <w:rPr>
                <w:lang w:val="en-GB" w:eastAsia="fr-FR"/>
              </w:rPr>
              <w:t xml:space="preserve"> </w:t>
            </w:r>
          </w:p>
        </w:tc>
      </w:tr>
    </w:tbl>
    <w:p w14:paraId="5443A824" w14:textId="3DBD262E" w:rsidR="00320F58" w:rsidRPr="00F4758C" w:rsidRDefault="00320F58" w:rsidP="002D2C27">
      <w:pPr>
        <w:pStyle w:val="Image"/>
        <w:spacing w:before="100" w:after="100"/>
        <w:jc w:val="left"/>
        <w:rPr>
          <w:sz w:val="22"/>
          <w:szCs w:val="22"/>
          <w:lang w:val="en-GB"/>
        </w:rPr>
      </w:pPr>
    </w:p>
    <w:p w14:paraId="15DEC0F4" w14:textId="51A7B306" w:rsidR="002D2C27" w:rsidRPr="00F234C7" w:rsidRDefault="002D2C27" w:rsidP="002D2C27">
      <w:pPr>
        <w:pStyle w:val="Titre3"/>
        <w:rPr>
          <w:lang w:val="fr-FR"/>
        </w:rPr>
      </w:pPr>
      <w:bookmarkStart w:id="72" w:name="_Toc230077027"/>
      <w:r w:rsidRPr="00F234C7">
        <w:rPr>
          <w:lang w:val="fr-FR"/>
        </w:rPr>
        <w:t>Monitoring KPIs and demonstrating ROI</w:t>
      </w:r>
      <w:bookmarkEnd w:id="72"/>
    </w:p>
    <w:p w14:paraId="1261B975" w14:textId="0B80BCBE" w:rsidR="002D2C27" w:rsidRPr="00F4758C" w:rsidRDefault="002D2C27" w:rsidP="002D2C27">
      <w:pPr>
        <w:rPr>
          <w:lang w:val="en-GB" w:eastAsia="fr-FR"/>
        </w:rPr>
      </w:pPr>
      <w:r w:rsidRPr="00F4758C">
        <w:rPr>
          <w:lang w:val="en-GB" w:eastAsia="fr-FR"/>
        </w:rPr>
        <w:t xml:space="preserve">Steering the evolution of practices through the definition of key performance indicators (KPIs) is essential to demonstrate the value of investments made in this area and to embed digital accessibility within a strategic and measurable approach. </w:t>
      </w:r>
    </w:p>
    <w:p w14:paraId="4A1474A7" w14:textId="77777777" w:rsidR="002D2C27" w:rsidRPr="00F4758C" w:rsidRDefault="002D2C27" w:rsidP="002D2C27">
      <w:pPr>
        <w:rPr>
          <w:lang w:val="en-GB" w:eastAsia="fr-FR"/>
        </w:rPr>
      </w:pPr>
      <w:r w:rsidRPr="00F4758C">
        <w:rPr>
          <w:lang w:val="en-GB" w:eastAsia="fr-FR"/>
        </w:rPr>
        <w:t>Including digital accessibility KPIs in dedicated dashboards will therefore enable:</w:t>
      </w:r>
    </w:p>
    <w:p w14:paraId="0DCBF886" w14:textId="77777777" w:rsidR="002D2C27" w:rsidRPr="00F4758C" w:rsidRDefault="002D2C27">
      <w:pPr>
        <w:pStyle w:val="Paragraphedeliste"/>
        <w:numPr>
          <w:ilvl w:val="0"/>
          <w:numId w:val="41"/>
        </w:numPr>
        <w:rPr>
          <w:lang w:val="en-GB" w:eastAsia="fr-FR"/>
        </w:rPr>
      </w:pPr>
      <w:r w:rsidRPr="00F4758C">
        <w:rPr>
          <w:lang w:val="en-GB" w:eastAsia="fr-FR"/>
        </w:rPr>
        <w:t>Monitor performance across the entire digital portfolio (rather than on a site-by-site basis);</w:t>
      </w:r>
    </w:p>
    <w:p w14:paraId="6509D597" w14:textId="77777777" w:rsidR="002D2C27" w:rsidRPr="00F4758C" w:rsidRDefault="002D2C27">
      <w:pPr>
        <w:pStyle w:val="Paragraphedeliste"/>
        <w:numPr>
          <w:ilvl w:val="0"/>
          <w:numId w:val="41"/>
        </w:numPr>
        <w:rPr>
          <w:lang w:val="en-GB" w:eastAsia="fr-FR"/>
        </w:rPr>
      </w:pPr>
      <w:r w:rsidRPr="00F4758C">
        <w:rPr>
          <w:lang w:val="en-GB" w:eastAsia="fr-FR"/>
        </w:rPr>
        <w:t xml:space="preserve">Measure the impact of the actions taken (training, redesign, integration of the </w:t>
      </w:r>
      <w:r w:rsidRPr="001F2368">
        <w:rPr>
          <w:lang w:val="en-GB" w:eastAsia="fr-FR"/>
        </w:rPr>
        <w:t>Design System</w:t>
      </w:r>
      <w:r w:rsidRPr="00F4758C">
        <w:rPr>
          <w:lang w:val="en-GB" w:eastAsia="fr-FR"/>
        </w:rPr>
        <w:t>);</w:t>
      </w:r>
    </w:p>
    <w:p w14:paraId="4553E270" w14:textId="2A651455" w:rsidR="002D2C27" w:rsidRPr="00F4758C" w:rsidRDefault="002D2C27">
      <w:pPr>
        <w:pStyle w:val="Paragraphedeliste"/>
        <w:numPr>
          <w:ilvl w:val="0"/>
          <w:numId w:val="41"/>
        </w:numPr>
        <w:rPr>
          <w:lang w:val="en-GB" w:eastAsia="fr-FR"/>
        </w:rPr>
      </w:pPr>
      <w:r w:rsidRPr="00F4758C">
        <w:rPr>
          <w:lang w:val="en-GB" w:eastAsia="fr-FR"/>
        </w:rPr>
        <w:t xml:space="preserve">Track progress </w:t>
      </w:r>
      <w:r w:rsidR="00B517DA" w:rsidRPr="00F4758C">
        <w:rPr>
          <w:lang w:val="en-GB" w:eastAsia="fr-FR"/>
        </w:rPr>
        <w:t xml:space="preserve">(compliance rates, number of people trained) </w:t>
      </w:r>
      <w:r w:rsidRPr="00F4758C">
        <w:rPr>
          <w:lang w:val="en-GB" w:eastAsia="fr-FR"/>
        </w:rPr>
        <w:t xml:space="preserve">and demonstrate ROI </w:t>
      </w:r>
      <w:r w:rsidR="00B517DA" w:rsidRPr="00F4758C">
        <w:rPr>
          <w:lang w:val="en-GB" w:eastAsia="fr-FR"/>
        </w:rPr>
        <w:t>(reduction in support tickets, reduction in costs associated with late fixes, improvement in completion rates, etc.</w:t>
      </w:r>
      <w:r w:rsidRPr="00F4758C">
        <w:rPr>
          <w:lang w:val="en-GB" w:eastAsia="fr-FR"/>
        </w:rPr>
        <w:t>);</w:t>
      </w:r>
    </w:p>
    <w:p w14:paraId="3E22C1B2" w14:textId="179D4D3B" w:rsidR="002D2C27" w:rsidRPr="00F4758C" w:rsidRDefault="002D2C27">
      <w:pPr>
        <w:pStyle w:val="Paragraphedeliste"/>
        <w:numPr>
          <w:ilvl w:val="0"/>
          <w:numId w:val="41"/>
        </w:numPr>
        <w:rPr>
          <w:lang w:val="en-GB" w:eastAsia="fr-FR"/>
        </w:rPr>
      </w:pPr>
      <w:r w:rsidRPr="00F4758C">
        <w:rPr>
          <w:lang w:val="en-GB" w:eastAsia="fr-FR"/>
        </w:rPr>
        <w:t xml:space="preserve">Report to governance bodies (CIO, Senior Management, CSR). </w:t>
      </w:r>
    </w:p>
    <w:p w14:paraId="4BF40B5B" w14:textId="0069CA28" w:rsidR="002D2C27" w:rsidRPr="00F4758C" w:rsidRDefault="002D2C27" w:rsidP="002D2C27">
      <w:pPr>
        <w:rPr>
          <w:lang w:val="en-GB" w:eastAsia="fr-FR"/>
        </w:rPr>
      </w:pPr>
      <w:r w:rsidRPr="00F4758C">
        <w:rPr>
          <w:lang w:val="en-GB" w:eastAsia="fr-FR"/>
        </w:rPr>
        <w:t xml:space="preserve">Here is an example of how KPIs have been categorised, based on feedback from working group participants, into four main categories: </w:t>
      </w:r>
      <w:r w:rsidRPr="00F4758C">
        <w:rPr>
          <w:b/>
          <w:bCs/>
          <w:lang w:val="en-GB" w:eastAsia="fr-FR"/>
        </w:rPr>
        <w:t>compliance KPIs</w:t>
      </w:r>
      <w:r w:rsidRPr="00F4758C">
        <w:rPr>
          <w:lang w:val="en-GB" w:eastAsia="fr-FR"/>
        </w:rPr>
        <w:t xml:space="preserve">, </w:t>
      </w:r>
      <w:r w:rsidRPr="00F4758C">
        <w:rPr>
          <w:b/>
          <w:bCs/>
          <w:lang w:val="en-GB" w:eastAsia="fr-FR"/>
        </w:rPr>
        <w:t>governance KPIs</w:t>
      </w:r>
      <w:r w:rsidRPr="00F4758C">
        <w:rPr>
          <w:lang w:val="en-GB" w:eastAsia="fr-FR"/>
        </w:rPr>
        <w:t xml:space="preserve">, </w:t>
      </w:r>
      <w:r w:rsidRPr="00F4758C">
        <w:rPr>
          <w:b/>
          <w:bCs/>
          <w:lang w:val="en-GB" w:eastAsia="fr-FR"/>
        </w:rPr>
        <w:t xml:space="preserve">operational KPIs </w:t>
      </w:r>
      <w:r w:rsidRPr="00F4758C">
        <w:rPr>
          <w:lang w:val="en-GB" w:eastAsia="fr-FR"/>
        </w:rPr>
        <w:t xml:space="preserve">and, finally, </w:t>
      </w:r>
      <w:r w:rsidRPr="00F4758C">
        <w:rPr>
          <w:b/>
          <w:bCs/>
          <w:lang w:val="en-GB" w:eastAsia="fr-FR"/>
        </w:rPr>
        <w:t xml:space="preserve">KPIs relating to training </w:t>
      </w:r>
      <w:r w:rsidR="00F234C7" w:rsidRPr="00F4758C">
        <w:rPr>
          <w:b/>
          <w:bCs/>
          <w:lang w:val="en-GB" w:eastAsia="fr-FR"/>
        </w:rPr>
        <w:t xml:space="preserve">and </w:t>
      </w:r>
      <w:r w:rsidRPr="00F4758C">
        <w:rPr>
          <w:b/>
          <w:bCs/>
          <w:lang w:val="en-GB" w:eastAsia="fr-FR"/>
        </w:rPr>
        <w:t>cultural adoption</w:t>
      </w:r>
      <w:r w:rsidRPr="00F4758C">
        <w:rPr>
          <w:lang w:val="en-GB" w:eastAsia="fr-FR"/>
        </w:rPr>
        <w:t>.</w:t>
      </w:r>
    </w:p>
    <w:p w14:paraId="20A409C1" w14:textId="77777777" w:rsidR="00D702F6" w:rsidRPr="00F4758C" w:rsidRDefault="00D702F6" w:rsidP="002D2C27">
      <w:pPr>
        <w:rPr>
          <w:lang w:val="en-GB" w:eastAsia="fr-FR"/>
        </w:rPr>
      </w:pPr>
    </w:p>
    <w:tbl>
      <w:tblPr>
        <w:tblW w:w="0" w:type="auto"/>
        <w:tblCellMar>
          <w:top w:w="15" w:type="dxa"/>
          <w:left w:w="15" w:type="dxa"/>
          <w:bottom w:w="15" w:type="dxa"/>
          <w:right w:w="15" w:type="dxa"/>
        </w:tblCellMar>
        <w:tblLook w:val="04A0" w:firstRow="1" w:lastRow="0" w:firstColumn="1" w:lastColumn="0" w:noHBand="0" w:noVBand="1"/>
      </w:tblPr>
      <w:tblGrid>
        <w:gridCol w:w="1784"/>
        <w:gridCol w:w="4474"/>
        <w:gridCol w:w="2796"/>
      </w:tblGrid>
      <w:tr w:rsidR="00D702F6" w:rsidRPr="00D702F6" w14:paraId="7E4134CB" w14:textId="77777777" w:rsidTr="000857C3">
        <w:trPr>
          <w:trHeight w:val="690"/>
        </w:trPr>
        <w:tc>
          <w:tcPr>
            <w:tcW w:w="0" w:type="auto"/>
            <w:gridSpan w:val="3"/>
            <w:tcBorders>
              <w:top w:val="single" w:sz="6" w:space="0" w:color="CCCCCC"/>
              <w:left w:val="single" w:sz="6" w:space="0" w:color="CCCCCC"/>
              <w:bottom w:val="single" w:sz="6" w:space="0" w:color="CCCCCC"/>
              <w:right w:val="single" w:sz="6" w:space="0" w:color="CCCCCC"/>
            </w:tcBorders>
            <w:shd w:val="clear" w:color="auto" w:fill="155E48"/>
            <w:vAlign w:val="center"/>
            <w:hideMark/>
          </w:tcPr>
          <w:p w14:paraId="09618BEA" w14:textId="4104B03C" w:rsidR="00D702F6" w:rsidRPr="00D702F6" w:rsidRDefault="00517094" w:rsidP="00400FA2">
            <w:pPr>
              <w:jc w:val="center"/>
              <w:rPr>
                <w:b/>
                <w:bCs/>
                <w:color w:val="FFFFFF" w:themeColor="background1"/>
                <w:lang w:eastAsia="fr-FR"/>
              </w:rPr>
            </w:pPr>
            <w:r>
              <w:rPr>
                <w:b/>
                <w:bCs/>
                <w:color w:val="FFFFFF" w:themeColor="background1"/>
                <w:sz w:val="24"/>
                <w:szCs w:val="24"/>
                <w:lang w:eastAsia="fr-FR"/>
              </w:rPr>
              <w:lastRenderedPageBreak/>
              <w:t xml:space="preserve">1 – </w:t>
            </w:r>
            <w:r w:rsidR="00D702F6" w:rsidRPr="00D702F6">
              <w:rPr>
                <w:b/>
                <w:bCs/>
                <w:color w:val="FFFFFF" w:themeColor="background1"/>
                <w:sz w:val="24"/>
                <w:szCs w:val="24"/>
                <w:lang w:eastAsia="fr-FR"/>
              </w:rPr>
              <w:t xml:space="preserve">Compliance </w:t>
            </w:r>
            <w:r>
              <w:rPr>
                <w:b/>
                <w:bCs/>
                <w:color w:val="FFFFFF" w:themeColor="background1"/>
                <w:sz w:val="24"/>
                <w:szCs w:val="24"/>
                <w:lang w:eastAsia="fr-FR"/>
              </w:rPr>
              <w:t>KPIs</w:t>
            </w:r>
          </w:p>
        </w:tc>
      </w:tr>
      <w:tr w:rsidR="00D702F6" w:rsidRPr="00D702F6" w14:paraId="0CAB3A8B" w14:textId="77777777" w:rsidTr="000857C3">
        <w:trPr>
          <w:trHeight w:val="660"/>
        </w:trPr>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26935712"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Indicator (KPI)</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7D8002CF"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Measure</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32F8C506"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Strategic Objective</w:t>
            </w:r>
          </w:p>
        </w:tc>
      </w:tr>
      <w:tr w:rsidR="00D702F6" w:rsidRPr="004B4BDE" w14:paraId="3C6E1415" w14:textId="77777777" w:rsidTr="000857C3">
        <w:trPr>
          <w:trHeight w:val="1257"/>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1FF1A54A" w14:textId="77777777" w:rsidR="00D702F6" w:rsidRPr="00D702F6" w:rsidRDefault="00D702F6" w:rsidP="00E76792">
            <w:pPr>
              <w:ind w:left="168" w:right="106"/>
              <w:jc w:val="left"/>
              <w:rPr>
                <w:lang w:eastAsia="fr-FR"/>
              </w:rPr>
            </w:pPr>
            <w:r w:rsidRPr="00D702F6">
              <w:rPr>
                <w:lang w:eastAsia="fr-FR"/>
              </w:rPr>
              <w:t>Total number of blockages</w:t>
            </w:r>
          </w:p>
        </w:tc>
        <w:tc>
          <w:tcPr>
            <w:tcW w:w="0" w:type="auto"/>
            <w:tcBorders>
              <w:top w:val="single" w:sz="6" w:space="0" w:color="CCCCCC"/>
              <w:left w:val="single" w:sz="6" w:space="0" w:color="CCCCCC"/>
              <w:bottom w:val="single" w:sz="6" w:space="0" w:color="CCCCCC"/>
              <w:right w:val="single" w:sz="6" w:space="0" w:color="CCCCCC"/>
            </w:tcBorders>
            <w:hideMark/>
          </w:tcPr>
          <w:p w14:paraId="145EC39B" w14:textId="588935A0" w:rsidR="00D702F6" w:rsidRPr="00F4758C" w:rsidRDefault="00D702F6" w:rsidP="00E76792">
            <w:pPr>
              <w:ind w:left="168" w:right="106"/>
              <w:jc w:val="left"/>
              <w:rPr>
                <w:lang w:val="en-GB" w:eastAsia="fr-FR"/>
              </w:rPr>
            </w:pPr>
            <w:r w:rsidRPr="00F4758C">
              <w:rPr>
                <w:lang w:val="en-GB" w:eastAsia="fr-FR"/>
              </w:rPr>
              <w:t xml:space="preserve">Counting instances of non-compliance, by application, </w:t>
            </w:r>
            <w:r w:rsidR="00981EEC" w:rsidRPr="00F4758C">
              <w:rPr>
                <w:lang w:val="en-GB" w:eastAsia="fr-FR"/>
              </w:rPr>
              <w:t xml:space="preserve">by </w:t>
            </w:r>
            <w:r w:rsidRPr="00F4758C">
              <w:rPr>
                <w:lang w:val="en-GB" w:eastAsia="fr-FR"/>
              </w:rPr>
              <w:t xml:space="preserve">service and </w:t>
            </w:r>
            <w:r w:rsidR="00981EEC" w:rsidRPr="00F4758C">
              <w:rPr>
                <w:lang w:val="en-GB" w:eastAsia="fr-FR"/>
              </w:rPr>
              <w:t xml:space="preserve">by </w:t>
            </w:r>
            <w:r w:rsidRPr="00F4758C">
              <w:rPr>
                <w:lang w:val="en-GB" w:eastAsia="fr-FR"/>
              </w:rPr>
              <w:t>site.</w:t>
            </w:r>
          </w:p>
        </w:tc>
        <w:tc>
          <w:tcPr>
            <w:tcW w:w="0" w:type="auto"/>
            <w:tcBorders>
              <w:top w:val="single" w:sz="6" w:space="0" w:color="CCCCCC"/>
              <w:left w:val="single" w:sz="6" w:space="0" w:color="CCCCCC"/>
              <w:bottom w:val="single" w:sz="6" w:space="0" w:color="CCCCCC"/>
              <w:right w:val="single" w:sz="6" w:space="0" w:color="CCCCCC"/>
            </w:tcBorders>
            <w:hideMark/>
          </w:tcPr>
          <w:p w14:paraId="1282BBDF" w14:textId="77777777" w:rsidR="00D702F6" w:rsidRPr="00F4758C" w:rsidRDefault="00D702F6" w:rsidP="00E76792">
            <w:pPr>
              <w:ind w:left="168" w:right="106"/>
              <w:jc w:val="left"/>
              <w:rPr>
                <w:lang w:val="en-GB" w:eastAsia="fr-FR"/>
              </w:rPr>
            </w:pPr>
            <w:r w:rsidRPr="00F4758C">
              <w:rPr>
                <w:lang w:val="en-GB" w:eastAsia="fr-FR"/>
              </w:rPr>
              <w:t>Identify the faults that prevent users from accessing services.</w:t>
            </w:r>
          </w:p>
        </w:tc>
      </w:tr>
      <w:tr w:rsidR="00D702F6" w:rsidRPr="004B4BDE" w14:paraId="2B04A539" w14:textId="77777777" w:rsidTr="000857C3">
        <w:trPr>
          <w:trHeight w:val="1242"/>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66053AB3" w14:textId="77777777" w:rsidR="00D702F6" w:rsidRPr="00D702F6" w:rsidRDefault="00D702F6" w:rsidP="00E76792">
            <w:pPr>
              <w:ind w:left="168" w:right="106"/>
              <w:jc w:val="left"/>
              <w:rPr>
                <w:lang w:eastAsia="fr-FR"/>
              </w:rPr>
            </w:pPr>
            <w:r w:rsidRPr="00D702F6">
              <w:rPr>
                <w:lang w:eastAsia="fr-FR"/>
              </w:rPr>
              <w:t>Overall compliance rate</w:t>
            </w:r>
          </w:p>
        </w:tc>
        <w:tc>
          <w:tcPr>
            <w:tcW w:w="0" w:type="auto"/>
            <w:tcBorders>
              <w:top w:val="single" w:sz="6" w:space="0" w:color="CCCCCC"/>
              <w:left w:val="single" w:sz="6" w:space="0" w:color="CCCCCC"/>
              <w:bottom w:val="single" w:sz="6" w:space="0" w:color="CCCCCC"/>
              <w:right w:val="single" w:sz="6" w:space="0" w:color="CCCCCC"/>
            </w:tcBorders>
            <w:hideMark/>
          </w:tcPr>
          <w:p w14:paraId="71A9D365" w14:textId="7F1FC103" w:rsidR="00D702F6" w:rsidRPr="00F4758C" w:rsidRDefault="00D702F6" w:rsidP="00E76792">
            <w:pPr>
              <w:ind w:left="168" w:right="106"/>
              <w:jc w:val="left"/>
              <w:rPr>
                <w:lang w:val="en-GB" w:eastAsia="fr-FR"/>
              </w:rPr>
            </w:pPr>
            <w:r w:rsidRPr="00F4758C">
              <w:rPr>
                <w:lang w:val="en-GB" w:eastAsia="fr-FR"/>
              </w:rPr>
              <w:t>Average percentage of RGAA criteria met across the entire system (</w:t>
            </w:r>
            <w:r w:rsidR="00981EEC" w:rsidRPr="00F4758C">
              <w:rPr>
                <w:lang w:val="en-GB" w:eastAsia="fr-FR"/>
              </w:rPr>
              <w:t xml:space="preserve">at </w:t>
            </w:r>
            <w:r w:rsidRPr="00F4758C">
              <w:rPr>
                <w:lang w:val="en-GB" w:eastAsia="fr-FR"/>
              </w:rPr>
              <w:t>group level and by subsidiary).</w:t>
            </w:r>
          </w:p>
        </w:tc>
        <w:tc>
          <w:tcPr>
            <w:tcW w:w="0" w:type="auto"/>
            <w:tcBorders>
              <w:top w:val="single" w:sz="6" w:space="0" w:color="CCCCCC"/>
              <w:left w:val="single" w:sz="6" w:space="0" w:color="CCCCCC"/>
              <w:bottom w:val="single" w:sz="6" w:space="0" w:color="CCCCCC"/>
              <w:right w:val="single" w:sz="6" w:space="0" w:color="CCCCCC"/>
            </w:tcBorders>
            <w:hideMark/>
          </w:tcPr>
          <w:p w14:paraId="1B1FB8E3" w14:textId="183CE069" w:rsidR="00D702F6" w:rsidRPr="00F4758C" w:rsidRDefault="00D702F6" w:rsidP="00E76792">
            <w:pPr>
              <w:ind w:left="168" w:right="106"/>
              <w:jc w:val="left"/>
              <w:rPr>
                <w:lang w:val="en-GB" w:eastAsia="fr-FR"/>
              </w:rPr>
            </w:pPr>
            <w:r w:rsidRPr="00F4758C">
              <w:rPr>
                <w:lang w:val="en-GB" w:eastAsia="fr-FR"/>
              </w:rPr>
              <w:t xml:space="preserve">Provide a summary and aggregated view of regulatory performance to </w:t>
            </w:r>
            <w:r w:rsidR="00517094" w:rsidRPr="00F4758C">
              <w:rPr>
                <w:lang w:val="en-GB" w:eastAsia="fr-FR"/>
              </w:rPr>
              <w:t xml:space="preserve">decision-making </w:t>
            </w:r>
            <w:r w:rsidRPr="00F4758C">
              <w:rPr>
                <w:lang w:val="en-GB" w:eastAsia="fr-FR"/>
              </w:rPr>
              <w:t>and monitoring bodies.</w:t>
            </w:r>
          </w:p>
        </w:tc>
      </w:tr>
      <w:tr w:rsidR="00D702F6" w:rsidRPr="004B4BDE" w14:paraId="7E09961D" w14:textId="77777777" w:rsidTr="000857C3">
        <w:trPr>
          <w:trHeight w:val="2771"/>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6C433D7E" w14:textId="77777777" w:rsidR="00D702F6" w:rsidRPr="00D702F6" w:rsidRDefault="00D702F6" w:rsidP="00E76792">
            <w:pPr>
              <w:ind w:left="168" w:right="106"/>
              <w:jc w:val="left"/>
              <w:rPr>
                <w:lang w:eastAsia="fr-FR"/>
              </w:rPr>
            </w:pPr>
            <w:r w:rsidRPr="00D702F6">
              <w:rPr>
                <w:lang w:eastAsia="fr-FR"/>
              </w:rPr>
              <w:t>Critical non-compliance ratio</w:t>
            </w:r>
          </w:p>
        </w:tc>
        <w:tc>
          <w:tcPr>
            <w:tcW w:w="0" w:type="auto"/>
            <w:tcBorders>
              <w:top w:val="single" w:sz="6" w:space="0" w:color="CCCCCC"/>
              <w:left w:val="single" w:sz="6" w:space="0" w:color="CCCCCC"/>
              <w:bottom w:val="single" w:sz="6" w:space="0" w:color="CCCCCC"/>
              <w:right w:val="single" w:sz="6" w:space="0" w:color="CCCCCC"/>
            </w:tcBorders>
            <w:hideMark/>
          </w:tcPr>
          <w:p w14:paraId="6A9AF70B" w14:textId="37203912" w:rsidR="00D702F6" w:rsidRPr="00F4758C" w:rsidRDefault="00D702F6" w:rsidP="00E76792">
            <w:pPr>
              <w:ind w:left="168" w:right="106"/>
              <w:jc w:val="left"/>
              <w:rPr>
                <w:lang w:val="en-GB" w:eastAsia="fr-FR"/>
              </w:rPr>
            </w:pPr>
            <w:r w:rsidRPr="00F4758C">
              <w:rPr>
                <w:lang w:val="en-GB" w:eastAsia="fr-FR"/>
              </w:rPr>
              <w:t xml:space="preserve">Proportion of critical non-compliance cases </w:t>
            </w:r>
            <w:r w:rsidR="00517094" w:rsidRPr="00F4758C">
              <w:rPr>
                <w:lang w:val="en-GB" w:eastAsia="fr-FR"/>
              </w:rPr>
              <w:t xml:space="preserve">relative </w:t>
            </w:r>
            <w:r w:rsidRPr="00F4758C">
              <w:rPr>
                <w:lang w:val="en-GB" w:eastAsia="fr-FR"/>
              </w:rPr>
              <w:t>to the total number of non-compliance cases. Criticality is determined based on the number of users, the significance of the activities involved and the number of corrective actions required.</w:t>
            </w:r>
          </w:p>
        </w:tc>
        <w:tc>
          <w:tcPr>
            <w:tcW w:w="0" w:type="auto"/>
            <w:tcBorders>
              <w:top w:val="single" w:sz="6" w:space="0" w:color="CCCCCC"/>
              <w:left w:val="single" w:sz="6" w:space="0" w:color="CCCCCC"/>
              <w:bottom w:val="single" w:sz="6" w:space="0" w:color="CCCCCC"/>
              <w:right w:val="single" w:sz="6" w:space="0" w:color="CCCCCC"/>
            </w:tcBorders>
            <w:hideMark/>
          </w:tcPr>
          <w:p w14:paraId="56044CF7" w14:textId="77777777" w:rsidR="00D702F6" w:rsidRPr="00F4758C" w:rsidRDefault="00D702F6" w:rsidP="00E76792">
            <w:pPr>
              <w:ind w:left="168" w:right="106"/>
              <w:jc w:val="left"/>
              <w:rPr>
                <w:lang w:val="en-GB" w:eastAsia="fr-FR"/>
              </w:rPr>
            </w:pPr>
            <w:r w:rsidRPr="00F4758C">
              <w:rPr>
                <w:lang w:val="en-GB" w:eastAsia="fr-FR"/>
              </w:rPr>
              <w:t>Weigh up non-compliance to prioritise actions to be taken on the most critical services.</w:t>
            </w:r>
          </w:p>
        </w:tc>
      </w:tr>
      <w:tr w:rsidR="00D702F6" w:rsidRPr="004B4BDE" w14:paraId="4CE13E85" w14:textId="77777777" w:rsidTr="000857C3">
        <w:trPr>
          <w:trHeight w:val="1268"/>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50D0D670" w14:textId="77777777" w:rsidR="00D702F6" w:rsidRPr="00F4758C" w:rsidRDefault="00D702F6" w:rsidP="00E76792">
            <w:pPr>
              <w:ind w:left="168" w:right="106"/>
              <w:jc w:val="left"/>
              <w:rPr>
                <w:lang w:val="en-GB" w:eastAsia="fr-FR"/>
              </w:rPr>
            </w:pPr>
            <w:r w:rsidRPr="00F4758C">
              <w:rPr>
                <w:lang w:val="en-GB" w:eastAsia="fr-FR"/>
              </w:rPr>
              <w:t>Publication rate of accessibility statements</w:t>
            </w:r>
          </w:p>
        </w:tc>
        <w:tc>
          <w:tcPr>
            <w:tcW w:w="0" w:type="auto"/>
            <w:tcBorders>
              <w:top w:val="single" w:sz="6" w:space="0" w:color="CCCCCC"/>
              <w:left w:val="single" w:sz="6" w:space="0" w:color="CCCCCC"/>
              <w:bottom w:val="single" w:sz="6" w:space="0" w:color="CCCCCC"/>
              <w:right w:val="single" w:sz="6" w:space="0" w:color="CCCCCC"/>
            </w:tcBorders>
            <w:hideMark/>
          </w:tcPr>
          <w:p w14:paraId="76BF62EC" w14:textId="77777777" w:rsidR="00D702F6" w:rsidRPr="00F4758C" w:rsidRDefault="00D702F6" w:rsidP="00E76792">
            <w:pPr>
              <w:ind w:left="168" w:right="106"/>
              <w:jc w:val="left"/>
              <w:rPr>
                <w:lang w:val="en-GB" w:eastAsia="fr-FR"/>
              </w:rPr>
            </w:pPr>
            <w:r w:rsidRPr="00F4758C">
              <w:rPr>
                <w:lang w:val="en-GB" w:eastAsia="fr-FR"/>
              </w:rPr>
              <w:t>Percentage of digital services with a valid and up-to-date accessibility statement.</w:t>
            </w:r>
          </w:p>
        </w:tc>
        <w:tc>
          <w:tcPr>
            <w:tcW w:w="0" w:type="auto"/>
            <w:tcBorders>
              <w:top w:val="single" w:sz="6" w:space="0" w:color="CCCCCC"/>
              <w:left w:val="single" w:sz="6" w:space="0" w:color="CCCCCC"/>
              <w:bottom w:val="single" w:sz="6" w:space="0" w:color="CCCCCC"/>
              <w:right w:val="single" w:sz="6" w:space="0" w:color="CCCCCC"/>
            </w:tcBorders>
            <w:hideMark/>
          </w:tcPr>
          <w:p w14:paraId="2742E894" w14:textId="77777777" w:rsidR="00D702F6" w:rsidRPr="00F4758C" w:rsidRDefault="00D702F6" w:rsidP="00E76792">
            <w:pPr>
              <w:ind w:left="168" w:right="106"/>
              <w:jc w:val="left"/>
              <w:rPr>
                <w:lang w:val="en-GB" w:eastAsia="fr-FR"/>
              </w:rPr>
            </w:pPr>
            <w:r w:rsidRPr="00F4758C">
              <w:rPr>
                <w:lang w:val="en-GB" w:eastAsia="fr-FR"/>
              </w:rPr>
              <w:t>Ensure transparency and compliance with legal publication obligations.</w:t>
            </w:r>
          </w:p>
        </w:tc>
      </w:tr>
    </w:tbl>
    <w:p w14:paraId="246D450F" w14:textId="77777777" w:rsidR="00E76792" w:rsidRPr="00F4758C" w:rsidRDefault="00E76792" w:rsidP="00E76792">
      <w:pPr>
        <w:shd w:val="clear" w:color="auto" w:fill="FFFFFF" w:themeFill="background1"/>
        <w:rPr>
          <w:lang w:val="en-GB"/>
        </w:rPr>
      </w:pPr>
      <w:r w:rsidRPr="00F4758C">
        <w:rPr>
          <w:lang w:val="en-GB"/>
        </w:rPr>
        <w:br w:type="page"/>
      </w:r>
    </w:p>
    <w:tbl>
      <w:tblPr>
        <w:tblW w:w="0" w:type="auto"/>
        <w:tblCellMar>
          <w:top w:w="15" w:type="dxa"/>
          <w:left w:w="15" w:type="dxa"/>
          <w:bottom w:w="15" w:type="dxa"/>
          <w:right w:w="15" w:type="dxa"/>
        </w:tblCellMar>
        <w:tblLook w:val="04A0" w:firstRow="1" w:lastRow="0" w:firstColumn="1" w:lastColumn="0" w:noHBand="0" w:noVBand="1"/>
      </w:tblPr>
      <w:tblGrid>
        <w:gridCol w:w="2035"/>
        <w:gridCol w:w="4023"/>
        <w:gridCol w:w="2996"/>
      </w:tblGrid>
      <w:tr w:rsidR="00D702F6" w:rsidRPr="004B4BDE" w14:paraId="6CF0B8FA" w14:textId="77777777">
        <w:trPr>
          <w:trHeight w:val="489"/>
        </w:trPr>
        <w:tc>
          <w:tcPr>
            <w:tcW w:w="0" w:type="auto"/>
            <w:tcBorders>
              <w:top w:val="single" w:sz="6" w:space="0" w:color="CCCCCC"/>
              <w:left w:val="single" w:sz="6" w:space="0" w:color="FFFFFF"/>
              <w:bottom w:val="single" w:sz="6" w:space="0" w:color="CCCCCC"/>
              <w:right w:val="single" w:sz="6" w:space="0" w:color="FFFFFF"/>
            </w:tcBorders>
            <w:shd w:val="clear" w:color="auto" w:fill="FFFFFF"/>
            <w:hideMark/>
          </w:tcPr>
          <w:p w14:paraId="78285C77" w14:textId="72D304D5" w:rsidR="00D702F6" w:rsidRPr="00F4758C" w:rsidRDefault="00D702F6" w:rsidP="00E76792">
            <w:pPr>
              <w:shd w:val="clear" w:color="auto" w:fill="FFFFFF" w:themeFill="background1"/>
              <w:rPr>
                <w:lang w:val="en-GB" w:eastAsia="fr-FR"/>
              </w:rPr>
            </w:pPr>
          </w:p>
        </w:tc>
        <w:tc>
          <w:tcPr>
            <w:tcW w:w="0" w:type="auto"/>
            <w:tcBorders>
              <w:top w:val="single" w:sz="6" w:space="0" w:color="CCCCCC"/>
              <w:left w:val="single" w:sz="6" w:space="0" w:color="FFFFFF"/>
              <w:bottom w:val="single" w:sz="6" w:space="0" w:color="CCCCCC"/>
              <w:right w:val="single" w:sz="6" w:space="0" w:color="FFFFFF"/>
            </w:tcBorders>
            <w:shd w:val="clear" w:color="auto" w:fill="FFFFFF"/>
            <w:hideMark/>
          </w:tcPr>
          <w:p w14:paraId="5E790D0A" w14:textId="77777777" w:rsidR="00D702F6" w:rsidRPr="00F4758C" w:rsidRDefault="00D702F6" w:rsidP="00E76792">
            <w:pPr>
              <w:shd w:val="clear" w:color="auto" w:fill="FFFFFF" w:themeFill="background1"/>
              <w:rPr>
                <w:lang w:val="en-GB" w:eastAsia="fr-FR"/>
              </w:rPr>
            </w:pPr>
          </w:p>
          <w:p w14:paraId="3F702D81" w14:textId="494059E2" w:rsidR="00E76792" w:rsidRPr="00F4758C" w:rsidRDefault="00E76792" w:rsidP="00E76792">
            <w:pPr>
              <w:shd w:val="clear" w:color="auto" w:fill="FFFFFF" w:themeFill="background1"/>
              <w:rPr>
                <w:lang w:val="en-GB" w:eastAsia="fr-FR"/>
              </w:rPr>
            </w:pPr>
          </w:p>
        </w:tc>
        <w:tc>
          <w:tcPr>
            <w:tcW w:w="0" w:type="auto"/>
            <w:tcBorders>
              <w:top w:val="single" w:sz="6" w:space="0" w:color="CCCCCC"/>
              <w:left w:val="single" w:sz="6" w:space="0" w:color="FFFFFF"/>
              <w:bottom w:val="single" w:sz="6" w:space="0" w:color="CCCCCC"/>
              <w:right w:val="single" w:sz="6" w:space="0" w:color="FFFFFF"/>
            </w:tcBorders>
            <w:shd w:val="clear" w:color="auto" w:fill="FFFFFF"/>
            <w:hideMark/>
          </w:tcPr>
          <w:p w14:paraId="4D8E7379" w14:textId="77777777" w:rsidR="00D702F6" w:rsidRPr="00F4758C" w:rsidRDefault="00D702F6" w:rsidP="00E76792">
            <w:pPr>
              <w:shd w:val="clear" w:color="auto" w:fill="FFFFFF" w:themeFill="background1"/>
              <w:rPr>
                <w:lang w:val="en-GB" w:eastAsia="fr-FR"/>
              </w:rPr>
            </w:pPr>
          </w:p>
        </w:tc>
      </w:tr>
      <w:tr w:rsidR="00D702F6" w:rsidRPr="00D702F6" w14:paraId="02D9EB73" w14:textId="77777777" w:rsidTr="00400FA2">
        <w:trPr>
          <w:trHeight w:val="675"/>
        </w:trPr>
        <w:tc>
          <w:tcPr>
            <w:tcW w:w="0" w:type="auto"/>
            <w:gridSpan w:val="3"/>
            <w:tcBorders>
              <w:top w:val="single" w:sz="6" w:space="0" w:color="CCCCCC"/>
              <w:left w:val="single" w:sz="6" w:space="0" w:color="CCCCCC"/>
              <w:bottom w:val="single" w:sz="6" w:space="0" w:color="CCCCCC"/>
              <w:right w:val="single" w:sz="6" w:space="0" w:color="CCCCCC"/>
            </w:tcBorders>
            <w:shd w:val="clear" w:color="auto" w:fill="155E48"/>
            <w:vAlign w:val="center"/>
            <w:hideMark/>
          </w:tcPr>
          <w:p w14:paraId="69F54EB8" w14:textId="077DC582" w:rsidR="00D702F6" w:rsidRPr="00D702F6" w:rsidRDefault="00517094" w:rsidP="00400FA2">
            <w:pPr>
              <w:jc w:val="center"/>
              <w:rPr>
                <w:b/>
                <w:bCs/>
                <w:color w:val="FFFFFF" w:themeColor="background1"/>
                <w:lang w:eastAsia="fr-FR"/>
              </w:rPr>
            </w:pPr>
            <w:r>
              <w:rPr>
                <w:b/>
                <w:bCs/>
                <w:color w:val="FFFFFF" w:themeColor="background1"/>
                <w:sz w:val="24"/>
                <w:szCs w:val="24"/>
                <w:lang w:eastAsia="fr-FR"/>
              </w:rPr>
              <w:t xml:space="preserve">2 – </w:t>
            </w:r>
            <w:r w:rsidR="00D702F6" w:rsidRPr="00D702F6">
              <w:rPr>
                <w:b/>
                <w:bCs/>
                <w:color w:val="FFFFFF" w:themeColor="background1"/>
                <w:sz w:val="24"/>
                <w:szCs w:val="24"/>
                <w:lang w:eastAsia="fr-FR"/>
              </w:rPr>
              <w:t xml:space="preserve">Governance </w:t>
            </w:r>
            <w:r>
              <w:rPr>
                <w:b/>
                <w:bCs/>
                <w:color w:val="FFFFFF" w:themeColor="background1"/>
                <w:sz w:val="24"/>
                <w:szCs w:val="24"/>
                <w:lang w:eastAsia="fr-FR"/>
              </w:rPr>
              <w:t>KPIs</w:t>
            </w:r>
          </w:p>
        </w:tc>
      </w:tr>
      <w:tr w:rsidR="00D702F6" w:rsidRPr="00D702F6" w14:paraId="400CC99A" w14:textId="77777777" w:rsidTr="00FA54AA">
        <w:trPr>
          <w:trHeight w:val="645"/>
        </w:trPr>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7D2A3EE4"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Indicator (KPI)</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58BB9FCC"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Measure</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30EE4654"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Strategic Objective</w:t>
            </w:r>
          </w:p>
        </w:tc>
      </w:tr>
      <w:tr w:rsidR="00D702F6" w:rsidRPr="004B4BDE" w14:paraId="6D236ADA" w14:textId="77777777">
        <w:trPr>
          <w:trHeight w:val="1844"/>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459EDE8E" w14:textId="77777777" w:rsidR="00D702F6" w:rsidRPr="00D702F6" w:rsidRDefault="00D702F6" w:rsidP="00E76792">
            <w:pPr>
              <w:ind w:left="168" w:right="106"/>
              <w:jc w:val="left"/>
              <w:rPr>
                <w:lang w:eastAsia="fr-FR"/>
              </w:rPr>
            </w:pPr>
            <w:r w:rsidRPr="00D702F6">
              <w:rPr>
                <w:lang w:eastAsia="fr-FR"/>
              </w:rPr>
              <w:t>Allocation of human resources</w:t>
            </w:r>
          </w:p>
        </w:tc>
        <w:tc>
          <w:tcPr>
            <w:tcW w:w="0" w:type="auto"/>
            <w:tcBorders>
              <w:top w:val="single" w:sz="6" w:space="0" w:color="CCCCCC"/>
              <w:left w:val="single" w:sz="6" w:space="0" w:color="CCCCCC"/>
              <w:bottom w:val="single" w:sz="6" w:space="0" w:color="CCCCCC"/>
              <w:right w:val="single" w:sz="6" w:space="0" w:color="CCCCCC"/>
            </w:tcBorders>
            <w:hideMark/>
          </w:tcPr>
          <w:p w14:paraId="7ACCBD9B" w14:textId="77777777" w:rsidR="00D702F6" w:rsidRPr="00F4758C" w:rsidRDefault="00D702F6" w:rsidP="00E76792">
            <w:pPr>
              <w:ind w:left="168" w:right="106"/>
              <w:jc w:val="left"/>
              <w:rPr>
                <w:lang w:val="en-GB" w:eastAsia="fr-FR"/>
              </w:rPr>
            </w:pPr>
            <w:r w:rsidRPr="00F4758C">
              <w:rPr>
                <w:lang w:val="en-GB" w:eastAsia="fr-FR"/>
              </w:rPr>
              <w:t>Number of FTEs (Full-Time Equivalents) specifically dedicated to managing and providing expertise on accessibility (accessibility officers, internal auditors, etc.).</w:t>
            </w:r>
          </w:p>
        </w:tc>
        <w:tc>
          <w:tcPr>
            <w:tcW w:w="0" w:type="auto"/>
            <w:tcBorders>
              <w:top w:val="single" w:sz="6" w:space="0" w:color="CCCCCC"/>
              <w:left w:val="single" w:sz="6" w:space="0" w:color="CCCCCC"/>
              <w:bottom w:val="single" w:sz="6" w:space="0" w:color="CCCCCC"/>
              <w:right w:val="single" w:sz="6" w:space="0" w:color="CCCCCC"/>
            </w:tcBorders>
            <w:hideMark/>
          </w:tcPr>
          <w:p w14:paraId="1B92E337" w14:textId="77777777" w:rsidR="00D702F6" w:rsidRPr="00F4758C" w:rsidRDefault="00D702F6" w:rsidP="00E76792">
            <w:pPr>
              <w:ind w:left="168" w:right="106"/>
              <w:jc w:val="left"/>
              <w:rPr>
                <w:lang w:val="en-GB" w:eastAsia="fr-FR"/>
              </w:rPr>
            </w:pPr>
            <w:r w:rsidRPr="00F4758C">
              <w:rPr>
                <w:lang w:val="en-GB" w:eastAsia="fr-FR"/>
              </w:rPr>
              <w:t>To measure the actual human resources investment at the appropriate level within the organisation to support the initiative in the long term.</w:t>
            </w:r>
          </w:p>
        </w:tc>
      </w:tr>
      <w:tr w:rsidR="00D702F6" w:rsidRPr="004B4BDE" w14:paraId="500E1804" w14:textId="77777777">
        <w:trPr>
          <w:trHeight w:val="1844"/>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02C71E0B" w14:textId="77777777" w:rsidR="00D702F6" w:rsidRPr="00F4758C" w:rsidRDefault="00D702F6" w:rsidP="00E76792">
            <w:pPr>
              <w:ind w:left="168" w:right="106"/>
              <w:jc w:val="left"/>
              <w:rPr>
                <w:lang w:val="en-GB" w:eastAsia="fr-FR"/>
              </w:rPr>
            </w:pPr>
            <w:r w:rsidRPr="00F4758C">
              <w:rPr>
                <w:lang w:val="en-GB" w:eastAsia="fr-FR"/>
              </w:rPr>
              <w:t>Positioning of the digital accessibility lead within the organisation</w:t>
            </w:r>
          </w:p>
        </w:tc>
        <w:tc>
          <w:tcPr>
            <w:tcW w:w="0" w:type="auto"/>
            <w:tcBorders>
              <w:top w:val="single" w:sz="6" w:space="0" w:color="CCCCCC"/>
              <w:left w:val="single" w:sz="6" w:space="0" w:color="CCCCCC"/>
              <w:bottom w:val="single" w:sz="6" w:space="0" w:color="CCCCCC"/>
              <w:right w:val="single" w:sz="6" w:space="0" w:color="CCCCCC"/>
            </w:tcBorders>
            <w:hideMark/>
          </w:tcPr>
          <w:p w14:paraId="2BD82E64" w14:textId="77777777" w:rsidR="00D702F6" w:rsidRPr="00F4758C" w:rsidRDefault="00D702F6" w:rsidP="00E76792">
            <w:pPr>
              <w:ind w:left="168" w:right="106"/>
              <w:jc w:val="left"/>
              <w:rPr>
                <w:lang w:val="en-GB" w:eastAsia="fr-FR"/>
              </w:rPr>
            </w:pPr>
            <w:r w:rsidRPr="00F4758C">
              <w:rPr>
                <w:lang w:val="en-GB" w:eastAsia="fr-FR"/>
              </w:rPr>
              <w:t xml:space="preserve">The level at which the digital accessibility lead is positioned and to which they report within the organisation. The measurement scale could be as follows: </w:t>
            </w:r>
          </w:p>
          <w:p w14:paraId="1F78741F" w14:textId="77777777" w:rsidR="00D702F6" w:rsidRPr="00F4758C" w:rsidRDefault="00D702F6" w:rsidP="00E76792">
            <w:pPr>
              <w:ind w:left="168" w:right="106"/>
              <w:jc w:val="left"/>
              <w:rPr>
                <w:lang w:val="en-GB" w:eastAsia="fr-FR"/>
              </w:rPr>
            </w:pPr>
            <w:r w:rsidRPr="00F4758C">
              <w:rPr>
                <w:lang w:val="en-GB" w:eastAsia="fr-FR"/>
              </w:rPr>
              <w:t xml:space="preserve">Level 1 (Low): Reports to an operational team (development unit, communications, etc.). Little cross-functional influence. </w:t>
            </w:r>
          </w:p>
          <w:p w14:paraId="6B0B7FCF" w14:textId="77777777" w:rsidR="00D702F6" w:rsidRPr="00F4758C" w:rsidRDefault="00D702F6" w:rsidP="00E76792">
            <w:pPr>
              <w:ind w:left="168" w:right="106"/>
              <w:jc w:val="left"/>
              <w:rPr>
                <w:lang w:val="en-GB" w:eastAsia="fr-FR"/>
              </w:rPr>
            </w:pPr>
            <w:r w:rsidRPr="00F4758C">
              <w:rPr>
                <w:lang w:val="en-GB" w:eastAsia="fr-FR"/>
              </w:rPr>
              <w:t xml:space="preserve">Level 2 (Medium): Reports to operational committees or departments. Strong technical decision-making power, but limited influence over business and budgetary decisions. </w:t>
            </w:r>
          </w:p>
          <w:p w14:paraId="33330B08" w14:textId="77777777" w:rsidR="00D702F6" w:rsidRPr="00F4758C" w:rsidRDefault="00D702F6" w:rsidP="00E76792">
            <w:pPr>
              <w:ind w:left="168" w:right="106"/>
              <w:jc w:val="left"/>
              <w:rPr>
                <w:lang w:val="en-GB" w:eastAsia="fr-FR"/>
              </w:rPr>
            </w:pPr>
            <w:r w:rsidRPr="00F4758C">
              <w:rPr>
                <w:lang w:val="en-GB" w:eastAsia="fr-FR"/>
              </w:rPr>
              <w:t>Level 3 (Optimal – Target): Reports to a high-level strategic department and, ideally, has direct access to the Executive Committee. Strong capacity for transformation, with management authority over the business units.</w:t>
            </w:r>
          </w:p>
        </w:tc>
        <w:tc>
          <w:tcPr>
            <w:tcW w:w="0" w:type="auto"/>
            <w:tcBorders>
              <w:top w:val="single" w:sz="6" w:space="0" w:color="CCCCCC"/>
              <w:left w:val="single" w:sz="6" w:space="0" w:color="CCCCCC"/>
              <w:bottom w:val="single" w:sz="6" w:space="0" w:color="CCCCCC"/>
              <w:right w:val="single" w:sz="6" w:space="0" w:color="CCCCCC"/>
            </w:tcBorders>
            <w:hideMark/>
          </w:tcPr>
          <w:p w14:paraId="483AFBDC" w14:textId="77777777" w:rsidR="00D702F6" w:rsidRPr="00F4758C" w:rsidRDefault="00D702F6" w:rsidP="00E76792">
            <w:pPr>
              <w:ind w:left="168" w:right="106"/>
              <w:jc w:val="left"/>
              <w:rPr>
                <w:lang w:val="en-GB" w:eastAsia="fr-FR"/>
              </w:rPr>
            </w:pPr>
            <w:r w:rsidRPr="00F4758C">
              <w:rPr>
                <w:lang w:val="en-GB" w:eastAsia="fr-FR"/>
              </w:rPr>
              <w:t xml:space="preserve">Measuring the Digital Accessibility Lead’s capacity for influence and task execution. </w:t>
            </w:r>
          </w:p>
          <w:p w14:paraId="19DD0B7A" w14:textId="77777777" w:rsidR="00D702F6" w:rsidRPr="00F4758C" w:rsidRDefault="00D702F6" w:rsidP="00D702F6">
            <w:pPr>
              <w:jc w:val="left"/>
              <w:rPr>
                <w:lang w:val="en-GB" w:eastAsia="fr-FR"/>
              </w:rPr>
            </w:pPr>
          </w:p>
        </w:tc>
      </w:tr>
      <w:tr w:rsidR="00D702F6" w:rsidRPr="004B4BDE" w14:paraId="142E3D28" w14:textId="77777777">
        <w:trPr>
          <w:trHeight w:val="1874"/>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47BC4358" w14:textId="77777777" w:rsidR="00D702F6" w:rsidRPr="00D702F6" w:rsidRDefault="00D702F6" w:rsidP="00E76792">
            <w:pPr>
              <w:ind w:left="168" w:right="106"/>
              <w:jc w:val="left"/>
              <w:rPr>
                <w:lang w:eastAsia="fr-FR"/>
              </w:rPr>
            </w:pPr>
            <w:r w:rsidRPr="00D702F6">
              <w:rPr>
                <w:lang w:eastAsia="fr-FR"/>
              </w:rPr>
              <w:t>Dedicated project budget</w:t>
            </w:r>
          </w:p>
        </w:tc>
        <w:tc>
          <w:tcPr>
            <w:tcW w:w="0" w:type="auto"/>
            <w:tcBorders>
              <w:top w:val="single" w:sz="6" w:space="0" w:color="CCCCCC"/>
              <w:left w:val="single" w:sz="6" w:space="0" w:color="CCCCCC"/>
              <w:bottom w:val="single" w:sz="6" w:space="0" w:color="CCCCCC"/>
              <w:right w:val="single" w:sz="6" w:space="0" w:color="CCCCCC"/>
            </w:tcBorders>
            <w:hideMark/>
          </w:tcPr>
          <w:p w14:paraId="1C706468" w14:textId="77777777" w:rsidR="00D702F6" w:rsidRPr="00F4758C" w:rsidRDefault="00D702F6" w:rsidP="00E76792">
            <w:pPr>
              <w:ind w:left="168" w:right="106"/>
              <w:jc w:val="left"/>
              <w:rPr>
                <w:lang w:val="en-GB" w:eastAsia="fr-FR"/>
              </w:rPr>
            </w:pPr>
            <w:r w:rsidRPr="00F4758C">
              <w:rPr>
                <w:lang w:val="en-GB" w:eastAsia="fr-FR"/>
              </w:rPr>
              <w:t>Multi-year trend in the budget allocated to accessibility (costs of training, tools and project integration, conducting external audits, planning website redesigns).</w:t>
            </w:r>
          </w:p>
        </w:tc>
        <w:tc>
          <w:tcPr>
            <w:tcW w:w="0" w:type="auto"/>
            <w:tcBorders>
              <w:top w:val="single" w:sz="6" w:space="0" w:color="CCCCCC"/>
              <w:left w:val="single" w:sz="6" w:space="0" w:color="CCCCCC"/>
              <w:bottom w:val="single" w:sz="6" w:space="0" w:color="CCCCCC"/>
              <w:right w:val="single" w:sz="6" w:space="0" w:color="CCCCCC"/>
            </w:tcBorders>
            <w:hideMark/>
          </w:tcPr>
          <w:p w14:paraId="1EC8B0AA" w14:textId="77777777" w:rsidR="00D702F6" w:rsidRPr="00F4758C" w:rsidRDefault="00D702F6" w:rsidP="00E76792">
            <w:pPr>
              <w:ind w:left="168" w:right="106"/>
              <w:jc w:val="left"/>
              <w:rPr>
                <w:lang w:val="en-GB" w:eastAsia="fr-FR"/>
              </w:rPr>
            </w:pPr>
            <w:r w:rsidRPr="00F4758C">
              <w:rPr>
                <w:lang w:val="en-GB" w:eastAsia="fr-FR"/>
              </w:rPr>
              <w:t>Quantify the resources allocated to integration, development and scaling-up projects.</w:t>
            </w:r>
          </w:p>
        </w:tc>
      </w:tr>
      <w:tr w:rsidR="00D702F6" w:rsidRPr="004B4BDE" w14:paraId="14E3B3E1" w14:textId="77777777">
        <w:trPr>
          <w:trHeight w:val="405"/>
        </w:trPr>
        <w:tc>
          <w:tcPr>
            <w:tcW w:w="0" w:type="auto"/>
            <w:tcBorders>
              <w:top w:val="single" w:sz="6" w:space="0" w:color="CCCCCC"/>
              <w:left w:val="single" w:sz="6" w:space="0" w:color="FFFFFF"/>
              <w:bottom w:val="single" w:sz="6" w:space="0" w:color="CCCCCC"/>
              <w:right w:val="single" w:sz="6" w:space="0" w:color="FFFFFF"/>
            </w:tcBorders>
            <w:hideMark/>
          </w:tcPr>
          <w:p w14:paraId="4CECE160" w14:textId="77777777" w:rsidR="00D702F6" w:rsidRPr="00F4758C" w:rsidRDefault="00D702F6" w:rsidP="00D702F6">
            <w:pPr>
              <w:rPr>
                <w:lang w:val="en-GB" w:eastAsia="fr-FR"/>
              </w:rPr>
            </w:pPr>
          </w:p>
        </w:tc>
        <w:tc>
          <w:tcPr>
            <w:tcW w:w="0" w:type="auto"/>
            <w:tcBorders>
              <w:top w:val="single" w:sz="6" w:space="0" w:color="CCCCCC"/>
              <w:left w:val="single" w:sz="6" w:space="0" w:color="FFFFFF"/>
              <w:bottom w:val="single" w:sz="6" w:space="0" w:color="CCCCCC"/>
              <w:right w:val="single" w:sz="6" w:space="0" w:color="FFFFFF"/>
            </w:tcBorders>
            <w:hideMark/>
          </w:tcPr>
          <w:p w14:paraId="368F0268" w14:textId="77777777" w:rsidR="00D702F6" w:rsidRPr="00F4758C" w:rsidRDefault="00D702F6" w:rsidP="00D702F6">
            <w:pPr>
              <w:rPr>
                <w:lang w:val="en-GB" w:eastAsia="fr-FR"/>
              </w:rPr>
            </w:pPr>
          </w:p>
        </w:tc>
        <w:tc>
          <w:tcPr>
            <w:tcW w:w="0" w:type="auto"/>
            <w:tcBorders>
              <w:top w:val="single" w:sz="6" w:space="0" w:color="CCCCCC"/>
              <w:left w:val="single" w:sz="6" w:space="0" w:color="FFFFFF"/>
              <w:bottom w:val="single" w:sz="6" w:space="0" w:color="CCCCCC"/>
              <w:right w:val="single" w:sz="6" w:space="0" w:color="FFFFFF"/>
            </w:tcBorders>
            <w:hideMark/>
          </w:tcPr>
          <w:p w14:paraId="78A767E2" w14:textId="77777777" w:rsidR="00D702F6" w:rsidRPr="00F4758C" w:rsidRDefault="00D702F6" w:rsidP="00D702F6">
            <w:pPr>
              <w:rPr>
                <w:lang w:val="en-GB" w:eastAsia="fr-FR"/>
              </w:rPr>
            </w:pPr>
          </w:p>
          <w:p w14:paraId="275C2427" w14:textId="77777777" w:rsidR="00E76792" w:rsidRPr="00F4758C" w:rsidRDefault="00E76792" w:rsidP="00D702F6">
            <w:pPr>
              <w:rPr>
                <w:lang w:val="en-GB" w:eastAsia="fr-FR"/>
              </w:rPr>
            </w:pPr>
          </w:p>
        </w:tc>
      </w:tr>
      <w:tr w:rsidR="00D702F6" w:rsidRPr="00D702F6" w14:paraId="6CC864E7" w14:textId="77777777" w:rsidTr="00400FA2">
        <w:trPr>
          <w:trHeight w:val="735"/>
        </w:trPr>
        <w:tc>
          <w:tcPr>
            <w:tcW w:w="0" w:type="auto"/>
            <w:gridSpan w:val="3"/>
            <w:tcBorders>
              <w:top w:val="single" w:sz="6" w:space="0" w:color="CCCCCC"/>
              <w:left w:val="single" w:sz="6" w:space="0" w:color="CCCCCC"/>
              <w:bottom w:val="single" w:sz="6" w:space="0" w:color="CCCCCC"/>
              <w:right w:val="single" w:sz="6" w:space="0" w:color="CCCCCC"/>
            </w:tcBorders>
            <w:shd w:val="clear" w:color="auto" w:fill="155E48"/>
            <w:vAlign w:val="center"/>
            <w:hideMark/>
          </w:tcPr>
          <w:p w14:paraId="7E786BB1" w14:textId="3E649EC7" w:rsidR="00D702F6" w:rsidRPr="00D702F6" w:rsidRDefault="00517094" w:rsidP="00400FA2">
            <w:pPr>
              <w:jc w:val="center"/>
              <w:rPr>
                <w:b/>
                <w:bCs/>
                <w:color w:val="FFFFFF" w:themeColor="background1"/>
                <w:lang w:eastAsia="fr-FR"/>
              </w:rPr>
            </w:pPr>
            <w:r>
              <w:rPr>
                <w:b/>
                <w:bCs/>
                <w:color w:val="FFFFFF" w:themeColor="background1"/>
                <w:sz w:val="24"/>
                <w:szCs w:val="24"/>
                <w:lang w:eastAsia="fr-FR"/>
              </w:rPr>
              <w:lastRenderedPageBreak/>
              <w:t>3 - Operational KPIs</w:t>
            </w:r>
          </w:p>
        </w:tc>
      </w:tr>
      <w:tr w:rsidR="00D702F6" w:rsidRPr="00D702F6" w14:paraId="55F21328" w14:textId="77777777" w:rsidTr="00FA54AA">
        <w:trPr>
          <w:trHeight w:val="735"/>
        </w:trPr>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5ED3D8A5"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Indicator (KPI)</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002B0CFC"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Measure</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0E9DC743"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Strategic Objective</w:t>
            </w:r>
          </w:p>
        </w:tc>
      </w:tr>
      <w:tr w:rsidR="00D702F6" w:rsidRPr="004B4BDE" w14:paraId="4DC85E9A" w14:textId="77777777">
        <w:trPr>
          <w:trHeight w:val="1590"/>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42D5C81E" w14:textId="77777777" w:rsidR="00D702F6" w:rsidRPr="00D702F6" w:rsidRDefault="00D702F6" w:rsidP="00E76792">
            <w:pPr>
              <w:ind w:left="168" w:right="106"/>
              <w:jc w:val="left"/>
              <w:rPr>
                <w:lang w:eastAsia="fr-FR"/>
              </w:rPr>
            </w:pPr>
            <w:r w:rsidRPr="00D702F6">
              <w:rPr>
                <w:lang w:eastAsia="fr-FR"/>
              </w:rPr>
              <w:t>Remediation rate</w:t>
            </w:r>
          </w:p>
        </w:tc>
        <w:tc>
          <w:tcPr>
            <w:tcW w:w="0" w:type="auto"/>
            <w:tcBorders>
              <w:top w:val="single" w:sz="6" w:space="0" w:color="CCCCCC"/>
              <w:left w:val="single" w:sz="6" w:space="0" w:color="CCCCCC"/>
              <w:bottom w:val="single" w:sz="6" w:space="0" w:color="CCCCCC"/>
              <w:right w:val="single" w:sz="6" w:space="0" w:color="CCCCCC"/>
            </w:tcBorders>
            <w:hideMark/>
          </w:tcPr>
          <w:p w14:paraId="1E6B0A1B" w14:textId="1A41598A" w:rsidR="00D702F6" w:rsidRPr="00F4758C" w:rsidRDefault="00D702F6" w:rsidP="00E76792">
            <w:pPr>
              <w:ind w:left="168" w:right="106"/>
              <w:jc w:val="left"/>
              <w:rPr>
                <w:lang w:val="en-GB" w:eastAsia="fr-FR"/>
              </w:rPr>
            </w:pPr>
            <w:r w:rsidRPr="00F4758C">
              <w:rPr>
                <w:lang w:val="en-GB" w:eastAsia="fr-FR"/>
              </w:rPr>
              <w:t xml:space="preserve">The ratio of the number of </w:t>
            </w:r>
            <w:r w:rsidR="00BD1AC1">
              <w:rPr>
                <w:lang w:val="en-GB" w:eastAsia="fr-FR"/>
              </w:rPr>
              <w:t>“</w:t>
            </w:r>
            <w:r w:rsidRPr="00F4758C">
              <w:rPr>
                <w:lang w:val="en-GB" w:eastAsia="fr-FR"/>
              </w:rPr>
              <w:t>tickets</w:t>
            </w:r>
            <w:r w:rsidR="00BD1AC1">
              <w:rPr>
                <w:lang w:val="en-GB" w:eastAsia="fr-FR"/>
              </w:rPr>
              <w:t xml:space="preserve">” </w:t>
            </w:r>
            <w:r w:rsidRPr="00F4758C">
              <w:rPr>
                <w:lang w:val="en-GB" w:eastAsia="fr-FR"/>
              </w:rPr>
              <w:t>relating to major digital accessibility non-conformities to the percentage resolved.</w:t>
            </w:r>
          </w:p>
        </w:tc>
        <w:tc>
          <w:tcPr>
            <w:tcW w:w="0" w:type="auto"/>
            <w:tcBorders>
              <w:top w:val="single" w:sz="6" w:space="0" w:color="CCCCCC"/>
              <w:left w:val="single" w:sz="6" w:space="0" w:color="CCCCCC"/>
              <w:bottom w:val="single" w:sz="6" w:space="0" w:color="CCCCCC"/>
              <w:right w:val="single" w:sz="6" w:space="0" w:color="CCCCCC"/>
            </w:tcBorders>
            <w:hideMark/>
          </w:tcPr>
          <w:p w14:paraId="0B6F742B" w14:textId="5D4AB92A" w:rsidR="00D702F6" w:rsidRPr="00F4758C" w:rsidRDefault="00D702F6" w:rsidP="00E76792">
            <w:pPr>
              <w:ind w:left="168" w:right="106"/>
              <w:jc w:val="left"/>
              <w:rPr>
                <w:lang w:val="en-GB" w:eastAsia="fr-FR"/>
              </w:rPr>
            </w:pPr>
            <w:r w:rsidRPr="00F4758C">
              <w:rPr>
                <w:lang w:val="en-GB" w:eastAsia="fr-FR"/>
              </w:rPr>
              <w:t xml:space="preserve">To reduce </w:t>
            </w:r>
            <w:r w:rsidR="00BD1AC1">
              <w:rPr>
                <w:lang w:val="en-GB" w:eastAsia="fr-FR"/>
              </w:rPr>
              <w:t>“</w:t>
            </w:r>
            <w:r w:rsidRPr="00F4758C">
              <w:rPr>
                <w:lang w:val="en-GB" w:eastAsia="fr-FR"/>
              </w:rPr>
              <w:t>accessibility debt</w:t>
            </w:r>
            <w:r w:rsidR="00BD1AC1">
              <w:rPr>
                <w:lang w:val="en-GB" w:eastAsia="fr-FR"/>
              </w:rPr>
              <w:t>”</w:t>
            </w:r>
            <w:r w:rsidRPr="00F4758C">
              <w:rPr>
                <w:lang w:val="en-GB" w:eastAsia="fr-FR"/>
              </w:rPr>
              <w:t xml:space="preserve"> and ensure the responsiveness of development teams.</w:t>
            </w:r>
          </w:p>
        </w:tc>
      </w:tr>
      <w:tr w:rsidR="00D702F6" w:rsidRPr="004B4BDE" w14:paraId="2C327E16" w14:textId="77777777">
        <w:trPr>
          <w:trHeight w:val="2235"/>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1AE210A4" w14:textId="77777777" w:rsidR="00D702F6" w:rsidRPr="00F4758C" w:rsidRDefault="00D702F6" w:rsidP="00E76792">
            <w:pPr>
              <w:ind w:left="168" w:right="106"/>
              <w:jc w:val="left"/>
              <w:rPr>
                <w:lang w:val="en-GB" w:eastAsia="fr-FR"/>
              </w:rPr>
            </w:pPr>
            <w:r w:rsidRPr="00F4758C">
              <w:rPr>
                <w:lang w:val="en-GB" w:eastAsia="fr-FR"/>
              </w:rPr>
              <w:t>Frequency of use of an accessible</w:t>
            </w:r>
            <w:r w:rsidRPr="001F2368">
              <w:rPr>
                <w:lang w:val="en-GB" w:eastAsia="fr-FR"/>
              </w:rPr>
              <w:t xml:space="preserve"> design system</w:t>
            </w:r>
          </w:p>
        </w:tc>
        <w:tc>
          <w:tcPr>
            <w:tcW w:w="0" w:type="auto"/>
            <w:tcBorders>
              <w:top w:val="single" w:sz="6" w:space="0" w:color="CCCCCC"/>
              <w:left w:val="single" w:sz="6" w:space="0" w:color="CCCCCC"/>
              <w:bottom w:val="single" w:sz="6" w:space="0" w:color="CCCCCC"/>
              <w:right w:val="single" w:sz="6" w:space="0" w:color="CCCCCC"/>
            </w:tcBorders>
            <w:hideMark/>
          </w:tcPr>
          <w:p w14:paraId="6DA51D1F" w14:textId="77777777" w:rsidR="00D702F6" w:rsidRPr="00F4758C" w:rsidRDefault="00D702F6" w:rsidP="00E76792">
            <w:pPr>
              <w:ind w:left="168" w:right="106"/>
              <w:jc w:val="left"/>
              <w:rPr>
                <w:lang w:val="en-GB" w:eastAsia="fr-FR"/>
              </w:rPr>
            </w:pPr>
            <w:r w:rsidRPr="00F4758C">
              <w:rPr>
                <w:lang w:val="en-GB" w:eastAsia="fr-FR"/>
              </w:rPr>
              <w:t xml:space="preserve">The frequency with which the </w:t>
            </w:r>
            <w:r w:rsidRPr="001F2368">
              <w:rPr>
                <w:lang w:val="en-GB" w:eastAsia="fr-FR"/>
              </w:rPr>
              <w:t xml:space="preserve">design system </w:t>
            </w:r>
            <w:r w:rsidRPr="00F4758C">
              <w:rPr>
                <w:lang w:val="en-GB" w:eastAsia="fr-FR"/>
              </w:rPr>
              <w:t>and its certified accessible components are used by the design/development team, compared to the use of non-standard or unaudited components.</w:t>
            </w:r>
          </w:p>
        </w:tc>
        <w:tc>
          <w:tcPr>
            <w:tcW w:w="0" w:type="auto"/>
            <w:tcBorders>
              <w:top w:val="single" w:sz="6" w:space="0" w:color="CCCCCC"/>
              <w:left w:val="single" w:sz="6" w:space="0" w:color="CCCCCC"/>
              <w:bottom w:val="single" w:sz="6" w:space="0" w:color="CCCCCC"/>
              <w:right w:val="single" w:sz="6" w:space="0" w:color="CCCCCC"/>
            </w:tcBorders>
            <w:hideMark/>
          </w:tcPr>
          <w:p w14:paraId="725B1B48" w14:textId="77777777" w:rsidR="00D702F6" w:rsidRPr="00F4758C" w:rsidRDefault="00D702F6" w:rsidP="00E76792">
            <w:pPr>
              <w:ind w:left="168" w:right="106"/>
              <w:jc w:val="left"/>
              <w:rPr>
                <w:lang w:val="en-GB" w:eastAsia="fr-FR"/>
              </w:rPr>
            </w:pPr>
            <w:r w:rsidRPr="00F4758C">
              <w:rPr>
                <w:lang w:val="en-GB" w:eastAsia="fr-FR"/>
              </w:rPr>
              <w:t xml:space="preserve">Measuring adoption of and reliance on </w:t>
            </w:r>
            <w:r w:rsidRPr="001F2368">
              <w:rPr>
                <w:lang w:val="en-GB" w:eastAsia="fr-FR"/>
              </w:rPr>
              <w:t>the design system</w:t>
            </w:r>
            <w:r w:rsidRPr="00F4758C">
              <w:rPr>
                <w:lang w:val="en-GB" w:eastAsia="fr-FR"/>
              </w:rPr>
              <w:t>, ensuring consistency in accessibility across the entire IT infrastructure.</w:t>
            </w:r>
          </w:p>
        </w:tc>
      </w:tr>
      <w:tr w:rsidR="00D702F6" w:rsidRPr="004B4BDE" w14:paraId="21719CB3" w14:textId="77777777">
        <w:trPr>
          <w:trHeight w:val="1605"/>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281BDF3F" w14:textId="77777777" w:rsidR="00D702F6" w:rsidRPr="00F4758C" w:rsidRDefault="00D702F6" w:rsidP="00E76792">
            <w:pPr>
              <w:ind w:left="168" w:right="106"/>
              <w:jc w:val="left"/>
              <w:rPr>
                <w:lang w:val="en-GB" w:eastAsia="fr-FR"/>
              </w:rPr>
            </w:pPr>
            <w:r w:rsidRPr="00F4758C">
              <w:rPr>
                <w:lang w:val="en-GB" w:eastAsia="fr-FR"/>
              </w:rPr>
              <w:t>Test coverage rate (automated or manual)</w:t>
            </w:r>
          </w:p>
        </w:tc>
        <w:tc>
          <w:tcPr>
            <w:tcW w:w="0" w:type="auto"/>
            <w:tcBorders>
              <w:top w:val="single" w:sz="6" w:space="0" w:color="CCCCCC"/>
              <w:left w:val="single" w:sz="6" w:space="0" w:color="CCCCCC"/>
              <w:bottom w:val="single" w:sz="6" w:space="0" w:color="CCCCCC"/>
              <w:right w:val="single" w:sz="6" w:space="0" w:color="CCCCCC"/>
            </w:tcBorders>
            <w:hideMark/>
          </w:tcPr>
          <w:p w14:paraId="505031C7" w14:textId="5D3017DF" w:rsidR="00D702F6" w:rsidRPr="00F4758C" w:rsidRDefault="00D702F6" w:rsidP="00E76792">
            <w:pPr>
              <w:ind w:left="168" w:right="106"/>
              <w:jc w:val="left"/>
              <w:rPr>
                <w:lang w:val="en-GB" w:eastAsia="fr-FR"/>
              </w:rPr>
            </w:pPr>
            <w:r w:rsidRPr="00F4758C">
              <w:rPr>
                <w:lang w:val="en-GB" w:eastAsia="fr-FR"/>
              </w:rPr>
              <w:t xml:space="preserve">Percentage of features covered by </w:t>
            </w:r>
            <w:r w:rsidR="00517094" w:rsidRPr="00F4758C">
              <w:rPr>
                <w:lang w:val="en-GB" w:eastAsia="fr-FR"/>
              </w:rPr>
              <w:t xml:space="preserve">automated </w:t>
            </w:r>
            <w:r w:rsidRPr="00F4758C">
              <w:rPr>
                <w:lang w:val="en-GB" w:eastAsia="fr-FR"/>
              </w:rPr>
              <w:t xml:space="preserve">and </w:t>
            </w:r>
            <w:r w:rsidR="00517094" w:rsidRPr="00F4758C">
              <w:rPr>
                <w:lang w:val="en-GB" w:eastAsia="fr-FR"/>
              </w:rPr>
              <w:t xml:space="preserve">manual </w:t>
            </w:r>
            <w:r w:rsidRPr="00F4758C">
              <w:rPr>
                <w:lang w:val="en-GB" w:eastAsia="fr-FR"/>
              </w:rPr>
              <w:t>audit tools (comprehensive audits).</w:t>
            </w:r>
          </w:p>
        </w:tc>
        <w:tc>
          <w:tcPr>
            <w:tcW w:w="0" w:type="auto"/>
            <w:tcBorders>
              <w:top w:val="single" w:sz="6" w:space="0" w:color="CCCCCC"/>
              <w:left w:val="single" w:sz="6" w:space="0" w:color="CCCCCC"/>
              <w:bottom w:val="single" w:sz="6" w:space="0" w:color="CCCCCC"/>
              <w:right w:val="single" w:sz="6" w:space="0" w:color="CCCCCC"/>
            </w:tcBorders>
            <w:hideMark/>
          </w:tcPr>
          <w:p w14:paraId="2F927A7B" w14:textId="77777777" w:rsidR="00D702F6" w:rsidRPr="00F4758C" w:rsidRDefault="00D702F6" w:rsidP="00E76792">
            <w:pPr>
              <w:ind w:left="168" w:right="106"/>
              <w:jc w:val="left"/>
              <w:rPr>
                <w:lang w:val="en-GB" w:eastAsia="fr-FR"/>
              </w:rPr>
            </w:pPr>
            <w:r w:rsidRPr="00F4758C">
              <w:rPr>
                <w:lang w:val="en-GB" w:eastAsia="fr-FR"/>
              </w:rPr>
              <w:t>Ensure that validation tools and processes are applied comprehensively and continuously.</w:t>
            </w:r>
          </w:p>
        </w:tc>
      </w:tr>
      <w:tr w:rsidR="00D702F6" w:rsidRPr="004B4BDE" w14:paraId="0737C5CD" w14:textId="77777777">
        <w:trPr>
          <w:trHeight w:val="1620"/>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1E95349A" w14:textId="77777777" w:rsidR="00D702F6" w:rsidRPr="00F4758C" w:rsidRDefault="00D702F6" w:rsidP="00E76792">
            <w:pPr>
              <w:ind w:left="168" w:right="106"/>
              <w:jc w:val="left"/>
              <w:rPr>
                <w:lang w:val="en-GB" w:eastAsia="fr-FR"/>
              </w:rPr>
            </w:pPr>
            <w:r w:rsidRPr="00F4758C">
              <w:rPr>
                <w:lang w:val="en-GB" w:eastAsia="fr-FR"/>
              </w:rPr>
              <w:t xml:space="preserve">Total number of real-world tests conducted by </w:t>
            </w:r>
            <w:r w:rsidRPr="00F4758C">
              <w:rPr>
                <w:i/>
                <w:iCs/>
                <w:lang w:val="en-GB" w:eastAsia="fr-FR"/>
              </w:rPr>
              <w:t>Personae</w:t>
            </w:r>
          </w:p>
        </w:tc>
        <w:tc>
          <w:tcPr>
            <w:tcW w:w="0" w:type="auto"/>
            <w:tcBorders>
              <w:top w:val="single" w:sz="6" w:space="0" w:color="CCCCCC"/>
              <w:left w:val="single" w:sz="6" w:space="0" w:color="CCCCCC"/>
              <w:bottom w:val="single" w:sz="6" w:space="0" w:color="CCCCCC"/>
              <w:right w:val="single" w:sz="6" w:space="0" w:color="CCCCCC"/>
            </w:tcBorders>
            <w:hideMark/>
          </w:tcPr>
          <w:p w14:paraId="5D0FCCEA" w14:textId="7913E009" w:rsidR="00D702F6" w:rsidRPr="00F4758C" w:rsidRDefault="00D702F6" w:rsidP="00E76792">
            <w:pPr>
              <w:ind w:left="168" w:right="106"/>
              <w:jc w:val="left"/>
              <w:rPr>
                <w:lang w:val="en-GB" w:eastAsia="fr-FR"/>
              </w:rPr>
            </w:pPr>
            <w:r w:rsidRPr="00F4758C">
              <w:rPr>
                <w:lang w:val="en-GB" w:eastAsia="fr-FR"/>
              </w:rPr>
              <w:t>Number of user tests conducted specifically with people with disabilities</w:t>
            </w:r>
            <w:r w:rsidR="00710FC2" w:rsidRPr="00F4758C">
              <w:rPr>
                <w:lang w:val="en-GB" w:eastAsia="fr-FR"/>
              </w:rPr>
              <w:t>,</w:t>
            </w:r>
            <w:r w:rsidRPr="00F4758C">
              <w:rPr>
                <w:lang w:val="en-GB" w:eastAsia="fr-FR"/>
              </w:rPr>
              <w:t xml:space="preserve"> per product and per year</w:t>
            </w:r>
            <w:r w:rsidR="00710FC2" w:rsidRPr="00F4758C">
              <w:rPr>
                <w:lang w:val="en-GB" w:eastAsia="fr-FR"/>
              </w:rPr>
              <w:t>, achieving a high level of satisfaction amongst these users.</w:t>
            </w:r>
          </w:p>
        </w:tc>
        <w:tc>
          <w:tcPr>
            <w:tcW w:w="0" w:type="auto"/>
            <w:tcBorders>
              <w:top w:val="single" w:sz="6" w:space="0" w:color="CCCCCC"/>
              <w:left w:val="single" w:sz="6" w:space="0" w:color="CCCCCC"/>
              <w:bottom w:val="single" w:sz="6" w:space="0" w:color="CCCCCC"/>
              <w:right w:val="single" w:sz="6" w:space="0" w:color="CCCCCC"/>
            </w:tcBorders>
            <w:hideMark/>
          </w:tcPr>
          <w:p w14:paraId="42350619" w14:textId="4813227E" w:rsidR="00D702F6" w:rsidRPr="00F4758C" w:rsidRDefault="00D702F6" w:rsidP="00E76792">
            <w:pPr>
              <w:ind w:left="168" w:right="106"/>
              <w:jc w:val="left"/>
              <w:rPr>
                <w:lang w:val="en-GB" w:eastAsia="fr-FR"/>
              </w:rPr>
            </w:pPr>
            <w:r w:rsidRPr="00F4758C">
              <w:rPr>
                <w:lang w:val="en-GB" w:eastAsia="fr-FR"/>
              </w:rPr>
              <w:t xml:space="preserve">Measure the effort devoted to usability accessibility and </w:t>
            </w:r>
            <w:r w:rsidR="00517094" w:rsidRPr="00F4758C">
              <w:rPr>
                <w:lang w:val="en-GB" w:eastAsia="fr-FR"/>
              </w:rPr>
              <w:t xml:space="preserve">not </w:t>
            </w:r>
            <w:r w:rsidRPr="00F4758C">
              <w:rPr>
                <w:lang w:val="en-GB" w:eastAsia="fr-FR"/>
              </w:rPr>
              <w:t>just theoretical compliance</w:t>
            </w:r>
            <w:r w:rsidR="00C70D0D" w:rsidRPr="00F4758C">
              <w:rPr>
                <w:lang w:val="en-GB" w:eastAsia="fr-FR"/>
              </w:rPr>
              <w:t>.</w:t>
            </w:r>
          </w:p>
        </w:tc>
      </w:tr>
      <w:tr w:rsidR="00D702F6" w:rsidRPr="004B4BDE" w14:paraId="05FA21D7" w14:textId="77777777">
        <w:trPr>
          <w:trHeight w:val="1625"/>
        </w:trPr>
        <w:tc>
          <w:tcPr>
            <w:tcW w:w="0" w:type="auto"/>
            <w:tcBorders>
              <w:top w:val="single" w:sz="6" w:space="0" w:color="CCCCCC"/>
              <w:left w:val="single" w:sz="6" w:space="0" w:color="CCCCCC"/>
              <w:bottom w:val="single" w:sz="6" w:space="0" w:color="CCCCCC"/>
              <w:right w:val="single" w:sz="6" w:space="0" w:color="CCCCCC"/>
            </w:tcBorders>
            <w:shd w:val="clear" w:color="auto" w:fill="EFEFEF"/>
            <w:tcMar>
              <w:top w:w="40" w:type="dxa"/>
              <w:left w:w="40" w:type="dxa"/>
              <w:bottom w:w="40" w:type="dxa"/>
              <w:right w:w="40" w:type="dxa"/>
            </w:tcMar>
            <w:hideMark/>
          </w:tcPr>
          <w:p w14:paraId="01ABFF5A" w14:textId="77777777" w:rsidR="00D702F6" w:rsidRPr="00D702F6" w:rsidRDefault="00D702F6" w:rsidP="00E76792">
            <w:pPr>
              <w:ind w:left="168" w:right="106"/>
              <w:jc w:val="left"/>
              <w:rPr>
                <w:lang w:eastAsia="fr-FR"/>
              </w:rPr>
            </w:pPr>
            <w:r w:rsidRPr="00D702F6">
              <w:rPr>
                <w:lang w:eastAsia="fr-FR"/>
              </w:rPr>
              <w:t>Accessibility regression index</w:t>
            </w:r>
          </w:p>
        </w:tc>
        <w:tc>
          <w:tcPr>
            <w:tcW w:w="0" w:type="auto"/>
            <w:tcBorders>
              <w:top w:val="single" w:sz="6" w:space="0" w:color="CCCCCC"/>
              <w:left w:val="single" w:sz="6" w:space="0" w:color="CCCCCC"/>
              <w:bottom w:val="single" w:sz="6" w:space="0" w:color="CCCCCC"/>
              <w:right w:val="single" w:sz="6" w:space="0" w:color="CCCCCC"/>
            </w:tcBorders>
            <w:hideMark/>
          </w:tcPr>
          <w:p w14:paraId="3E6FC3D0" w14:textId="77777777" w:rsidR="00D702F6" w:rsidRPr="00F4758C" w:rsidRDefault="00D702F6" w:rsidP="00E76792">
            <w:pPr>
              <w:ind w:left="168" w:right="106"/>
              <w:jc w:val="left"/>
              <w:rPr>
                <w:lang w:val="en-GB" w:eastAsia="fr-FR"/>
              </w:rPr>
            </w:pPr>
            <w:r w:rsidRPr="00F4758C">
              <w:rPr>
                <w:lang w:val="en-GB" w:eastAsia="fr-FR"/>
              </w:rPr>
              <w:t>Number of new accessibility defects introduced following an update or the release of a new feature.</w:t>
            </w:r>
          </w:p>
        </w:tc>
        <w:tc>
          <w:tcPr>
            <w:tcW w:w="0" w:type="auto"/>
            <w:tcBorders>
              <w:top w:val="single" w:sz="6" w:space="0" w:color="CCCCCC"/>
              <w:left w:val="single" w:sz="6" w:space="0" w:color="CCCCCC"/>
              <w:bottom w:val="single" w:sz="6" w:space="0" w:color="CCCCCC"/>
              <w:right w:val="single" w:sz="6" w:space="0" w:color="CCCCCC"/>
            </w:tcBorders>
            <w:hideMark/>
          </w:tcPr>
          <w:p w14:paraId="60B7CB2B" w14:textId="77777777" w:rsidR="00D702F6" w:rsidRPr="00F4758C" w:rsidRDefault="00D702F6" w:rsidP="00E76792">
            <w:pPr>
              <w:ind w:left="168" w:right="106"/>
              <w:jc w:val="left"/>
              <w:rPr>
                <w:lang w:val="en-GB" w:eastAsia="fr-FR"/>
              </w:rPr>
            </w:pPr>
            <w:r w:rsidRPr="00F4758C">
              <w:rPr>
                <w:lang w:val="en-GB" w:eastAsia="fr-FR"/>
              </w:rPr>
              <w:t>Measuring the effectiveness of training and quality checklists integrated into the development cycle (DevOps).</w:t>
            </w:r>
          </w:p>
        </w:tc>
      </w:tr>
      <w:tr w:rsidR="00D702F6" w:rsidRPr="004B4BDE" w14:paraId="4972CE29" w14:textId="77777777">
        <w:trPr>
          <w:trHeight w:val="339"/>
        </w:trPr>
        <w:tc>
          <w:tcPr>
            <w:tcW w:w="0" w:type="auto"/>
            <w:tcBorders>
              <w:top w:val="single" w:sz="6" w:space="0" w:color="CCCCCC"/>
              <w:left w:val="single" w:sz="6" w:space="0" w:color="FFFFFF"/>
              <w:bottom w:val="single" w:sz="6" w:space="0" w:color="CCCCCC"/>
              <w:right w:val="single" w:sz="6" w:space="0" w:color="FFFFFF"/>
            </w:tcBorders>
            <w:shd w:val="clear" w:color="auto" w:fill="FFFFFF"/>
            <w:hideMark/>
          </w:tcPr>
          <w:p w14:paraId="67F0FA30" w14:textId="77777777" w:rsidR="00D702F6" w:rsidRPr="00F4758C" w:rsidRDefault="00D702F6" w:rsidP="00D702F6">
            <w:pPr>
              <w:rPr>
                <w:lang w:val="en-GB" w:eastAsia="fr-FR"/>
              </w:rPr>
            </w:pPr>
          </w:p>
        </w:tc>
        <w:tc>
          <w:tcPr>
            <w:tcW w:w="0" w:type="auto"/>
            <w:tcBorders>
              <w:top w:val="single" w:sz="6" w:space="0" w:color="CCCCCC"/>
              <w:left w:val="single" w:sz="6" w:space="0" w:color="FFFFFF"/>
              <w:bottom w:val="single" w:sz="6" w:space="0" w:color="CCCCCC"/>
              <w:right w:val="single" w:sz="6" w:space="0" w:color="FFFFFF"/>
            </w:tcBorders>
            <w:shd w:val="clear" w:color="auto" w:fill="FFFFFF"/>
            <w:hideMark/>
          </w:tcPr>
          <w:p w14:paraId="02D657DE" w14:textId="77777777" w:rsidR="00D702F6" w:rsidRPr="00F4758C" w:rsidRDefault="00D702F6" w:rsidP="00D702F6">
            <w:pPr>
              <w:rPr>
                <w:lang w:val="en-GB" w:eastAsia="fr-FR"/>
              </w:rPr>
            </w:pPr>
          </w:p>
          <w:p w14:paraId="3FE2D939" w14:textId="77777777" w:rsidR="00E76792" w:rsidRPr="00F4758C" w:rsidRDefault="00E76792" w:rsidP="00D702F6">
            <w:pPr>
              <w:rPr>
                <w:lang w:val="en-GB" w:eastAsia="fr-FR"/>
              </w:rPr>
            </w:pPr>
          </w:p>
          <w:p w14:paraId="10B5B7B6" w14:textId="77777777" w:rsidR="00E76792" w:rsidRPr="00F4758C" w:rsidRDefault="00E76792" w:rsidP="00D702F6">
            <w:pPr>
              <w:rPr>
                <w:lang w:val="en-GB" w:eastAsia="fr-FR"/>
              </w:rPr>
            </w:pPr>
          </w:p>
          <w:p w14:paraId="7E30E1BA" w14:textId="77777777" w:rsidR="00E76792" w:rsidRDefault="00E76792" w:rsidP="00D702F6">
            <w:pPr>
              <w:rPr>
                <w:lang w:val="en-GB" w:eastAsia="fr-FR"/>
              </w:rPr>
            </w:pPr>
          </w:p>
          <w:p w14:paraId="343FF18F" w14:textId="77777777" w:rsidR="00681E5D" w:rsidRPr="00F4758C" w:rsidRDefault="00681E5D" w:rsidP="00D702F6">
            <w:pPr>
              <w:rPr>
                <w:lang w:val="en-GB" w:eastAsia="fr-FR"/>
              </w:rPr>
            </w:pPr>
          </w:p>
          <w:p w14:paraId="22BAEF69" w14:textId="77777777" w:rsidR="00E76792" w:rsidRPr="00F4758C" w:rsidRDefault="00E76792" w:rsidP="00D702F6">
            <w:pPr>
              <w:rPr>
                <w:lang w:val="en-GB" w:eastAsia="fr-FR"/>
              </w:rPr>
            </w:pPr>
          </w:p>
        </w:tc>
        <w:tc>
          <w:tcPr>
            <w:tcW w:w="0" w:type="auto"/>
            <w:tcBorders>
              <w:top w:val="single" w:sz="6" w:space="0" w:color="CCCCCC"/>
              <w:left w:val="single" w:sz="6" w:space="0" w:color="FFFFFF"/>
              <w:bottom w:val="single" w:sz="6" w:space="0" w:color="CCCCCC"/>
              <w:right w:val="single" w:sz="6" w:space="0" w:color="FFFFFF"/>
            </w:tcBorders>
            <w:shd w:val="clear" w:color="auto" w:fill="FFFFFF"/>
            <w:hideMark/>
          </w:tcPr>
          <w:p w14:paraId="787F5F2A" w14:textId="77777777" w:rsidR="00D702F6" w:rsidRPr="00F4758C" w:rsidRDefault="00D702F6" w:rsidP="00D702F6">
            <w:pPr>
              <w:rPr>
                <w:lang w:val="en-GB" w:eastAsia="fr-FR"/>
              </w:rPr>
            </w:pPr>
          </w:p>
        </w:tc>
      </w:tr>
      <w:tr w:rsidR="00D702F6" w:rsidRPr="00D702F6" w14:paraId="6258FDD4" w14:textId="77777777" w:rsidTr="00400FA2">
        <w:trPr>
          <w:trHeight w:val="720"/>
        </w:trPr>
        <w:tc>
          <w:tcPr>
            <w:tcW w:w="0" w:type="auto"/>
            <w:gridSpan w:val="3"/>
            <w:tcBorders>
              <w:top w:val="single" w:sz="6" w:space="0" w:color="CCCCCC"/>
              <w:left w:val="single" w:sz="6" w:space="0" w:color="CCCCCC"/>
              <w:bottom w:val="single" w:sz="6" w:space="0" w:color="CCCCCC"/>
              <w:right w:val="single" w:sz="6" w:space="0" w:color="CCCCCC"/>
            </w:tcBorders>
            <w:shd w:val="clear" w:color="auto" w:fill="155E48"/>
            <w:vAlign w:val="center"/>
            <w:hideMark/>
          </w:tcPr>
          <w:p w14:paraId="545BD721" w14:textId="07CCCD5E" w:rsidR="00D702F6" w:rsidRPr="00D702F6" w:rsidRDefault="00517094" w:rsidP="00400FA2">
            <w:pPr>
              <w:jc w:val="center"/>
              <w:rPr>
                <w:b/>
                <w:bCs/>
                <w:color w:val="FFFFFF" w:themeColor="background1"/>
                <w:lang w:eastAsia="fr-FR"/>
              </w:rPr>
            </w:pPr>
            <w:r>
              <w:rPr>
                <w:b/>
                <w:bCs/>
                <w:color w:val="FFFFFF" w:themeColor="background1"/>
                <w:sz w:val="24"/>
                <w:szCs w:val="24"/>
                <w:lang w:eastAsia="fr-FR"/>
              </w:rPr>
              <w:lastRenderedPageBreak/>
              <w:t xml:space="preserve">4 – </w:t>
            </w:r>
            <w:r w:rsidR="00D702F6" w:rsidRPr="00D702F6">
              <w:rPr>
                <w:b/>
                <w:bCs/>
                <w:color w:val="FFFFFF" w:themeColor="background1"/>
                <w:sz w:val="24"/>
                <w:szCs w:val="24"/>
                <w:lang w:eastAsia="fr-FR"/>
              </w:rPr>
              <w:t xml:space="preserve">Training </w:t>
            </w:r>
            <w:r w:rsidR="009D1CBC">
              <w:rPr>
                <w:b/>
                <w:bCs/>
                <w:color w:val="FFFFFF" w:themeColor="background1"/>
                <w:sz w:val="24"/>
                <w:szCs w:val="24"/>
                <w:lang w:eastAsia="fr-FR"/>
              </w:rPr>
              <w:t xml:space="preserve">and onboarding </w:t>
            </w:r>
            <w:r>
              <w:rPr>
                <w:b/>
                <w:bCs/>
                <w:color w:val="FFFFFF" w:themeColor="background1"/>
                <w:sz w:val="24"/>
                <w:szCs w:val="24"/>
                <w:lang w:eastAsia="fr-FR"/>
              </w:rPr>
              <w:t>KPIs</w:t>
            </w:r>
          </w:p>
        </w:tc>
      </w:tr>
      <w:tr w:rsidR="00D702F6" w:rsidRPr="00D702F6" w14:paraId="472A540F" w14:textId="77777777" w:rsidTr="00FA54AA">
        <w:trPr>
          <w:trHeight w:val="675"/>
        </w:trPr>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0B0E9CFD"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Indicator (KPI)</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4AA949C3"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Measure</w:t>
            </w:r>
          </w:p>
        </w:tc>
        <w:tc>
          <w:tcPr>
            <w:tcW w:w="0" w:type="auto"/>
            <w:tcBorders>
              <w:top w:val="single" w:sz="6" w:space="0" w:color="CCCCCC"/>
              <w:left w:val="single" w:sz="6" w:space="0" w:color="CCCCCC"/>
              <w:bottom w:val="single" w:sz="6" w:space="0" w:color="CCCCCC"/>
              <w:right w:val="single" w:sz="6" w:space="0" w:color="CCCCCC"/>
            </w:tcBorders>
            <w:shd w:val="clear" w:color="auto" w:fill="307A55"/>
            <w:vAlign w:val="center"/>
            <w:hideMark/>
          </w:tcPr>
          <w:p w14:paraId="5B7F8BFD" w14:textId="77777777" w:rsidR="00D702F6" w:rsidRPr="00D702F6" w:rsidRDefault="00D702F6" w:rsidP="00400FA2">
            <w:pPr>
              <w:jc w:val="center"/>
              <w:rPr>
                <w:b/>
                <w:bCs/>
                <w:color w:val="FFFFFF" w:themeColor="background1"/>
                <w:lang w:eastAsia="fr-FR"/>
              </w:rPr>
            </w:pPr>
            <w:r w:rsidRPr="00D702F6">
              <w:rPr>
                <w:b/>
                <w:bCs/>
                <w:color w:val="FFFFFF" w:themeColor="background1"/>
                <w:lang w:eastAsia="fr-FR"/>
              </w:rPr>
              <w:t>Strategic Objective</w:t>
            </w:r>
          </w:p>
        </w:tc>
      </w:tr>
      <w:tr w:rsidR="00D702F6" w:rsidRPr="004B4BDE" w14:paraId="6DD263C2" w14:textId="77777777">
        <w:trPr>
          <w:trHeight w:val="1610"/>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3DE7938C" w14:textId="77777777" w:rsidR="00D702F6" w:rsidRPr="00F4758C" w:rsidRDefault="00D702F6" w:rsidP="00E76792">
            <w:pPr>
              <w:ind w:left="168" w:right="106"/>
              <w:jc w:val="left"/>
              <w:rPr>
                <w:lang w:val="en-GB" w:eastAsia="fr-FR"/>
              </w:rPr>
            </w:pPr>
            <w:r w:rsidRPr="00F4758C">
              <w:rPr>
                <w:lang w:val="en-GB" w:eastAsia="fr-FR"/>
              </w:rPr>
              <w:t>Training rate for target teams</w:t>
            </w:r>
          </w:p>
        </w:tc>
        <w:tc>
          <w:tcPr>
            <w:tcW w:w="0" w:type="auto"/>
            <w:tcBorders>
              <w:top w:val="single" w:sz="6" w:space="0" w:color="CCCCCC"/>
              <w:left w:val="single" w:sz="6" w:space="0" w:color="CCCCCC"/>
              <w:bottom w:val="single" w:sz="6" w:space="0" w:color="CCCCCC"/>
              <w:right w:val="single" w:sz="6" w:space="0" w:color="CCCCCC"/>
            </w:tcBorders>
            <w:hideMark/>
          </w:tcPr>
          <w:p w14:paraId="7814425D" w14:textId="77777777" w:rsidR="00D702F6" w:rsidRPr="00F4758C" w:rsidRDefault="00D702F6" w:rsidP="00E76792">
            <w:pPr>
              <w:ind w:left="168" w:right="106"/>
              <w:jc w:val="left"/>
              <w:rPr>
                <w:lang w:val="en-GB" w:eastAsia="fr-FR"/>
              </w:rPr>
            </w:pPr>
            <w:r w:rsidRPr="00F4758C">
              <w:rPr>
                <w:lang w:val="en-GB" w:eastAsia="fr-FR"/>
              </w:rPr>
              <w:t>Percentage of staff (developers, designers, product managers, others, etc.) who have completed a certified accessibility training course.</w:t>
            </w:r>
          </w:p>
        </w:tc>
        <w:tc>
          <w:tcPr>
            <w:tcW w:w="0" w:type="auto"/>
            <w:tcBorders>
              <w:top w:val="single" w:sz="6" w:space="0" w:color="CCCCCC"/>
              <w:left w:val="single" w:sz="6" w:space="0" w:color="CCCCCC"/>
              <w:bottom w:val="single" w:sz="6" w:space="0" w:color="CCCCCC"/>
              <w:right w:val="single" w:sz="6" w:space="0" w:color="CCCCCC"/>
            </w:tcBorders>
            <w:hideMark/>
          </w:tcPr>
          <w:p w14:paraId="3C42E831" w14:textId="77777777" w:rsidR="00D702F6" w:rsidRPr="00F4758C" w:rsidRDefault="00D702F6" w:rsidP="00E76792">
            <w:pPr>
              <w:ind w:left="168" w:right="106"/>
              <w:jc w:val="left"/>
              <w:rPr>
                <w:lang w:val="en-GB" w:eastAsia="fr-FR"/>
              </w:rPr>
            </w:pPr>
            <w:r w:rsidRPr="00F4758C">
              <w:rPr>
                <w:lang w:val="en-GB" w:eastAsia="fr-FR"/>
              </w:rPr>
              <w:t>To ensure that the required skills are present at every stage of the digital design, production and maintenance process.</w:t>
            </w:r>
          </w:p>
        </w:tc>
      </w:tr>
      <w:tr w:rsidR="00D702F6" w:rsidRPr="004B4BDE" w14:paraId="2BB1C5A0" w14:textId="77777777">
        <w:trPr>
          <w:trHeight w:val="2220"/>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3B4A0004" w14:textId="174332BA" w:rsidR="00D702F6" w:rsidRPr="00F4758C" w:rsidRDefault="00D702F6" w:rsidP="00E76792">
            <w:pPr>
              <w:ind w:left="168" w:right="106"/>
              <w:jc w:val="left"/>
              <w:rPr>
                <w:lang w:val="en-GB" w:eastAsia="fr-FR"/>
              </w:rPr>
            </w:pPr>
            <w:r w:rsidRPr="00F4758C">
              <w:rPr>
                <w:lang w:val="en-GB" w:eastAsia="fr-FR"/>
              </w:rPr>
              <w:t xml:space="preserve">Rate of content validation by </w:t>
            </w:r>
            <w:r w:rsidR="00230C35" w:rsidRPr="00F4758C">
              <w:rPr>
                <w:lang w:val="en-GB" w:eastAsia="fr-FR"/>
              </w:rPr>
              <w:t>digital accessibility</w:t>
            </w:r>
            <w:r w:rsidRPr="00F4758C">
              <w:rPr>
                <w:lang w:val="en-GB" w:eastAsia="fr-FR"/>
              </w:rPr>
              <w:t xml:space="preserve"> leads within business units</w:t>
            </w:r>
          </w:p>
        </w:tc>
        <w:tc>
          <w:tcPr>
            <w:tcW w:w="0" w:type="auto"/>
            <w:tcBorders>
              <w:top w:val="single" w:sz="6" w:space="0" w:color="CCCCCC"/>
              <w:left w:val="single" w:sz="6" w:space="0" w:color="CCCCCC"/>
              <w:bottom w:val="single" w:sz="6" w:space="0" w:color="CCCCCC"/>
              <w:right w:val="single" w:sz="6" w:space="0" w:color="CCCCCC"/>
            </w:tcBorders>
            <w:hideMark/>
          </w:tcPr>
          <w:p w14:paraId="20EF5AB8" w14:textId="0F1E95C9" w:rsidR="00D702F6" w:rsidRPr="00F4758C" w:rsidRDefault="00D702F6" w:rsidP="00E76792">
            <w:pPr>
              <w:ind w:left="168" w:right="106"/>
              <w:jc w:val="left"/>
              <w:rPr>
                <w:lang w:val="en-GB" w:eastAsia="fr-FR"/>
              </w:rPr>
            </w:pPr>
            <w:r w:rsidRPr="00F4758C">
              <w:rPr>
                <w:lang w:val="en-GB" w:eastAsia="fr-FR"/>
              </w:rPr>
              <w:t xml:space="preserve">Percentage of </w:t>
            </w:r>
            <w:r w:rsidR="00517094" w:rsidRPr="00F4758C">
              <w:rPr>
                <w:lang w:val="en-GB" w:eastAsia="fr-FR"/>
              </w:rPr>
              <w:t>published</w:t>
            </w:r>
            <w:r w:rsidRPr="00F4758C">
              <w:rPr>
                <w:lang w:val="en-GB" w:eastAsia="fr-FR"/>
              </w:rPr>
              <w:t xml:space="preserve"> content (text, PDF documents, videos) that has been validated by digital accessibility leads within business departments (Communications, HR, Legal, etc.).</w:t>
            </w:r>
          </w:p>
        </w:tc>
        <w:tc>
          <w:tcPr>
            <w:tcW w:w="0" w:type="auto"/>
            <w:tcBorders>
              <w:top w:val="single" w:sz="6" w:space="0" w:color="CCCCCC"/>
              <w:left w:val="single" w:sz="6" w:space="0" w:color="CCCCCC"/>
              <w:bottom w:val="single" w:sz="6" w:space="0" w:color="CCCCCC"/>
              <w:right w:val="single" w:sz="6" w:space="0" w:color="CCCCCC"/>
            </w:tcBorders>
            <w:hideMark/>
          </w:tcPr>
          <w:p w14:paraId="19780057" w14:textId="77777777" w:rsidR="00D702F6" w:rsidRPr="00F4758C" w:rsidRDefault="00D702F6" w:rsidP="00E76792">
            <w:pPr>
              <w:ind w:left="168" w:right="106"/>
              <w:jc w:val="left"/>
              <w:rPr>
                <w:lang w:val="en-GB" w:eastAsia="fr-FR"/>
              </w:rPr>
            </w:pPr>
            <w:r w:rsidRPr="00F4758C">
              <w:rPr>
                <w:lang w:val="en-GB" w:eastAsia="fr-FR"/>
              </w:rPr>
              <w:t>Decentralise responsibility for accessibility and integrate it into the day-to-day practices of business and IT projects.</w:t>
            </w:r>
          </w:p>
        </w:tc>
      </w:tr>
      <w:tr w:rsidR="00D702F6" w:rsidRPr="004B4BDE" w14:paraId="6843080E" w14:textId="77777777">
        <w:trPr>
          <w:trHeight w:val="1575"/>
        </w:trPr>
        <w:tc>
          <w:tcPr>
            <w:tcW w:w="0" w:type="auto"/>
            <w:tcBorders>
              <w:top w:val="single" w:sz="6" w:space="0" w:color="CCCCCC"/>
              <w:left w:val="single" w:sz="6" w:space="0" w:color="CCCCCC"/>
              <w:bottom w:val="single" w:sz="6" w:space="0" w:color="CCCCCC"/>
              <w:right w:val="single" w:sz="6" w:space="0" w:color="CCCCCC"/>
            </w:tcBorders>
            <w:shd w:val="clear" w:color="auto" w:fill="EFEFEF"/>
            <w:hideMark/>
          </w:tcPr>
          <w:p w14:paraId="5DF7518E" w14:textId="77777777" w:rsidR="00D702F6" w:rsidRPr="00F4758C" w:rsidRDefault="00D702F6" w:rsidP="00E76792">
            <w:pPr>
              <w:ind w:left="168" w:right="106"/>
              <w:jc w:val="left"/>
              <w:rPr>
                <w:lang w:val="en-GB" w:eastAsia="fr-FR"/>
              </w:rPr>
            </w:pPr>
            <w:r w:rsidRPr="00F4758C">
              <w:rPr>
                <w:lang w:val="en-GB" w:eastAsia="fr-FR"/>
              </w:rPr>
              <w:t>Rate of inclusion in contractual documents</w:t>
            </w:r>
          </w:p>
        </w:tc>
        <w:tc>
          <w:tcPr>
            <w:tcW w:w="0" w:type="auto"/>
            <w:tcBorders>
              <w:top w:val="single" w:sz="6" w:space="0" w:color="CCCCCC"/>
              <w:left w:val="single" w:sz="6" w:space="0" w:color="CCCCCC"/>
              <w:bottom w:val="single" w:sz="6" w:space="0" w:color="CCCCCC"/>
              <w:right w:val="single" w:sz="6" w:space="0" w:color="CCCCCC"/>
            </w:tcBorders>
            <w:hideMark/>
          </w:tcPr>
          <w:p w14:paraId="7400AAE5" w14:textId="77777777" w:rsidR="00D702F6" w:rsidRPr="00F4758C" w:rsidRDefault="00D702F6" w:rsidP="00E76792">
            <w:pPr>
              <w:ind w:left="168" w:right="106"/>
              <w:jc w:val="left"/>
              <w:rPr>
                <w:lang w:val="en-GB" w:eastAsia="fr-FR"/>
              </w:rPr>
            </w:pPr>
            <w:r w:rsidRPr="00F4758C">
              <w:rPr>
                <w:lang w:val="en-GB" w:eastAsia="fr-FR"/>
              </w:rPr>
              <w:t>Percentage of new tenders or supplier contracts incorporating clear accessibility clauses and requirements.</w:t>
            </w:r>
          </w:p>
        </w:tc>
        <w:tc>
          <w:tcPr>
            <w:tcW w:w="0" w:type="auto"/>
            <w:tcBorders>
              <w:top w:val="single" w:sz="6" w:space="0" w:color="CCCCCC"/>
              <w:left w:val="single" w:sz="6" w:space="0" w:color="CCCCCC"/>
              <w:bottom w:val="single" w:sz="6" w:space="0" w:color="CCCCCC"/>
              <w:right w:val="single" w:sz="6" w:space="0" w:color="CCCCCC"/>
            </w:tcBorders>
            <w:hideMark/>
          </w:tcPr>
          <w:p w14:paraId="58A90C20" w14:textId="77777777" w:rsidR="00D702F6" w:rsidRPr="00F4758C" w:rsidRDefault="00D702F6" w:rsidP="00E76792">
            <w:pPr>
              <w:ind w:left="168" w:right="106"/>
              <w:jc w:val="left"/>
              <w:rPr>
                <w:lang w:val="en-GB" w:eastAsia="fr-FR"/>
              </w:rPr>
            </w:pPr>
            <w:r w:rsidRPr="00F4758C">
              <w:rPr>
                <w:lang w:val="en-GB" w:eastAsia="fr-FR"/>
              </w:rPr>
              <w:t>Formalise and systematise accessibility requirements with external partners.</w:t>
            </w:r>
          </w:p>
        </w:tc>
      </w:tr>
    </w:tbl>
    <w:p w14:paraId="6E98F885" w14:textId="77777777" w:rsidR="00D702F6" w:rsidRPr="00F4758C" w:rsidRDefault="00D702F6" w:rsidP="00D702F6">
      <w:pPr>
        <w:rPr>
          <w:lang w:val="en-GB" w:eastAsia="fr-FR"/>
        </w:rPr>
      </w:pPr>
    </w:p>
    <w:tbl>
      <w:tblPr>
        <w:tblW w:w="5000" w:type="pct"/>
        <w:jc w:val="center"/>
        <w:tblBorders>
          <w:top w:val="single" w:sz="18" w:space="0" w:color="155E48"/>
          <w:left w:val="single" w:sz="18" w:space="0" w:color="155E48"/>
          <w:bottom w:val="single" w:sz="18" w:space="0" w:color="155E48"/>
          <w:right w:val="single" w:sz="18" w:space="0" w:color="155E48"/>
        </w:tblBorders>
        <w:shd w:val="clear" w:color="auto" w:fill="E2EFD9" w:themeFill="accent6" w:themeFillTint="33"/>
        <w:tblLayout w:type="fixed"/>
        <w:tblCellMar>
          <w:top w:w="284" w:type="dxa"/>
          <w:left w:w="284" w:type="dxa"/>
          <w:bottom w:w="284" w:type="dxa"/>
          <w:right w:w="284" w:type="dxa"/>
        </w:tblCellMar>
        <w:tblLook w:val="0420" w:firstRow="1" w:lastRow="0" w:firstColumn="0" w:lastColumn="0" w:noHBand="0" w:noVBand="1"/>
      </w:tblPr>
      <w:tblGrid>
        <w:gridCol w:w="9070"/>
      </w:tblGrid>
      <w:tr w:rsidR="00D702F6" w:rsidRPr="004B4BDE" w14:paraId="07ECFBB3" w14:textId="77777777" w:rsidTr="003D17A2">
        <w:trPr>
          <w:jc w:val="center"/>
        </w:trPr>
        <w:tc>
          <w:tcPr>
            <w:tcW w:w="9047" w:type="dxa"/>
            <w:tcBorders>
              <w:top w:val="nil"/>
              <w:left w:val="nil"/>
              <w:bottom w:val="nil"/>
              <w:right w:val="nil"/>
            </w:tcBorders>
            <w:shd w:val="clear" w:color="auto" w:fill="E2EFD9" w:themeFill="accent6" w:themeFillTint="33"/>
          </w:tcPr>
          <w:p w14:paraId="20FA9773" w14:textId="2ACB106D" w:rsidR="00D702F6" w:rsidRPr="00F4758C" w:rsidRDefault="004602C8" w:rsidP="004C7112">
            <w:pPr>
              <w:pStyle w:val="retenir"/>
              <w:rPr>
                <w:lang w:val="en-GB"/>
              </w:rPr>
            </w:pPr>
            <w:bookmarkStart w:id="73" w:name="_Toc230077028"/>
            <w:r w:rsidRPr="00F4758C">
              <w:rPr>
                <w:lang w:val="en-GB"/>
              </w:rPr>
              <w:lastRenderedPageBreak/>
              <w:t>Key takeaway</w:t>
            </w:r>
            <w:bookmarkEnd w:id="73"/>
          </w:p>
          <w:p w14:paraId="4890DCAF" w14:textId="04AB2283" w:rsidR="00D702F6" w:rsidRDefault="00BA7EFA" w:rsidP="00064C74">
            <w:pPr>
              <w:rPr>
                <w:lang w:eastAsia="fr-FR"/>
              </w:rPr>
            </w:pPr>
            <w:r w:rsidRPr="00F4758C">
              <w:rPr>
                <w:lang w:val="en-GB" w:eastAsia="fr-FR"/>
              </w:rPr>
              <w:t xml:space="preserve">Ensuring digital accessibility cannot be improvised: </w:t>
            </w:r>
            <w:r w:rsidR="00981EEC" w:rsidRPr="00F4758C">
              <w:rPr>
                <w:lang w:val="en-GB" w:eastAsia="fr-FR"/>
              </w:rPr>
              <w:t xml:space="preserve">it </w:t>
            </w:r>
            <w:r w:rsidRPr="00F4758C">
              <w:rPr>
                <w:lang w:val="en-GB" w:eastAsia="fr-FR"/>
              </w:rPr>
              <w:t xml:space="preserve">must be planned for, structured and maintained throughout the project lifecycle, </w:t>
            </w:r>
            <w:r w:rsidR="00D327BA" w:rsidRPr="00F4758C">
              <w:rPr>
                <w:lang w:val="en-GB" w:eastAsia="fr-FR"/>
              </w:rPr>
              <w:t xml:space="preserve">combining </w:t>
            </w:r>
            <w:r w:rsidR="009D1CBC" w:rsidRPr="00F4758C">
              <w:rPr>
                <w:lang w:val="en-GB" w:eastAsia="fr-FR"/>
              </w:rPr>
              <w:t xml:space="preserve">appropriate </w:t>
            </w:r>
            <w:r w:rsidRPr="00F4758C">
              <w:rPr>
                <w:lang w:val="en-GB" w:eastAsia="fr-FR"/>
              </w:rPr>
              <w:t xml:space="preserve">methods, </w:t>
            </w:r>
            <w:r w:rsidR="00D327BA" w:rsidRPr="00F4758C">
              <w:rPr>
                <w:lang w:val="en-GB" w:eastAsia="fr-FR"/>
              </w:rPr>
              <w:t xml:space="preserve">tools </w:t>
            </w:r>
            <w:r w:rsidRPr="00F4758C">
              <w:rPr>
                <w:lang w:val="en-GB" w:eastAsia="fr-FR"/>
              </w:rPr>
              <w:t xml:space="preserve">and governance. </w:t>
            </w:r>
            <w:r w:rsidRPr="00BA7EFA">
              <w:rPr>
                <w:lang w:eastAsia="fr-FR"/>
              </w:rPr>
              <w:t>To achieve this, several best practices should be implemented:</w:t>
            </w:r>
          </w:p>
          <w:p w14:paraId="12C806CE" w14:textId="335DC6C3" w:rsidR="00186503" w:rsidRPr="00F4758C" w:rsidRDefault="00D702F6">
            <w:pPr>
              <w:pStyle w:val="Paragraphedeliste"/>
              <w:numPr>
                <w:ilvl w:val="0"/>
                <w:numId w:val="49"/>
              </w:numPr>
              <w:rPr>
                <w:lang w:val="en-GB" w:eastAsia="fr-FR"/>
              </w:rPr>
            </w:pPr>
            <w:r w:rsidRPr="00F4758C">
              <w:rPr>
                <w:lang w:val="en-GB" w:eastAsia="fr-FR"/>
              </w:rPr>
              <w:t xml:space="preserve">Take digital accessibility into account </w:t>
            </w:r>
            <w:r w:rsidR="00402C31" w:rsidRPr="001F2368">
              <w:rPr>
                <w:lang w:val="en-GB" w:eastAsia="fr-FR"/>
              </w:rPr>
              <w:t xml:space="preserve">by design </w:t>
            </w:r>
            <w:r w:rsidRPr="00F4758C">
              <w:rPr>
                <w:lang w:val="en-GB" w:eastAsia="fr-FR"/>
              </w:rPr>
              <w:t xml:space="preserve">from the project scoping stage onwards, and </w:t>
            </w:r>
            <w:r w:rsidR="00D327BA" w:rsidRPr="00F4758C">
              <w:rPr>
                <w:lang w:val="en-GB" w:eastAsia="fr-FR"/>
              </w:rPr>
              <w:t xml:space="preserve">at every phase </w:t>
            </w:r>
            <w:r w:rsidRPr="00F4758C">
              <w:rPr>
                <w:lang w:val="en-GB" w:eastAsia="fr-FR"/>
              </w:rPr>
              <w:t xml:space="preserve">throughout </w:t>
            </w:r>
            <w:r w:rsidR="00D327BA" w:rsidRPr="00F4758C">
              <w:rPr>
                <w:lang w:val="en-GB" w:eastAsia="fr-FR"/>
              </w:rPr>
              <w:t xml:space="preserve">the project </w:t>
            </w:r>
            <w:r w:rsidRPr="00F4758C">
              <w:rPr>
                <w:lang w:val="en-GB" w:eastAsia="fr-FR"/>
              </w:rPr>
              <w:t>lifecycle;</w:t>
            </w:r>
          </w:p>
          <w:p w14:paraId="1EB9D7FE" w14:textId="225861E5" w:rsidR="00186503" w:rsidRPr="00F4758C" w:rsidRDefault="00186503">
            <w:pPr>
              <w:pStyle w:val="Paragraphedeliste"/>
              <w:numPr>
                <w:ilvl w:val="0"/>
                <w:numId w:val="49"/>
              </w:numPr>
              <w:rPr>
                <w:lang w:val="en-GB" w:eastAsia="fr-FR"/>
              </w:rPr>
            </w:pPr>
            <w:r w:rsidRPr="00F4758C">
              <w:rPr>
                <w:lang w:val="en-GB" w:eastAsia="fr-FR"/>
              </w:rPr>
              <w:t xml:space="preserve">Include </w:t>
            </w:r>
            <w:r w:rsidRPr="00F4758C">
              <w:rPr>
                <w:i/>
                <w:iCs/>
                <w:lang w:val="en-GB" w:eastAsia="fr-FR"/>
              </w:rPr>
              <w:t xml:space="preserve">personas </w:t>
            </w:r>
            <w:r w:rsidRPr="00F4758C">
              <w:rPr>
                <w:lang w:val="en-GB" w:eastAsia="fr-FR"/>
              </w:rPr>
              <w:t>representing people with disabilities;</w:t>
            </w:r>
          </w:p>
          <w:p w14:paraId="5A9FE5DE" w14:textId="52041C28" w:rsidR="00186503" w:rsidRPr="00F4758C" w:rsidRDefault="00186503">
            <w:pPr>
              <w:pStyle w:val="Paragraphedeliste"/>
              <w:numPr>
                <w:ilvl w:val="0"/>
                <w:numId w:val="49"/>
              </w:numPr>
              <w:rPr>
                <w:lang w:val="en-GB" w:eastAsia="fr-FR"/>
              </w:rPr>
            </w:pPr>
            <w:r w:rsidRPr="00F4758C">
              <w:rPr>
                <w:lang w:val="en-GB" w:eastAsia="fr-FR"/>
              </w:rPr>
              <w:t>Design user journeys taking into account real-world usage constraints;</w:t>
            </w:r>
          </w:p>
          <w:p w14:paraId="00C58760" w14:textId="768B024B" w:rsidR="00186503" w:rsidRPr="00F4758C" w:rsidRDefault="00186503">
            <w:pPr>
              <w:pStyle w:val="Paragraphedeliste"/>
              <w:numPr>
                <w:ilvl w:val="0"/>
                <w:numId w:val="49"/>
              </w:numPr>
              <w:rPr>
                <w:lang w:val="en-GB" w:eastAsia="fr-FR"/>
              </w:rPr>
            </w:pPr>
            <w:r w:rsidRPr="00F4758C">
              <w:rPr>
                <w:lang w:val="en-GB" w:eastAsia="fr-FR"/>
              </w:rPr>
              <w:t>Measure the quality of experience, not just compliance;</w:t>
            </w:r>
          </w:p>
          <w:p w14:paraId="665E98B2" w14:textId="77777777" w:rsidR="00D702F6" w:rsidRPr="00F4758C" w:rsidRDefault="00D702F6">
            <w:pPr>
              <w:pStyle w:val="Paragraphedeliste"/>
              <w:numPr>
                <w:ilvl w:val="0"/>
                <w:numId w:val="49"/>
              </w:numPr>
              <w:rPr>
                <w:lang w:val="en-GB" w:eastAsia="fr-FR"/>
              </w:rPr>
            </w:pPr>
            <w:r w:rsidRPr="00F4758C">
              <w:rPr>
                <w:lang w:val="en-GB" w:eastAsia="fr-FR"/>
              </w:rPr>
              <w:t>For existing systems, weigh up the options between corrective maintenance (patches) and a complete overhaul, the latter often proving more cost-effective and robust in the long term;</w:t>
            </w:r>
          </w:p>
          <w:p w14:paraId="5614C253" w14:textId="3F9B3987" w:rsidR="00D702F6" w:rsidRPr="00F4758C" w:rsidRDefault="009D1CBC">
            <w:pPr>
              <w:pStyle w:val="Paragraphedeliste"/>
              <w:numPr>
                <w:ilvl w:val="0"/>
                <w:numId w:val="49"/>
              </w:numPr>
              <w:rPr>
                <w:lang w:val="en-GB" w:eastAsia="fr-FR"/>
              </w:rPr>
            </w:pPr>
            <w:r w:rsidRPr="00F4758C">
              <w:rPr>
                <w:lang w:val="en-GB" w:eastAsia="fr-FR"/>
              </w:rPr>
              <w:t xml:space="preserve">Involve </w:t>
            </w:r>
            <w:r w:rsidR="00D702F6" w:rsidRPr="00F4758C">
              <w:rPr>
                <w:lang w:val="en-GB" w:eastAsia="fr-FR"/>
              </w:rPr>
              <w:t xml:space="preserve">users with disabilities </w:t>
            </w:r>
            <w:r w:rsidRPr="00F4758C">
              <w:rPr>
                <w:lang w:val="en-GB" w:eastAsia="fr-FR"/>
              </w:rPr>
              <w:t>throughout the testing phases and during pre-audits</w:t>
            </w:r>
            <w:r w:rsidR="00D702F6" w:rsidRPr="00F4758C">
              <w:rPr>
                <w:lang w:val="en-GB" w:eastAsia="fr-FR"/>
              </w:rPr>
              <w:t>;</w:t>
            </w:r>
          </w:p>
          <w:p w14:paraId="756FC5F0" w14:textId="3122115C" w:rsidR="00D702F6" w:rsidRPr="00F4758C" w:rsidRDefault="00BA7EFA">
            <w:pPr>
              <w:pStyle w:val="Paragraphedeliste"/>
              <w:numPr>
                <w:ilvl w:val="0"/>
                <w:numId w:val="49"/>
              </w:numPr>
              <w:rPr>
                <w:lang w:val="en-GB" w:eastAsia="fr-FR"/>
              </w:rPr>
            </w:pPr>
            <w:r w:rsidRPr="00F4758C">
              <w:rPr>
                <w:lang w:val="en-GB" w:eastAsia="fr-FR"/>
              </w:rPr>
              <w:t xml:space="preserve">Develop </w:t>
            </w:r>
            <w:r w:rsidR="00D702F6" w:rsidRPr="00F4758C">
              <w:rPr>
                <w:lang w:val="en-GB" w:eastAsia="fr-FR"/>
              </w:rPr>
              <w:t xml:space="preserve">design standards </w:t>
            </w:r>
            <w:r w:rsidR="00C70D0D" w:rsidRPr="00F4758C">
              <w:rPr>
                <w:lang w:val="en-GB" w:eastAsia="fr-FR"/>
              </w:rPr>
              <w:t xml:space="preserve">within </w:t>
            </w:r>
            <w:r w:rsidR="00D702F6" w:rsidRPr="001F2368">
              <w:rPr>
                <w:lang w:val="en-GB" w:eastAsia="fr-FR"/>
              </w:rPr>
              <w:t xml:space="preserve">design </w:t>
            </w:r>
            <w:r w:rsidR="00110AD0" w:rsidRPr="001F2368">
              <w:rPr>
                <w:lang w:val="en-GB" w:eastAsia="fr-FR"/>
              </w:rPr>
              <w:t xml:space="preserve">systems </w:t>
            </w:r>
            <w:r w:rsidR="00C70D0D" w:rsidRPr="001F2368">
              <w:rPr>
                <w:lang w:val="en-GB" w:eastAsia="fr-FR"/>
              </w:rPr>
              <w:t xml:space="preserve">that </w:t>
            </w:r>
            <w:r w:rsidR="00D702F6" w:rsidRPr="00F4758C">
              <w:rPr>
                <w:lang w:val="en-GB" w:eastAsia="fr-FR"/>
              </w:rPr>
              <w:t>incorporate digital accessibility requirements by default;</w:t>
            </w:r>
          </w:p>
          <w:p w14:paraId="5C097595" w14:textId="0B885559" w:rsidR="00D702F6" w:rsidRPr="00F4758C" w:rsidRDefault="00C70D0D">
            <w:pPr>
              <w:pStyle w:val="Paragraphedeliste"/>
              <w:numPr>
                <w:ilvl w:val="0"/>
                <w:numId w:val="49"/>
              </w:numPr>
              <w:rPr>
                <w:lang w:val="en-GB" w:eastAsia="fr-FR"/>
              </w:rPr>
            </w:pPr>
            <w:r w:rsidRPr="00F4758C">
              <w:rPr>
                <w:lang w:val="en-GB" w:eastAsia="fr-FR"/>
              </w:rPr>
              <w:t>Include</w:t>
            </w:r>
            <w:r w:rsidR="00D327BA" w:rsidRPr="00F4758C">
              <w:rPr>
                <w:lang w:val="en-GB" w:eastAsia="fr-FR"/>
              </w:rPr>
              <w:t xml:space="preserve">, </w:t>
            </w:r>
            <w:r w:rsidR="00D702F6" w:rsidRPr="00F4758C">
              <w:rPr>
                <w:lang w:val="en-GB" w:eastAsia="fr-FR"/>
              </w:rPr>
              <w:t xml:space="preserve">within the </w:t>
            </w:r>
            <w:r w:rsidR="00D702F6" w:rsidRPr="001F2368">
              <w:rPr>
                <w:lang w:val="en-GB" w:eastAsia="fr-FR"/>
              </w:rPr>
              <w:t xml:space="preserve">design system </w:t>
            </w:r>
            <w:r w:rsidR="00D702F6" w:rsidRPr="00F4758C">
              <w:rPr>
                <w:lang w:val="en-GB" w:eastAsia="fr-FR"/>
              </w:rPr>
              <w:t>for projects</w:t>
            </w:r>
            <w:r w:rsidR="00D327BA" w:rsidRPr="00F4758C">
              <w:rPr>
                <w:lang w:val="en-GB" w:eastAsia="fr-FR"/>
              </w:rPr>
              <w:t xml:space="preserve">, </w:t>
            </w:r>
            <w:r w:rsidR="00D702F6" w:rsidRPr="00F4758C">
              <w:rPr>
                <w:lang w:val="en-GB" w:eastAsia="fr-FR"/>
              </w:rPr>
              <w:t>rules for blocking or approving based on compliance or non-compliance with digital accessibility criteria;</w:t>
            </w:r>
          </w:p>
          <w:p w14:paraId="71F0B675" w14:textId="59B88FED" w:rsidR="00D702F6" w:rsidRPr="00F4758C" w:rsidRDefault="00D702F6">
            <w:pPr>
              <w:pStyle w:val="Paragraphedeliste"/>
              <w:numPr>
                <w:ilvl w:val="0"/>
                <w:numId w:val="49"/>
              </w:numPr>
              <w:rPr>
                <w:lang w:val="en-GB" w:eastAsia="fr-FR"/>
              </w:rPr>
            </w:pPr>
            <w:r w:rsidRPr="00F4758C">
              <w:rPr>
                <w:lang w:val="en-GB" w:eastAsia="fr-FR"/>
              </w:rPr>
              <w:t xml:space="preserve">Equip the organisation with the necessary resources (training, external support, audits, automated test monitoring, etc.) and ensure that developers receive training, particularly </w:t>
            </w:r>
            <w:r w:rsidR="00981EEC" w:rsidRPr="00F4758C">
              <w:rPr>
                <w:lang w:val="en-GB" w:eastAsia="fr-FR"/>
              </w:rPr>
              <w:t xml:space="preserve">regarding </w:t>
            </w:r>
            <w:r w:rsidRPr="00F4758C">
              <w:rPr>
                <w:lang w:val="en-GB" w:eastAsia="fr-FR"/>
              </w:rPr>
              <w:t>testing tools and the interpretation of results;</w:t>
            </w:r>
          </w:p>
          <w:p w14:paraId="3A94A4D5" w14:textId="5B903DD7" w:rsidR="00D702F6" w:rsidRPr="00F4758C" w:rsidRDefault="00D702F6">
            <w:pPr>
              <w:pStyle w:val="Paragraphedeliste"/>
              <w:numPr>
                <w:ilvl w:val="0"/>
                <w:numId w:val="49"/>
              </w:numPr>
              <w:rPr>
                <w:lang w:val="en-GB" w:eastAsia="fr-FR"/>
              </w:rPr>
            </w:pPr>
            <w:r w:rsidRPr="00F4758C">
              <w:rPr>
                <w:lang w:val="en-GB" w:eastAsia="fr-FR"/>
              </w:rPr>
              <w:t xml:space="preserve">Regularly update the digital accessibility statement – </w:t>
            </w:r>
            <w:r w:rsidR="0056162A" w:rsidRPr="00F4758C">
              <w:rPr>
                <w:lang w:val="en-GB" w:eastAsia="fr-FR"/>
              </w:rPr>
              <w:t xml:space="preserve">a task reserved </w:t>
            </w:r>
            <w:r w:rsidRPr="00F4758C">
              <w:rPr>
                <w:lang w:val="en-GB" w:eastAsia="fr-FR"/>
              </w:rPr>
              <w:t xml:space="preserve">exclusively </w:t>
            </w:r>
            <w:r w:rsidR="0056162A" w:rsidRPr="00F4758C">
              <w:rPr>
                <w:lang w:val="en-GB" w:eastAsia="fr-FR"/>
              </w:rPr>
              <w:t xml:space="preserve">for designated </w:t>
            </w:r>
            <w:r w:rsidRPr="00F4758C">
              <w:rPr>
                <w:lang w:val="en-GB" w:eastAsia="fr-FR"/>
              </w:rPr>
              <w:t>leads;</w:t>
            </w:r>
          </w:p>
          <w:p w14:paraId="13BE55C4" w14:textId="7F59C325" w:rsidR="00D702F6" w:rsidRPr="00F4758C" w:rsidRDefault="00D702F6">
            <w:pPr>
              <w:pStyle w:val="Paragraphedeliste"/>
              <w:numPr>
                <w:ilvl w:val="0"/>
                <w:numId w:val="49"/>
              </w:numPr>
              <w:rPr>
                <w:lang w:val="en-GB" w:eastAsia="fr-FR"/>
              </w:rPr>
            </w:pPr>
            <w:r w:rsidRPr="00F4758C">
              <w:rPr>
                <w:lang w:val="en-GB" w:eastAsia="fr-FR"/>
              </w:rPr>
              <w:t xml:space="preserve">Monitor progress and areas for improvement using a </w:t>
            </w:r>
            <w:r w:rsidR="00BD1AC1">
              <w:rPr>
                <w:lang w:val="en-GB" w:eastAsia="fr-FR"/>
              </w:rPr>
              <w:t>“</w:t>
            </w:r>
            <w:r w:rsidRPr="00F4758C">
              <w:rPr>
                <w:lang w:val="en-GB" w:eastAsia="fr-FR"/>
              </w:rPr>
              <w:t>digital accessibility</w:t>
            </w:r>
            <w:r w:rsidR="00BD1AC1">
              <w:rPr>
                <w:lang w:val="en-GB" w:eastAsia="fr-FR"/>
              </w:rPr>
              <w:t>”</w:t>
            </w:r>
            <w:r w:rsidRPr="00F4758C">
              <w:rPr>
                <w:lang w:val="en-GB" w:eastAsia="fr-FR"/>
              </w:rPr>
              <w:t xml:space="preserve"> KPI dashboard. </w:t>
            </w:r>
          </w:p>
        </w:tc>
      </w:tr>
    </w:tbl>
    <w:p w14:paraId="1882F531" w14:textId="192AD512" w:rsidR="00D702F6" w:rsidRPr="00F4758C" w:rsidRDefault="00D702F6" w:rsidP="00D702F6">
      <w:pPr>
        <w:rPr>
          <w:lang w:val="en-GB" w:eastAsia="fr-FR"/>
        </w:rPr>
      </w:pPr>
      <w:r w:rsidRPr="00F4758C">
        <w:rPr>
          <w:lang w:val="en-GB" w:eastAsia="fr-FR"/>
        </w:rPr>
        <w:br/>
      </w:r>
      <w:r w:rsidRPr="00F4758C">
        <w:rPr>
          <w:lang w:val="en-GB" w:eastAsia="fr-FR"/>
        </w:rPr>
        <w:br/>
      </w:r>
    </w:p>
    <w:p w14:paraId="73052932" w14:textId="3E1CE167" w:rsidR="00D702F6" w:rsidRPr="00F4758C" w:rsidRDefault="00CC3540" w:rsidP="00D702F6">
      <w:pPr>
        <w:pStyle w:val="Titre1"/>
        <w:rPr>
          <w:lang w:val="en-GB"/>
        </w:rPr>
      </w:pPr>
      <w:bookmarkStart w:id="74" w:name="_Toc230077029"/>
      <w:r w:rsidRPr="00F4758C">
        <w:rPr>
          <w:lang w:val="en-GB"/>
        </w:rPr>
        <w:lastRenderedPageBreak/>
        <w:t xml:space="preserve">Key points from </w:t>
      </w:r>
      <w:r w:rsidR="0098395F" w:rsidRPr="00F4758C">
        <w:rPr>
          <w:lang w:val="en-GB"/>
        </w:rPr>
        <w:t xml:space="preserve">the Action Principles </w:t>
      </w:r>
      <w:r w:rsidR="00D702F6" w:rsidRPr="00F4758C">
        <w:rPr>
          <w:lang w:val="en-GB"/>
        </w:rPr>
        <w:t>to support scaling up</w:t>
      </w:r>
      <w:bookmarkEnd w:id="74"/>
    </w:p>
    <w:p w14:paraId="6CB02CA1" w14:textId="5ACF686C" w:rsidR="00010689" w:rsidRPr="00F4758C" w:rsidRDefault="00010689" w:rsidP="00010689">
      <w:pPr>
        <w:tabs>
          <w:tab w:val="left" w:pos="1208"/>
        </w:tabs>
        <w:rPr>
          <w:lang w:val="en-GB" w:eastAsia="fr-FR"/>
        </w:rPr>
      </w:pPr>
      <w:r w:rsidRPr="00F4758C">
        <w:rPr>
          <w:lang w:val="en-GB" w:eastAsia="fr-FR"/>
        </w:rPr>
        <w:t xml:space="preserve">Having examined the requirements of the regulatory framework, defined the principles of structured governance and detailed the steering mechanisms essential for the </w:t>
      </w:r>
      <w:r w:rsidR="00037982" w:rsidRPr="00F4758C">
        <w:rPr>
          <w:lang w:val="en-GB" w:eastAsia="fr-FR"/>
        </w:rPr>
        <w:t xml:space="preserve">large-scale </w:t>
      </w:r>
      <w:r w:rsidRPr="00F4758C">
        <w:rPr>
          <w:lang w:val="en-GB" w:eastAsia="fr-FR"/>
        </w:rPr>
        <w:t xml:space="preserve">roll-out </w:t>
      </w:r>
      <w:r w:rsidR="00037982" w:rsidRPr="00F4758C">
        <w:rPr>
          <w:lang w:val="en-GB" w:eastAsia="fr-FR"/>
        </w:rPr>
        <w:t>of digital accessibility</w:t>
      </w:r>
      <w:r w:rsidRPr="00F4758C">
        <w:rPr>
          <w:lang w:val="en-GB" w:eastAsia="fr-FR"/>
        </w:rPr>
        <w:t xml:space="preserve">, this fourth part aims </w:t>
      </w:r>
      <w:r w:rsidR="00C21ECB" w:rsidRPr="00F4758C">
        <w:rPr>
          <w:lang w:val="en-GB" w:eastAsia="fr-FR"/>
        </w:rPr>
        <w:t xml:space="preserve">to provide a </w:t>
      </w:r>
      <w:r w:rsidR="00DC6797" w:rsidRPr="00F4758C">
        <w:rPr>
          <w:b/>
          <w:bCs/>
          <w:lang w:val="en-GB" w:eastAsia="fr-FR"/>
        </w:rPr>
        <w:t xml:space="preserve">summary </w:t>
      </w:r>
      <w:r w:rsidR="00C21ECB" w:rsidRPr="00F4758C">
        <w:rPr>
          <w:b/>
          <w:bCs/>
          <w:lang w:val="en-GB" w:eastAsia="fr-FR"/>
        </w:rPr>
        <w:t xml:space="preserve">of the key principles </w:t>
      </w:r>
      <w:r w:rsidR="00C21ECB" w:rsidRPr="00F4758C">
        <w:rPr>
          <w:lang w:val="en-GB" w:eastAsia="fr-FR"/>
        </w:rPr>
        <w:t xml:space="preserve">that must not be overlooked in order to successfully implement digital accessibility initiatives. </w:t>
      </w:r>
    </w:p>
    <w:p w14:paraId="358E7FE9" w14:textId="0B1D1504" w:rsidR="00010689" w:rsidRPr="00F4758C" w:rsidRDefault="00010689" w:rsidP="00010689">
      <w:pPr>
        <w:tabs>
          <w:tab w:val="left" w:pos="1208"/>
        </w:tabs>
        <w:rPr>
          <w:lang w:val="en-GB" w:eastAsia="fr-FR"/>
        </w:rPr>
      </w:pPr>
      <w:r w:rsidRPr="00F4758C">
        <w:rPr>
          <w:lang w:val="en-GB" w:eastAsia="fr-FR"/>
        </w:rPr>
        <w:t xml:space="preserve">Designed as a practical summary of the working group’s deliberations, this section aims to address the requirements for </w:t>
      </w:r>
      <w:r w:rsidR="00402C31" w:rsidRPr="00F4758C">
        <w:rPr>
          <w:lang w:val="en-GB" w:eastAsia="fr-FR"/>
        </w:rPr>
        <w:t xml:space="preserve">scaling up digital accessibility </w:t>
      </w:r>
      <w:r w:rsidRPr="00F4758C">
        <w:rPr>
          <w:lang w:val="en-GB" w:eastAsia="fr-FR"/>
        </w:rPr>
        <w:t xml:space="preserve">and </w:t>
      </w:r>
      <w:r w:rsidR="00402C31" w:rsidRPr="00F4758C">
        <w:rPr>
          <w:lang w:val="en-GB" w:eastAsia="fr-FR"/>
        </w:rPr>
        <w:t xml:space="preserve">proposes </w:t>
      </w:r>
      <w:r w:rsidRPr="00F4758C">
        <w:rPr>
          <w:lang w:val="en-GB" w:eastAsia="fr-FR"/>
        </w:rPr>
        <w:t xml:space="preserve">two </w:t>
      </w:r>
      <w:r w:rsidR="00402C31" w:rsidRPr="00F4758C">
        <w:rPr>
          <w:lang w:val="en-GB" w:eastAsia="fr-FR"/>
        </w:rPr>
        <w:t>operational tools</w:t>
      </w:r>
      <w:r w:rsidRPr="00F4758C">
        <w:rPr>
          <w:lang w:val="en-GB" w:eastAsia="fr-FR"/>
        </w:rPr>
        <w:t>:</w:t>
      </w:r>
    </w:p>
    <w:p w14:paraId="2334861A" w14:textId="37428477" w:rsidR="00010689" w:rsidRPr="00F4758C" w:rsidRDefault="00010689">
      <w:pPr>
        <w:pStyle w:val="Paragraphedeliste"/>
        <w:numPr>
          <w:ilvl w:val="0"/>
          <w:numId w:val="68"/>
        </w:numPr>
        <w:tabs>
          <w:tab w:val="left" w:pos="1208"/>
        </w:tabs>
        <w:ind w:left="714" w:hanging="357"/>
        <w:rPr>
          <w:lang w:val="en-GB" w:eastAsia="fr-FR"/>
        </w:rPr>
      </w:pPr>
      <w:r w:rsidRPr="00F4758C">
        <w:rPr>
          <w:b/>
          <w:bCs/>
          <w:lang w:val="en-GB" w:eastAsia="fr-FR"/>
        </w:rPr>
        <w:t xml:space="preserve">An operational action framework </w:t>
      </w:r>
      <w:r w:rsidR="00402C31" w:rsidRPr="00F4758C">
        <w:rPr>
          <w:b/>
          <w:bCs/>
          <w:lang w:val="en-GB" w:eastAsia="fr-FR"/>
        </w:rPr>
        <w:t>(4.1)</w:t>
      </w:r>
      <w:r w:rsidRPr="00F4758C">
        <w:rPr>
          <w:lang w:val="en-GB" w:eastAsia="fr-FR"/>
        </w:rPr>
        <w:t xml:space="preserve">: in response to recurring bottlenecks (siloed working, a lack of standardised skills, and the need to demonstrate profitability), this section identifies all the strategic levers that can be utilised </w:t>
      </w:r>
      <w:r w:rsidR="00D327BA" w:rsidRPr="00F4758C">
        <w:rPr>
          <w:lang w:val="en-GB" w:eastAsia="fr-FR"/>
        </w:rPr>
        <w:t xml:space="preserve">and </w:t>
      </w:r>
      <w:r w:rsidRPr="00F4758C">
        <w:rPr>
          <w:lang w:val="en-GB" w:eastAsia="fr-FR"/>
        </w:rPr>
        <w:t>provides a framework of actions that organisations can implement directly to embark on their transformation.</w:t>
      </w:r>
    </w:p>
    <w:p w14:paraId="4A84813C" w14:textId="7428F515" w:rsidR="00010689" w:rsidRPr="00F4758C" w:rsidRDefault="00402C31">
      <w:pPr>
        <w:pStyle w:val="Paragraphedeliste"/>
        <w:numPr>
          <w:ilvl w:val="0"/>
          <w:numId w:val="68"/>
        </w:numPr>
        <w:tabs>
          <w:tab w:val="left" w:pos="1208"/>
        </w:tabs>
        <w:rPr>
          <w:lang w:val="en-GB" w:eastAsia="fr-FR"/>
        </w:rPr>
      </w:pPr>
      <w:r w:rsidRPr="00F4758C">
        <w:rPr>
          <w:b/>
          <w:bCs/>
          <w:lang w:val="en-GB" w:eastAsia="fr-FR"/>
        </w:rPr>
        <w:t xml:space="preserve">A methodology </w:t>
      </w:r>
      <w:r w:rsidR="00010689" w:rsidRPr="00F4758C">
        <w:rPr>
          <w:b/>
          <w:bCs/>
          <w:lang w:val="en-GB" w:eastAsia="fr-FR"/>
        </w:rPr>
        <w:t xml:space="preserve">for addressing </w:t>
      </w:r>
      <w:r w:rsidRPr="00F4758C">
        <w:rPr>
          <w:b/>
          <w:bCs/>
          <w:lang w:val="en-GB" w:eastAsia="fr-FR"/>
        </w:rPr>
        <w:t xml:space="preserve">the </w:t>
      </w:r>
      <w:r w:rsidR="00010689" w:rsidRPr="00F4758C">
        <w:rPr>
          <w:b/>
          <w:bCs/>
          <w:lang w:val="en-GB" w:eastAsia="fr-FR"/>
        </w:rPr>
        <w:t xml:space="preserve">three areas </w:t>
      </w:r>
      <w:r w:rsidR="00010689" w:rsidRPr="00F4758C">
        <w:rPr>
          <w:lang w:val="en-GB" w:eastAsia="fr-FR"/>
        </w:rPr>
        <w:t xml:space="preserve">identified as priorities by the group’s participants </w:t>
      </w:r>
      <w:r w:rsidRPr="00F4758C">
        <w:rPr>
          <w:b/>
          <w:bCs/>
          <w:lang w:val="en-GB" w:eastAsia="fr-FR"/>
        </w:rPr>
        <w:t>(4.2)</w:t>
      </w:r>
      <w:r w:rsidR="00010689" w:rsidRPr="00F4758C">
        <w:rPr>
          <w:lang w:val="en-GB" w:eastAsia="fr-FR"/>
        </w:rPr>
        <w:t>:</w:t>
      </w:r>
    </w:p>
    <w:p w14:paraId="6C78991F" w14:textId="719FD60F" w:rsidR="00010689" w:rsidRPr="00F4758C" w:rsidRDefault="00010689">
      <w:pPr>
        <w:pStyle w:val="Paragraphedeliste"/>
        <w:numPr>
          <w:ilvl w:val="2"/>
          <w:numId w:val="76"/>
        </w:numPr>
        <w:tabs>
          <w:tab w:val="left" w:pos="1208"/>
        </w:tabs>
        <w:rPr>
          <w:lang w:val="en-GB" w:eastAsia="fr-FR"/>
        </w:rPr>
      </w:pPr>
      <w:r w:rsidRPr="00F4758C">
        <w:rPr>
          <w:lang w:val="en-GB" w:eastAsia="fr-FR"/>
        </w:rPr>
        <w:t>Investing in awareness-raising and tailored training</w:t>
      </w:r>
      <w:r w:rsidR="00D327BA" w:rsidRPr="00F4758C">
        <w:rPr>
          <w:lang w:val="en-GB" w:eastAsia="fr-FR"/>
        </w:rPr>
        <w:t xml:space="preserve">; </w:t>
      </w:r>
    </w:p>
    <w:p w14:paraId="69973B96" w14:textId="7FCE2408" w:rsidR="00010689" w:rsidRPr="00F4758C" w:rsidRDefault="00010689">
      <w:pPr>
        <w:pStyle w:val="Paragraphedeliste"/>
        <w:numPr>
          <w:ilvl w:val="2"/>
          <w:numId w:val="76"/>
        </w:numPr>
        <w:tabs>
          <w:tab w:val="left" w:pos="1208"/>
        </w:tabs>
        <w:rPr>
          <w:lang w:val="en-GB" w:eastAsia="fr-FR"/>
        </w:rPr>
      </w:pPr>
      <w:r w:rsidRPr="00F4758C">
        <w:rPr>
          <w:lang w:val="en-GB" w:eastAsia="fr-FR"/>
        </w:rPr>
        <w:t>Establishing structured governance that is monitored over time, with dedicated bodies and committees</w:t>
      </w:r>
      <w:r w:rsidR="00D327BA" w:rsidRPr="00F4758C">
        <w:rPr>
          <w:lang w:val="en-GB" w:eastAsia="fr-FR"/>
        </w:rPr>
        <w:t>;</w:t>
      </w:r>
    </w:p>
    <w:p w14:paraId="1E877073" w14:textId="7FA14205" w:rsidR="00010689" w:rsidRPr="00F4758C" w:rsidRDefault="00010689">
      <w:pPr>
        <w:pStyle w:val="Paragraphedeliste"/>
        <w:numPr>
          <w:ilvl w:val="2"/>
          <w:numId w:val="76"/>
        </w:numPr>
        <w:tabs>
          <w:tab w:val="left" w:pos="1208"/>
        </w:tabs>
        <w:rPr>
          <w:lang w:val="en-GB" w:eastAsia="fr-FR"/>
        </w:rPr>
      </w:pPr>
      <w:r w:rsidRPr="00F4758C">
        <w:rPr>
          <w:lang w:val="en-GB" w:eastAsia="fr-FR"/>
        </w:rPr>
        <w:t>Ensure iterative monitoring throughout the entire project lifecycle</w:t>
      </w:r>
      <w:r w:rsidR="00D327BA" w:rsidRPr="00F4758C">
        <w:rPr>
          <w:lang w:val="en-GB" w:eastAsia="fr-FR"/>
        </w:rPr>
        <w:t xml:space="preserve">. </w:t>
      </w:r>
    </w:p>
    <w:p w14:paraId="6ACB4898" w14:textId="77777777" w:rsidR="00010689" w:rsidRPr="00F4758C" w:rsidRDefault="00010689" w:rsidP="00A76094">
      <w:pPr>
        <w:pStyle w:val="Paragraphedeliste"/>
        <w:tabs>
          <w:tab w:val="left" w:pos="1208"/>
        </w:tabs>
        <w:ind w:left="1440"/>
        <w:rPr>
          <w:lang w:val="en-GB" w:eastAsia="fr-FR"/>
        </w:rPr>
      </w:pPr>
    </w:p>
    <w:p w14:paraId="1124D45E" w14:textId="77777777" w:rsidR="00014773" w:rsidRPr="00F4758C" w:rsidRDefault="00014773" w:rsidP="00014773">
      <w:pPr>
        <w:tabs>
          <w:tab w:val="left" w:pos="1208"/>
        </w:tabs>
        <w:rPr>
          <w:lang w:val="en-GB" w:eastAsia="fr-FR"/>
        </w:rPr>
      </w:pPr>
    </w:p>
    <w:p w14:paraId="721CCD7A" w14:textId="77777777" w:rsidR="00010689" w:rsidRPr="00F4758C" w:rsidRDefault="00010689" w:rsidP="00014773">
      <w:pPr>
        <w:tabs>
          <w:tab w:val="left" w:pos="1208"/>
        </w:tabs>
        <w:rPr>
          <w:lang w:val="en-GB" w:eastAsia="fr-FR"/>
        </w:rPr>
      </w:pPr>
    </w:p>
    <w:p w14:paraId="01B31724" w14:textId="77777777" w:rsidR="00010689" w:rsidRPr="00F4758C" w:rsidRDefault="00010689" w:rsidP="00014773">
      <w:pPr>
        <w:tabs>
          <w:tab w:val="left" w:pos="1208"/>
        </w:tabs>
        <w:rPr>
          <w:lang w:val="en-GB" w:eastAsia="fr-FR"/>
        </w:rPr>
      </w:pPr>
    </w:p>
    <w:p w14:paraId="674F48EA" w14:textId="77777777" w:rsidR="00010689" w:rsidRPr="00F4758C" w:rsidRDefault="00010689" w:rsidP="00014773">
      <w:pPr>
        <w:tabs>
          <w:tab w:val="left" w:pos="1208"/>
        </w:tabs>
        <w:rPr>
          <w:lang w:val="en-GB" w:eastAsia="fr-FR"/>
        </w:rPr>
      </w:pPr>
    </w:p>
    <w:p w14:paraId="6589E91D" w14:textId="77777777" w:rsidR="00014773" w:rsidRPr="00F4758C" w:rsidRDefault="00014773" w:rsidP="00014773">
      <w:pPr>
        <w:tabs>
          <w:tab w:val="left" w:pos="1208"/>
        </w:tabs>
        <w:rPr>
          <w:lang w:val="en-GB" w:eastAsia="fr-FR"/>
        </w:rPr>
      </w:pPr>
    </w:p>
    <w:p w14:paraId="0AE0B4D3" w14:textId="77777777" w:rsidR="00014773" w:rsidRPr="00F4758C" w:rsidRDefault="00014773" w:rsidP="00014773">
      <w:pPr>
        <w:tabs>
          <w:tab w:val="left" w:pos="1208"/>
        </w:tabs>
        <w:rPr>
          <w:lang w:val="en-GB" w:eastAsia="fr-FR"/>
        </w:rPr>
      </w:pPr>
    </w:p>
    <w:p w14:paraId="29CB5558" w14:textId="77777777" w:rsidR="00014773" w:rsidRPr="00F4758C" w:rsidRDefault="00014773" w:rsidP="00014773">
      <w:pPr>
        <w:tabs>
          <w:tab w:val="left" w:pos="1208"/>
        </w:tabs>
        <w:rPr>
          <w:lang w:val="en-GB" w:eastAsia="fr-FR"/>
        </w:rPr>
      </w:pPr>
    </w:p>
    <w:p w14:paraId="5D4A5B69" w14:textId="77777777" w:rsidR="00014773" w:rsidRDefault="00014773" w:rsidP="00014773">
      <w:pPr>
        <w:tabs>
          <w:tab w:val="left" w:pos="1208"/>
        </w:tabs>
        <w:rPr>
          <w:lang w:val="en-GB" w:eastAsia="fr-FR"/>
        </w:rPr>
      </w:pPr>
    </w:p>
    <w:p w14:paraId="135A21B2" w14:textId="77777777" w:rsidR="00BD1AC1" w:rsidRDefault="00BD1AC1" w:rsidP="00014773">
      <w:pPr>
        <w:tabs>
          <w:tab w:val="left" w:pos="1208"/>
        </w:tabs>
        <w:rPr>
          <w:lang w:val="en-GB" w:eastAsia="fr-FR"/>
        </w:rPr>
      </w:pPr>
    </w:p>
    <w:p w14:paraId="077B7898" w14:textId="77777777" w:rsidR="00BD1AC1" w:rsidRDefault="00BD1AC1" w:rsidP="00014773">
      <w:pPr>
        <w:tabs>
          <w:tab w:val="left" w:pos="1208"/>
        </w:tabs>
        <w:rPr>
          <w:lang w:val="en-GB" w:eastAsia="fr-FR"/>
        </w:rPr>
      </w:pPr>
    </w:p>
    <w:p w14:paraId="0746AD89" w14:textId="77777777" w:rsidR="00BD1AC1" w:rsidRPr="00F4758C" w:rsidRDefault="00BD1AC1" w:rsidP="00014773">
      <w:pPr>
        <w:tabs>
          <w:tab w:val="left" w:pos="1208"/>
        </w:tabs>
        <w:rPr>
          <w:lang w:val="en-GB" w:eastAsia="fr-FR"/>
        </w:rPr>
      </w:pPr>
    </w:p>
    <w:p w14:paraId="556261EE" w14:textId="77777777" w:rsidR="00014773" w:rsidRPr="00F4758C" w:rsidRDefault="00014773" w:rsidP="00014773">
      <w:pPr>
        <w:tabs>
          <w:tab w:val="left" w:pos="1208"/>
        </w:tabs>
        <w:rPr>
          <w:lang w:val="en-GB" w:eastAsia="fr-FR"/>
        </w:rPr>
      </w:pPr>
    </w:p>
    <w:p w14:paraId="126E0AD0" w14:textId="1D5C709A" w:rsidR="00402C31" w:rsidRPr="00F4758C" w:rsidRDefault="00037982" w:rsidP="00402C31">
      <w:pPr>
        <w:pStyle w:val="Titre2"/>
        <w:rPr>
          <w:lang w:val="en-GB"/>
        </w:rPr>
      </w:pPr>
      <w:bookmarkStart w:id="75" w:name="_Toc230077030"/>
      <w:r w:rsidRPr="00F4758C">
        <w:rPr>
          <w:lang w:val="en-GB"/>
        </w:rPr>
        <w:lastRenderedPageBreak/>
        <w:t>Barriers and solutions identified by the working group</w:t>
      </w:r>
      <w:bookmarkEnd w:id="75"/>
    </w:p>
    <w:tbl>
      <w:tblPr>
        <w:tblW w:w="9498" w:type="dxa"/>
        <w:tblInd w:w="-150" w:type="dxa"/>
        <w:tblCellMar>
          <w:top w:w="15" w:type="dxa"/>
          <w:left w:w="15" w:type="dxa"/>
          <w:bottom w:w="15" w:type="dxa"/>
          <w:right w:w="15" w:type="dxa"/>
        </w:tblCellMar>
        <w:tblLook w:val="04A0" w:firstRow="1" w:lastRow="0" w:firstColumn="1" w:lastColumn="0" w:noHBand="0" w:noVBand="1"/>
      </w:tblPr>
      <w:tblGrid>
        <w:gridCol w:w="3125"/>
        <w:gridCol w:w="6373"/>
      </w:tblGrid>
      <w:tr w:rsidR="00D702F6" w:rsidRPr="00D702F6" w14:paraId="7273DF40" w14:textId="77777777" w:rsidTr="00C6698B">
        <w:trPr>
          <w:trHeight w:val="409"/>
        </w:trPr>
        <w:tc>
          <w:tcPr>
            <w:tcW w:w="3119" w:type="dxa"/>
            <w:tcBorders>
              <w:top w:val="single" w:sz="6" w:space="0" w:color="CCCCCC"/>
              <w:left w:val="single" w:sz="6" w:space="0" w:color="CCCCCC"/>
              <w:bottom w:val="single" w:sz="6" w:space="0" w:color="CCCCCC"/>
              <w:right w:val="single" w:sz="6" w:space="0" w:color="CCCCCC"/>
            </w:tcBorders>
            <w:shd w:val="clear" w:color="auto" w:fill="155E48"/>
            <w:tcMar>
              <w:top w:w="40" w:type="dxa"/>
              <w:left w:w="40" w:type="dxa"/>
              <w:bottom w:w="40" w:type="dxa"/>
              <w:right w:w="40" w:type="dxa"/>
            </w:tcMar>
            <w:hideMark/>
          </w:tcPr>
          <w:p w14:paraId="280A5F8C" w14:textId="41772567" w:rsidR="00D702F6" w:rsidRPr="00D702F6" w:rsidRDefault="00D702F6" w:rsidP="00D702F6">
            <w:pPr>
              <w:jc w:val="center"/>
              <w:rPr>
                <w:b/>
                <w:bCs/>
                <w:color w:val="FFFFFF" w:themeColor="background1"/>
                <w:lang w:eastAsia="fr-FR"/>
              </w:rPr>
            </w:pPr>
            <w:r w:rsidRPr="00D702F6">
              <w:rPr>
                <w:b/>
                <w:bCs/>
                <w:color w:val="FFFFFF" w:themeColor="background1"/>
                <w:lang w:eastAsia="fr-FR"/>
              </w:rPr>
              <w:t>Identified bottlenecks</w:t>
            </w:r>
          </w:p>
        </w:tc>
        <w:tc>
          <w:tcPr>
            <w:tcW w:w="6379" w:type="dxa"/>
            <w:tcBorders>
              <w:top w:val="single" w:sz="6" w:space="0" w:color="CCCCCC"/>
              <w:left w:val="single" w:sz="6" w:space="0" w:color="CCCCCC"/>
              <w:bottom w:val="single" w:sz="6" w:space="0" w:color="CCCCCC"/>
              <w:right w:val="single" w:sz="6" w:space="0" w:color="CCCCCC"/>
            </w:tcBorders>
            <w:shd w:val="clear" w:color="auto" w:fill="155E48"/>
            <w:tcMar>
              <w:top w:w="40" w:type="dxa"/>
              <w:left w:w="40" w:type="dxa"/>
              <w:bottom w:w="40" w:type="dxa"/>
              <w:right w:w="40" w:type="dxa"/>
            </w:tcMar>
            <w:hideMark/>
          </w:tcPr>
          <w:p w14:paraId="3100456B" w14:textId="77777777" w:rsidR="00D702F6" w:rsidRPr="00D702F6" w:rsidRDefault="00D702F6" w:rsidP="00D702F6">
            <w:pPr>
              <w:jc w:val="center"/>
              <w:rPr>
                <w:b/>
                <w:bCs/>
                <w:color w:val="FFFFFF" w:themeColor="background1"/>
                <w:lang w:eastAsia="fr-FR"/>
              </w:rPr>
            </w:pPr>
            <w:r w:rsidRPr="00D702F6">
              <w:rPr>
                <w:b/>
                <w:bCs/>
                <w:color w:val="FFFFFF" w:themeColor="background1"/>
                <w:lang w:eastAsia="fr-FR"/>
              </w:rPr>
              <w:t>Strategic solutions</w:t>
            </w:r>
          </w:p>
        </w:tc>
      </w:tr>
      <w:tr w:rsidR="00D702F6" w:rsidRPr="004B4BDE" w14:paraId="5556F088" w14:textId="77777777" w:rsidTr="00C6698B">
        <w:trPr>
          <w:trHeight w:val="1430"/>
        </w:trPr>
        <w:tc>
          <w:tcPr>
            <w:tcW w:w="31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77F58B3" w14:textId="77777777" w:rsidR="00D702F6" w:rsidRPr="00F4758C" w:rsidRDefault="00D702F6" w:rsidP="00014773">
            <w:pPr>
              <w:ind w:left="99" w:right="243"/>
              <w:jc w:val="left"/>
              <w:rPr>
                <w:lang w:val="en-GB" w:eastAsia="fr-FR"/>
              </w:rPr>
            </w:pPr>
            <w:r w:rsidRPr="00F4758C">
              <w:rPr>
                <w:b/>
                <w:bCs/>
                <w:lang w:val="en-GB" w:eastAsia="fr-FR"/>
              </w:rPr>
              <w:t>Siloed organisation, lack of support and coordination</w:t>
            </w:r>
          </w:p>
          <w:p w14:paraId="768D3E70" w14:textId="29BD2434" w:rsidR="00D702F6" w:rsidRPr="00F4758C" w:rsidRDefault="00D702F6" w:rsidP="00646CD1">
            <w:pPr>
              <w:ind w:left="99" w:right="243"/>
              <w:jc w:val="left"/>
              <w:rPr>
                <w:lang w:val="en-GB" w:eastAsia="fr-FR"/>
              </w:rPr>
            </w:pPr>
            <w:r w:rsidRPr="00F4758C">
              <w:rPr>
                <w:lang w:val="en-GB" w:eastAsia="fr-FR"/>
              </w:rPr>
              <w:t>Difficulty in identifying stakeholders and mobilising the entire chain of action</w:t>
            </w:r>
            <w:r w:rsidR="0056162A" w:rsidRPr="00F4758C">
              <w:rPr>
                <w:lang w:val="en-GB" w:eastAsia="fr-FR"/>
              </w:rPr>
              <w:t>.</w:t>
            </w:r>
          </w:p>
        </w:tc>
        <w:tc>
          <w:tcPr>
            <w:tcW w:w="637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23A1333E" w14:textId="572D315A" w:rsidR="00D702F6" w:rsidRPr="00D702F6" w:rsidRDefault="003D76A3" w:rsidP="00037982">
            <w:pPr>
              <w:ind w:right="243"/>
              <w:jc w:val="left"/>
              <w:rPr>
                <w:lang w:eastAsia="fr-FR"/>
              </w:rPr>
            </w:pPr>
            <w:r w:rsidRPr="00C86D0A">
              <w:rPr>
                <w:b/>
                <w:bCs/>
                <w:lang w:val="en-GB" w:eastAsia="fr-FR"/>
              </w:rPr>
              <w:t xml:space="preserve">  </w:t>
            </w:r>
            <w:r w:rsidR="00D702F6" w:rsidRPr="00D702F6">
              <w:rPr>
                <w:b/>
                <w:bCs/>
                <w:lang w:eastAsia="fr-FR"/>
              </w:rPr>
              <w:t>Structured, cross-functional governance</w:t>
            </w:r>
          </w:p>
          <w:p w14:paraId="7A37A25E" w14:textId="77C79E06" w:rsidR="00D702F6" w:rsidRPr="00F4758C" w:rsidRDefault="00D702F6">
            <w:pPr>
              <w:numPr>
                <w:ilvl w:val="0"/>
                <w:numId w:val="42"/>
              </w:numPr>
              <w:spacing w:line="276" w:lineRule="auto"/>
              <w:jc w:val="left"/>
              <w:rPr>
                <w:lang w:val="en-GB" w:eastAsia="fr-FR"/>
              </w:rPr>
            </w:pPr>
            <w:r w:rsidRPr="00F4758C">
              <w:rPr>
                <w:lang w:val="en-GB" w:eastAsia="fr-FR"/>
              </w:rPr>
              <w:t xml:space="preserve">Establish a </w:t>
            </w:r>
            <w:r w:rsidRPr="001F2368">
              <w:rPr>
                <w:lang w:val="en-GB" w:eastAsia="fr-FR"/>
              </w:rPr>
              <w:t xml:space="preserve">Design Authority </w:t>
            </w:r>
            <w:r w:rsidRPr="00F4758C">
              <w:rPr>
                <w:lang w:val="en-GB" w:eastAsia="fr-FR"/>
              </w:rPr>
              <w:t>or a dedicated steering committee</w:t>
            </w:r>
            <w:r w:rsidR="0056162A" w:rsidRPr="00F4758C">
              <w:rPr>
                <w:lang w:val="en-GB" w:eastAsia="fr-FR"/>
              </w:rPr>
              <w:t>.</w:t>
            </w:r>
          </w:p>
          <w:p w14:paraId="435CEFFA" w14:textId="367C6C92" w:rsidR="00D702F6" w:rsidRPr="00F4758C" w:rsidRDefault="00710FC2">
            <w:pPr>
              <w:numPr>
                <w:ilvl w:val="0"/>
                <w:numId w:val="42"/>
              </w:numPr>
              <w:spacing w:line="276" w:lineRule="auto"/>
              <w:jc w:val="left"/>
              <w:rPr>
                <w:lang w:val="en-GB" w:eastAsia="fr-FR"/>
              </w:rPr>
            </w:pPr>
            <w:r w:rsidRPr="00F4758C">
              <w:rPr>
                <w:lang w:val="en-GB" w:eastAsia="fr-FR"/>
              </w:rPr>
              <w:t xml:space="preserve">Appoint </w:t>
            </w:r>
            <w:r w:rsidR="00230C35" w:rsidRPr="00F4758C">
              <w:rPr>
                <w:lang w:val="en-GB" w:eastAsia="fr-FR"/>
              </w:rPr>
              <w:t>digital accessibility</w:t>
            </w:r>
            <w:r w:rsidRPr="00F4758C">
              <w:rPr>
                <w:lang w:val="en-GB" w:eastAsia="fr-FR"/>
              </w:rPr>
              <w:t xml:space="preserve"> leads within each business unit to champion the initiative and support teams, alongside a central lead responsible for ensuring consistency and making decisions</w:t>
            </w:r>
            <w:r w:rsidR="0056162A" w:rsidRPr="00F4758C">
              <w:rPr>
                <w:lang w:val="en-GB" w:eastAsia="fr-FR"/>
              </w:rPr>
              <w:t>.</w:t>
            </w:r>
          </w:p>
          <w:p w14:paraId="5F6F1F29" w14:textId="2C484DF5" w:rsidR="00D702F6" w:rsidRPr="00F4758C" w:rsidRDefault="00D702F6">
            <w:pPr>
              <w:numPr>
                <w:ilvl w:val="0"/>
                <w:numId w:val="42"/>
              </w:numPr>
              <w:spacing w:line="276" w:lineRule="auto"/>
              <w:jc w:val="left"/>
              <w:rPr>
                <w:lang w:val="en-GB" w:eastAsia="fr-FR"/>
              </w:rPr>
            </w:pPr>
            <w:r w:rsidRPr="00F4758C">
              <w:rPr>
                <w:lang w:val="en-GB" w:eastAsia="fr-FR"/>
              </w:rPr>
              <w:t>Support the initiative through high-level sponsorship</w:t>
            </w:r>
            <w:r w:rsidR="0056162A" w:rsidRPr="00F4758C">
              <w:rPr>
                <w:lang w:val="en-GB" w:eastAsia="fr-FR"/>
              </w:rPr>
              <w:t>.</w:t>
            </w:r>
          </w:p>
          <w:p w14:paraId="450B63D3" w14:textId="074A1866" w:rsidR="00D702F6" w:rsidRPr="00F4758C" w:rsidRDefault="00D702F6">
            <w:pPr>
              <w:numPr>
                <w:ilvl w:val="0"/>
                <w:numId w:val="42"/>
              </w:numPr>
              <w:spacing w:line="276" w:lineRule="auto"/>
              <w:jc w:val="left"/>
              <w:rPr>
                <w:lang w:val="en-GB" w:eastAsia="fr-FR"/>
              </w:rPr>
            </w:pPr>
            <w:r w:rsidRPr="00F4758C">
              <w:rPr>
                <w:lang w:val="en-GB" w:eastAsia="fr-FR"/>
              </w:rPr>
              <w:t xml:space="preserve">Clearly identify the stakeholders (management, lead officers) and work in a </w:t>
            </w:r>
            <w:r w:rsidR="00710FC2" w:rsidRPr="00F4758C">
              <w:rPr>
                <w:lang w:val="en-GB" w:eastAsia="fr-FR"/>
              </w:rPr>
              <w:t>product-oriented</w:t>
            </w:r>
            <w:r w:rsidRPr="00F4758C">
              <w:rPr>
                <w:lang w:val="en-GB" w:eastAsia="fr-FR"/>
              </w:rPr>
              <w:t xml:space="preserve"> manner</w:t>
            </w:r>
            <w:r w:rsidR="00710FC2" w:rsidRPr="00F4758C">
              <w:rPr>
                <w:lang w:val="en-GB" w:eastAsia="fr-FR"/>
              </w:rPr>
              <w:t>.</w:t>
            </w:r>
          </w:p>
          <w:p w14:paraId="61018020" w14:textId="63EEFD17" w:rsidR="00D702F6" w:rsidRPr="00F4758C" w:rsidRDefault="00D702F6">
            <w:pPr>
              <w:numPr>
                <w:ilvl w:val="0"/>
                <w:numId w:val="42"/>
              </w:numPr>
              <w:spacing w:line="276" w:lineRule="auto"/>
              <w:jc w:val="left"/>
              <w:rPr>
                <w:lang w:val="en-GB" w:eastAsia="fr-FR"/>
              </w:rPr>
            </w:pPr>
            <w:r w:rsidRPr="00F4758C">
              <w:rPr>
                <w:lang w:val="en-GB" w:eastAsia="fr-FR"/>
              </w:rPr>
              <w:t>Ensure ongoing monitoring through dedicated bodies</w:t>
            </w:r>
            <w:r w:rsidR="0056162A" w:rsidRPr="00F4758C">
              <w:rPr>
                <w:lang w:val="en-GB" w:eastAsia="fr-FR"/>
              </w:rPr>
              <w:t>.</w:t>
            </w:r>
          </w:p>
          <w:p w14:paraId="119D29BD" w14:textId="77777777" w:rsidR="00D702F6" w:rsidRPr="00F4758C" w:rsidRDefault="00D702F6" w:rsidP="00BA7EFA">
            <w:pPr>
              <w:jc w:val="left"/>
              <w:rPr>
                <w:lang w:val="en-GB" w:eastAsia="fr-FR"/>
              </w:rPr>
            </w:pPr>
          </w:p>
        </w:tc>
      </w:tr>
      <w:tr w:rsidR="00D702F6" w:rsidRPr="004B4BDE" w14:paraId="4ABE6F12" w14:textId="77777777" w:rsidTr="00646CD1">
        <w:tc>
          <w:tcPr>
            <w:tcW w:w="31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3566614" w14:textId="77777777" w:rsidR="00D702F6" w:rsidRPr="00F4758C" w:rsidRDefault="00D702F6" w:rsidP="00A76094">
            <w:pPr>
              <w:ind w:left="99" w:right="243"/>
              <w:jc w:val="left"/>
              <w:rPr>
                <w:lang w:val="en-GB" w:eastAsia="fr-FR"/>
              </w:rPr>
            </w:pPr>
            <w:r w:rsidRPr="00F4758C">
              <w:rPr>
                <w:b/>
                <w:bCs/>
                <w:lang w:val="en-GB" w:eastAsia="fr-FR"/>
              </w:rPr>
              <w:t>Varied levels of accessibility expertise</w:t>
            </w:r>
          </w:p>
          <w:p w14:paraId="47E2B9E2" w14:textId="26698A8C" w:rsidR="00D702F6" w:rsidRPr="00F4758C" w:rsidRDefault="00D702F6" w:rsidP="00646CD1">
            <w:pPr>
              <w:ind w:left="99" w:right="243"/>
              <w:jc w:val="left"/>
              <w:rPr>
                <w:lang w:val="en-GB" w:eastAsia="fr-FR"/>
              </w:rPr>
            </w:pPr>
            <w:r w:rsidRPr="00F4758C">
              <w:rPr>
                <w:lang w:val="en-GB" w:eastAsia="fr-FR"/>
              </w:rPr>
              <w:t>The paradox faced by business units (Communications/Marketing), which may fear a decline in creativity or the quality of their work.</w:t>
            </w:r>
          </w:p>
        </w:tc>
        <w:tc>
          <w:tcPr>
            <w:tcW w:w="637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001EDD7" w14:textId="77777777" w:rsidR="00D702F6" w:rsidRPr="00D702F6" w:rsidRDefault="00D702F6" w:rsidP="00A76094">
            <w:pPr>
              <w:ind w:left="99" w:right="243"/>
              <w:jc w:val="left"/>
              <w:rPr>
                <w:lang w:eastAsia="fr-FR"/>
              </w:rPr>
            </w:pPr>
            <w:r w:rsidRPr="00D702F6">
              <w:rPr>
                <w:b/>
                <w:bCs/>
                <w:lang w:eastAsia="fr-FR"/>
              </w:rPr>
              <w:t>Contextualised training</w:t>
            </w:r>
          </w:p>
          <w:p w14:paraId="450E29AC" w14:textId="0165E3E0" w:rsidR="00D702F6" w:rsidRPr="00F4758C" w:rsidRDefault="00D702F6">
            <w:pPr>
              <w:numPr>
                <w:ilvl w:val="0"/>
                <w:numId w:val="43"/>
              </w:numPr>
              <w:spacing w:line="276" w:lineRule="auto"/>
              <w:jc w:val="left"/>
              <w:rPr>
                <w:lang w:val="en-GB" w:eastAsia="fr-FR"/>
              </w:rPr>
            </w:pPr>
            <w:r w:rsidRPr="00F4758C">
              <w:rPr>
                <w:lang w:val="en-GB" w:eastAsia="fr-FR"/>
              </w:rPr>
              <w:t>Create operational guides tailored to each role (e.g. InDesign, editorial guidelines)</w:t>
            </w:r>
            <w:r w:rsidR="0056162A" w:rsidRPr="00F4758C">
              <w:rPr>
                <w:lang w:val="en-GB" w:eastAsia="fr-FR"/>
              </w:rPr>
              <w:t>.</w:t>
            </w:r>
          </w:p>
          <w:p w14:paraId="4B6179C9" w14:textId="53832FFB" w:rsidR="00D702F6" w:rsidRPr="00F4758C" w:rsidRDefault="00D702F6">
            <w:pPr>
              <w:numPr>
                <w:ilvl w:val="0"/>
                <w:numId w:val="43"/>
              </w:numPr>
              <w:spacing w:line="276" w:lineRule="auto"/>
              <w:jc w:val="left"/>
              <w:rPr>
                <w:lang w:val="en-GB" w:eastAsia="fr-FR"/>
              </w:rPr>
            </w:pPr>
            <w:r w:rsidRPr="00F4758C">
              <w:rPr>
                <w:lang w:val="en-GB" w:eastAsia="fr-FR"/>
              </w:rPr>
              <w:t>Highlight the benefits of accessibility (improved SEO, dedicated scorecard for the Finance or Legal departments)</w:t>
            </w:r>
            <w:r w:rsidR="0056162A" w:rsidRPr="00F4758C">
              <w:rPr>
                <w:lang w:val="en-GB" w:eastAsia="fr-FR"/>
              </w:rPr>
              <w:t>.</w:t>
            </w:r>
          </w:p>
          <w:p w14:paraId="4665CEE1" w14:textId="6DFB20B1" w:rsidR="00D702F6" w:rsidRPr="00F4758C" w:rsidRDefault="00D702F6" w:rsidP="00BA7EFA">
            <w:pPr>
              <w:numPr>
                <w:ilvl w:val="0"/>
                <w:numId w:val="43"/>
              </w:numPr>
              <w:spacing w:line="276" w:lineRule="auto"/>
              <w:jc w:val="left"/>
              <w:rPr>
                <w:lang w:val="en-GB" w:eastAsia="fr-FR"/>
              </w:rPr>
            </w:pPr>
            <w:r w:rsidRPr="00F4758C">
              <w:rPr>
                <w:lang w:val="en-GB" w:eastAsia="fr-FR"/>
              </w:rPr>
              <w:t xml:space="preserve">Systematically raise </w:t>
            </w:r>
            <w:r w:rsidR="00555BB6" w:rsidRPr="00F4758C">
              <w:rPr>
                <w:lang w:val="en-GB" w:eastAsia="fr-FR"/>
              </w:rPr>
              <w:t>staff</w:t>
            </w:r>
            <w:r w:rsidRPr="00F4758C">
              <w:rPr>
                <w:lang w:val="en-GB" w:eastAsia="fr-FR"/>
              </w:rPr>
              <w:t xml:space="preserve"> awareness of accessibility issues.</w:t>
            </w:r>
          </w:p>
        </w:tc>
      </w:tr>
      <w:tr w:rsidR="00D702F6" w:rsidRPr="004B4BDE" w14:paraId="0DAAA49A" w14:textId="77777777" w:rsidTr="00C6698B">
        <w:trPr>
          <w:trHeight w:val="1905"/>
        </w:trPr>
        <w:tc>
          <w:tcPr>
            <w:tcW w:w="31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6B7DD82" w14:textId="77777777" w:rsidR="00D702F6" w:rsidRPr="00F4758C" w:rsidRDefault="00D702F6" w:rsidP="00A76094">
            <w:pPr>
              <w:ind w:left="99" w:right="243"/>
              <w:jc w:val="left"/>
              <w:rPr>
                <w:lang w:val="en-GB" w:eastAsia="fr-FR"/>
              </w:rPr>
            </w:pPr>
            <w:r w:rsidRPr="00F4758C">
              <w:rPr>
                <w:b/>
                <w:bCs/>
                <w:lang w:val="en-GB" w:eastAsia="fr-FR"/>
              </w:rPr>
              <w:t>Demonstrating ROI</w:t>
            </w:r>
          </w:p>
          <w:p w14:paraId="259C35C5" w14:textId="3A05DA56" w:rsidR="00D702F6" w:rsidRPr="00F4758C" w:rsidRDefault="00D702F6" w:rsidP="00646CD1">
            <w:pPr>
              <w:ind w:left="99" w:right="243"/>
              <w:jc w:val="left"/>
              <w:rPr>
                <w:lang w:val="en-GB" w:eastAsia="fr-FR"/>
              </w:rPr>
            </w:pPr>
            <w:r w:rsidRPr="00F4758C">
              <w:rPr>
                <w:lang w:val="en-GB" w:eastAsia="fr-FR"/>
              </w:rPr>
              <w:t>Direct profitability is difficult to isolate, costs are hard to justify</w:t>
            </w:r>
            <w:r w:rsidR="0056162A" w:rsidRPr="00F4758C">
              <w:rPr>
                <w:lang w:val="en-GB" w:eastAsia="fr-FR"/>
              </w:rPr>
              <w:t xml:space="preserve">, </w:t>
            </w:r>
            <w:r w:rsidRPr="00F4758C">
              <w:rPr>
                <w:lang w:val="en-GB" w:eastAsia="fr-FR"/>
              </w:rPr>
              <w:t xml:space="preserve">and there are </w:t>
            </w:r>
            <w:r w:rsidR="0056162A" w:rsidRPr="00F4758C">
              <w:rPr>
                <w:lang w:val="en-GB" w:eastAsia="fr-FR"/>
              </w:rPr>
              <w:t xml:space="preserve">obstacles linked to </w:t>
            </w:r>
            <w:r w:rsidRPr="00F4758C">
              <w:rPr>
                <w:lang w:val="en-GB" w:eastAsia="fr-FR"/>
              </w:rPr>
              <w:t>the rigidity of supplier contracts.</w:t>
            </w:r>
          </w:p>
        </w:tc>
        <w:tc>
          <w:tcPr>
            <w:tcW w:w="637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4C78B6C" w14:textId="77777777" w:rsidR="00D702F6" w:rsidRPr="00D702F6" w:rsidRDefault="00D702F6" w:rsidP="00A76094">
            <w:pPr>
              <w:ind w:left="99" w:right="243"/>
              <w:jc w:val="left"/>
              <w:rPr>
                <w:lang w:eastAsia="fr-FR"/>
              </w:rPr>
            </w:pPr>
            <w:r w:rsidRPr="00D702F6">
              <w:rPr>
                <w:b/>
                <w:bCs/>
                <w:lang w:eastAsia="fr-FR"/>
              </w:rPr>
              <w:t>Management based on reputational risks</w:t>
            </w:r>
          </w:p>
          <w:p w14:paraId="263CABAB" w14:textId="4A37EFE9" w:rsidR="00D702F6" w:rsidRPr="00F4758C" w:rsidRDefault="00D702F6">
            <w:pPr>
              <w:numPr>
                <w:ilvl w:val="0"/>
                <w:numId w:val="44"/>
              </w:numPr>
              <w:spacing w:line="276" w:lineRule="auto"/>
              <w:jc w:val="left"/>
              <w:rPr>
                <w:lang w:val="en-GB" w:eastAsia="fr-FR"/>
              </w:rPr>
            </w:pPr>
            <w:r w:rsidRPr="00F4758C">
              <w:rPr>
                <w:lang w:val="en-GB" w:eastAsia="fr-FR"/>
              </w:rPr>
              <w:t xml:space="preserve">Promoting accessibility as a safeguard against damage to brand reputation (often </w:t>
            </w:r>
            <w:r w:rsidR="00D327BA" w:rsidRPr="00F4758C">
              <w:rPr>
                <w:lang w:val="en-GB" w:eastAsia="fr-FR"/>
              </w:rPr>
              <w:t>feared</w:t>
            </w:r>
            <w:r w:rsidRPr="00F4758C">
              <w:rPr>
                <w:lang w:val="en-GB" w:eastAsia="fr-FR"/>
              </w:rPr>
              <w:t xml:space="preserve"> more than penalties).</w:t>
            </w:r>
          </w:p>
          <w:p w14:paraId="0092754C" w14:textId="34B97BD2" w:rsidR="00D702F6" w:rsidRPr="00F4758C" w:rsidRDefault="00D702F6">
            <w:pPr>
              <w:numPr>
                <w:ilvl w:val="0"/>
                <w:numId w:val="44"/>
              </w:numPr>
              <w:spacing w:line="276" w:lineRule="auto"/>
              <w:jc w:val="left"/>
              <w:rPr>
                <w:lang w:val="en-GB" w:eastAsia="fr-FR"/>
              </w:rPr>
            </w:pPr>
            <w:r w:rsidRPr="00F4758C">
              <w:rPr>
                <w:lang w:val="en-GB" w:eastAsia="fr-FR"/>
              </w:rPr>
              <w:t>Action on procurement and contract clauses (weighting in RFPs and built-in provisions)</w:t>
            </w:r>
            <w:r w:rsidR="0056162A" w:rsidRPr="00F4758C">
              <w:rPr>
                <w:lang w:val="en-GB" w:eastAsia="fr-FR"/>
              </w:rPr>
              <w:t>.</w:t>
            </w:r>
          </w:p>
        </w:tc>
      </w:tr>
      <w:tr w:rsidR="00D702F6" w:rsidRPr="004B4BDE" w14:paraId="7A613BA8" w14:textId="77777777" w:rsidTr="00646CD1">
        <w:trPr>
          <w:trHeight w:val="648"/>
        </w:trPr>
        <w:tc>
          <w:tcPr>
            <w:tcW w:w="31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66796011" w14:textId="4E97A33A" w:rsidR="00D702F6" w:rsidRPr="00F4758C" w:rsidRDefault="00BD1AC1" w:rsidP="00A76094">
            <w:pPr>
              <w:ind w:left="99" w:right="243"/>
              <w:jc w:val="left"/>
              <w:rPr>
                <w:lang w:val="en-GB" w:eastAsia="fr-FR"/>
              </w:rPr>
            </w:pPr>
            <w:r>
              <w:rPr>
                <w:b/>
                <w:bCs/>
                <w:lang w:val="en-GB" w:eastAsia="fr-FR"/>
              </w:rPr>
              <w:t>“</w:t>
            </w:r>
            <w:r w:rsidR="00D702F6" w:rsidRPr="00F4758C">
              <w:rPr>
                <w:b/>
                <w:bCs/>
                <w:lang w:val="en-GB" w:eastAsia="fr-FR"/>
              </w:rPr>
              <w:t>Short-termist</w:t>
            </w:r>
            <w:r>
              <w:rPr>
                <w:b/>
                <w:bCs/>
                <w:lang w:val="en-GB" w:eastAsia="fr-FR"/>
              </w:rPr>
              <w:t>”</w:t>
            </w:r>
            <w:r w:rsidR="00D702F6" w:rsidRPr="00F4758C">
              <w:rPr>
                <w:b/>
                <w:bCs/>
                <w:lang w:val="en-GB" w:eastAsia="fr-FR"/>
              </w:rPr>
              <w:t xml:space="preserve"> approach</w:t>
            </w:r>
            <w:r w:rsidR="0056162A" w:rsidRPr="00F4758C">
              <w:rPr>
                <w:b/>
                <w:bCs/>
                <w:lang w:val="en-GB" w:eastAsia="fr-FR"/>
              </w:rPr>
              <w:t xml:space="preserve"> </w:t>
            </w:r>
          </w:p>
          <w:p w14:paraId="6BF6F200" w14:textId="69E0A0DB" w:rsidR="00D702F6" w:rsidRPr="00F4758C" w:rsidRDefault="00D702F6" w:rsidP="00646CD1">
            <w:pPr>
              <w:ind w:left="99" w:right="243"/>
              <w:jc w:val="left"/>
              <w:rPr>
                <w:lang w:val="en-GB" w:eastAsia="fr-FR"/>
              </w:rPr>
            </w:pPr>
            <w:r w:rsidRPr="00F4758C">
              <w:rPr>
                <w:lang w:val="en-GB" w:eastAsia="fr-FR"/>
              </w:rPr>
              <w:t xml:space="preserve">Accessibility treated as a last-minute fix rather than an intrinsic quality. </w:t>
            </w:r>
          </w:p>
        </w:tc>
        <w:tc>
          <w:tcPr>
            <w:tcW w:w="637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BAEDF8F" w14:textId="77777777" w:rsidR="00D702F6" w:rsidRPr="00F4758C" w:rsidRDefault="00D702F6" w:rsidP="00A76094">
            <w:pPr>
              <w:ind w:left="99" w:right="243"/>
              <w:jc w:val="left"/>
              <w:rPr>
                <w:lang w:val="en-GB" w:eastAsia="fr-FR"/>
              </w:rPr>
            </w:pPr>
            <w:r w:rsidRPr="00F4758C">
              <w:rPr>
                <w:b/>
                <w:bCs/>
                <w:lang w:val="en-GB" w:eastAsia="fr-FR"/>
              </w:rPr>
              <w:t>Native integration into the product lifecycle</w:t>
            </w:r>
          </w:p>
          <w:p w14:paraId="7EC37100" w14:textId="7765AF25" w:rsidR="00D702F6" w:rsidRPr="00F4758C" w:rsidRDefault="00D702F6">
            <w:pPr>
              <w:numPr>
                <w:ilvl w:val="0"/>
                <w:numId w:val="45"/>
              </w:numPr>
              <w:jc w:val="left"/>
              <w:rPr>
                <w:lang w:val="en-GB" w:eastAsia="fr-FR"/>
              </w:rPr>
            </w:pPr>
            <w:r w:rsidRPr="00F4758C">
              <w:rPr>
                <w:lang w:val="en-GB" w:eastAsia="fr-FR"/>
              </w:rPr>
              <w:t xml:space="preserve">Thinking long-term (the product’s entire lifecycle) and integrating </w:t>
            </w:r>
            <w:r w:rsidR="00230C35" w:rsidRPr="00F4758C">
              <w:rPr>
                <w:lang w:val="en-GB" w:eastAsia="fr-FR"/>
              </w:rPr>
              <w:t xml:space="preserve">digital accessibility </w:t>
            </w:r>
            <w:r w:rsidRPr="00F4758C">
              <w:rPr>
                <w:lang w:val="en-GB" w:eastAsia="fr-FR"/>
              </w:rPr>
              <w:t>natively (before, during and after).</w:t>
            </w:r>
          </w:p>
          <w:p w14:paraId="2AD2F72D" w14:textId="77777777" w:rsidR="00D702F6" w:rsidRPr="00F4758C" w:rsidRDefault="00D702F6">
            <w:pPr>
              <w:numPr>
                <w:ilvl w:val="0"/>
                <w:numId w:val="45"/>
              </w:numPr>
              <w:jc w:val="left"/>
              <w:rPr>
                <w:lang w:val="en-GB" w:eastAsia="fr-FR"/>
              </w:rPr>
            </w:pPr>
            <w:r w:rsidRPr="00F4758C">
              <w:rPr>
                <w:lang w:val="en-GB" w:eastAsia="fr-FR"/>
              </w:rPr>
              <w:t xml:space="preserve">Carry out regular </w:t>
            </w:r>
            <w:r w:rsidRPr="00F4758C">
              <w:rPr>
                <w:b/>
                <w:bCs/>
                <w:lang w:val="en-GB" w:eastAsia="fr-FR"/>
              </w:rPr>
              <w:t xml:space="preserve">pre-audits </w:t>
            </w:r>
            <w:r w:rsidRPr="00F4758C">
              <w:rPr>
                <w:lang w:val="en-GB" w:eastAsia="fr-FR"/>
              </w:rPr>
              <w:t xml:space="preserve">and testing with </w:t>
            </w:r>
            <w:r w:rsidRPr="00F4758C">
              <w:rPr>
                <w:b/>
                <w:bCs/>
                <w:lang w:val="en-GB" w:eastAsia="fr-FR"/>
              </w:rPr>
              <w:t>staff with disabilities</w:t>
            </w:r>
            <w:r w:rsidRPr="00F4758C">
              <w:rPr>
                <w:lang w:val="en-GB" w:eastAsia="fr-FR"/>
              </w:rPr>
              <w:t>.</w:t>
            </w:r>
          </w:p>
        </w:tc>
      </w:tr>
      <w:tr w:rsidR="00D702F6" w:rsidRPr="004B4BDE" w14:paraId="5F9465FD" w14:textId="77777777" w:rsidTr="00646CD1">
        <w:trPr>
          <w:trHeight w:val="4303"/>
        </w:trPr>
        <w:tc>
          <w:tcPr>
            <w:tcW w:w="31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7F3A92B7" w14:textId="77777777" w:rsidR="00D702F6" w:rsidRPr="00F4758C" w:rsidRDefault="00D702F6" w:rsidP="00A76094">
            <w:pPr>
              <w:ind w:left="99" w:right="243"/>
              <w:jc w:val="left"/>
              <w:rPr>
                <w:lang w:val="en-GB" w:eastAsia="fr-FR"/>
              </w:rPr>
            </w:pPr>
            <w:r w:rsidRPr="00F4758C">
              <w:rPr>
                <w:b/>
                <w:bCs/>
                <w:lang w:val="en-GB" w:eastAsia="fr-FR"/>
              </w:rPr>
              <w:lastRenderedPageBreak/>
              <w:t>Lack of cultural awareness and skills</w:t>
            </w:r>
          </w:p>
          <w:p w14:paraId="0806FBF3" w14:textId="721622DC" w:rsidR="00D702F6" w:rsidRPr="00F4758C" w:rsidRDefault="00D702F6" w:rsidP="00646CD1">
            <w:pPr>
              <w:ind w:left="99" w:right="243"/>
              <w:jc w:val="left"/>
              <w:rPr>
                <w:lang w:val="en-GB" w:eastAsia="fr-FR"/>
              </w:rPr>
            </w:pPr>
            <w:r w:rsidRPr="00F4758C">
              <w:rPr>
                <w:lang w:val="en-GB" w:eastAsia="fr-FR"/>
              </w:rPr>
              <w:t>A theoretical understanding of disability and a lack of in-house expertise</w:t>
            </w:r>
            <w:r w:rsidR="0056162A" w:rsidRPr="00F4758C">
              <w:rPr>
                <w:lang w:val="en-GB" w:eastAsia="fr-FR"/>
              </w:rPr>
              <w:t>.</w:t>
            </w:r>
          </w:p>
        </w:tc>
        <w:tc>
          <w:tcPr>
            <w:tcW w:w="637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0EFC3EE5" w14:textId="7946649A" w:rsidR="00D702F6" w:rsidRPr="00F4758C" w:rsidRDefault="00D702F6" w:rsidP="00A76094">
            <w:pPr>
              <w:ind w:left="99" w:right="243"/>
              <w:jc w:val="left"/>
              <w:rPr>
                <w:lang w:val="en-GB" w:eastAsia="fr-FR"/>
              </w:rPr>
            </w:pPr>
            <w:r w:rsidRPr="00F4758C">
              <w:rPr>
                <w:b/>
                <w:bCs/>
                <w:lang w:val="en-GB" w:eastAsia="fr-FR"/>
              </w:rPr>
              <w:t xml:space="preserve">Investment in </w:t>
            </w:r>
            <w:r w:rsidR="00E717B1" w:rsidRPr="00F4758C">
              <w:rPr>
                <w:b/>
                <w:bCs/>
                <w:lang w:val="en-GB" w:eastAsia="fr-FR"/>
              </w:rPr>
              <w:t>human</w:t>
            </w:r>
            <w:r w:rsidRPr="00F4758C">
              <w:rPr>
                <w:b/>
                <w:bCs/>
                <w:lang w:val="en-GB" w:eastAsia="fr-FR"/>
              </w:rPr>
              <w:t xml:space="preserve"> resources and community engagement</w:t>
            </w:r>
          </w:p>
          <w:p w14:paraId="7E0591B5" w14:textId="64914956" w:rsidR="00D702F6" w:rsidRPr="00F4758C" w:rsidRDefault="001E440D">
            <w:pPr>
              <w:numPr>
                <w:ilvl w:val="0"/>
                <w:numId w:val="46"/>
              </w:numPr>
              <w:rPr>
                <w:lang w:val="en-GB" w:eastAsia="fr-FR"/>
              </w:rPr>
            </w:pPr>
            <w:r w:rsidRPr="00F4758C">
              <w:rPr>
                <w:lang w:val="en-GB" w:eastAsia="fr-FR"/>
              </w:rPr>
              <w:t xml:space="preserve">Bring together staff </w:t>
            </w:r>
            <w:r w:rsidR="00D702F6" w:rsidRPr="00F4758C">
              <w:rPr>
                <w:lang w:val="en-GB" w:eastAsia="fr-FR"/>
              </w:rPr>
              <w:t xml:space="preserve">with disabilities </w:t>
            </w:r>
            <w:r w:rsidR="00E717B1" w:rsidRPr="00F4758C">
              <w:rPr>
                <w:lang w:val="en-GB" w:eastAsia="fr-FR"/>
              </w:rPr>
              <w:t xml:space="preserve">and </w:t>
            </w:r>
            <w:r w:rsidR="00037982" w:rsidRPr="00F4758C">
              <w:rPr>
                <w:lang w:val="en-GB" w:eastAsia="fr-FR"/>
              </w:rPr>
              <w:t>‘able-bodied</w:t>
            </w:r>
            <w:r w:rsidRPr="00F4758C">
              <w:rPr>
                <w:lang w:val="en-GB" w:eastAsia="fr-FR"/>
              </w:rPr>
              <w:t xml:space="preserve">’ teams </w:t>
            </w:r>
            <w:r w:rsidR="00D702F6" w:rsidRPr="00F4758C">
              <w:rPr>
                <w:lang w:val="en-GB" w:eastAsia="fr-FR"/>
              </w:rPr>
              <w:t xml:space="preserve">to confront </w:t>
            </w:r>
            <w:r w:rsidRPr="00F4758C">
              <w:rPr>
                <w:lang w:val="en-GB" w:eastAsia="fr-FR"/>
              </w:rPr>
              <w:t xml:space="preserve">the latter </w:t>
            </w:r>
            <w:r w:rsidR="00D702F6" w:rsidRPr="00F4758C">
              <w:rPr>
                <w:lang w:val="en-GB" w:eastAsia="fr-FR"/>
              </w:rPr>
              <w:t xml:space="preserve">with the reality </w:t>
            </w:r>
            <w:r w:rsidRPr="00F4758C">
              <w:rPr>
                <w:lang w:val="en-GB" w:eastAsia="fr-FR"/>
              </w:rPr>
              <w:t>of disability</w:t>
            </w:r>
            <w:r w:rsidR="0056162A" w:rsidRPr="00F4758C">
              <w:rPr>
                <w:lang w:val="en-GB" w:eastAsia="fr-FR"/>
              </w:rPr>
              <w:t>.</w:t>
            </w:r>
          </w:p>
          <w:p w14:paraId="36B3C7A3" w14:textId="0887A222" w:rsidR="00D702F6" w:rsidRPr="00F4758C" w:rsidRDefault="00D702F6">
            <w:pPr>
              <w:numPr>
                <w:ilvl w:val="0"/>
                <w:numId w:val="46"/>
              </w:numPr>
              <w:rPr>
                <w:lang w:val="en-GB" w:eastAsia="fr-FR"/>
              </w:rPr>
            </w:pPr>
            <w:r w:rsidRPr="00F4758C">
              <w:rPr>
                <w:lang w:val="en-GB" w:eastAsia="fr-FR"/>
              </w:rPr>
              <w:t>Develop practical tools and guides, using real-life examples</w:t>
            </w:r>
            <w:r w:rsidR="0056162A" w:rsidRPr="00F4758C">
              <w:rPr>
                <w:lang w:val="en-GB" w:eastAsia="fr-FR"/>
              </w:rPr>
              <w:t>.</w:t>
            </w:r>
          </w:p>
          <w:p w14:paraId="29FE8DDC" w14:textId="16DBAE7A" w:rsidR="00D702F6" w:rsidRPr="00F4758C" w:rsidRDefault="00D702F6">
            <w:pPr>
              <w:numPr>
                <w:ilvl w:val="0"/>
                <w:numId w:val="46"/>
              </w:numPr>
              <w:rPr>
                <w:lang w:val="en-GB" w:eastAsia="fr-FR"/>
              </w:rPr>
            </w:pPr>
            <w:r w:rsidRPr="00F4758C">
              <w:rPr>
                <w:lang w:val="en-GB" w:eastAsia="fr-FR"/>
              </w:rPr>
              <w:t xml:space="preserve">Capitalise on in-house training and the recruitment of staff </w:t>
            </w:r>
            <w:r w:rsidR="0056162A" w:rsidRPr="00F4758C">
              <w:rPr>
                <w:lang w:val="en-GB" w:eastAsia="fr-FR"/>
              </w:rPr>
              <w:t xml:space="preserve">with </w:t>
            </w:r>
            <w:r w:rsidRPr="00F4758C">
              <w:rPr>
                <w:lang w:val="en-GB" w:eastAsia="fr-FR"/>
              </w:rPr>
              <w:t>expertise in accessibility</w:t>
            </w:r>
            <w:r w:rsidR="0056162A" w:rsidRPr="00F4758C">
              <w:rPr>
                <w:lang w:val="en-GB" w:eastAsia="fr-FR"/>
              </w:rPr>
              <w:t>.</w:t>
            </w:r>
          </w:p>
          <w:p w14:paraId="2594FC01" w14:textId="50D3F372" w:rsidR="00D702F6" w:rsidRPr="00F4758C" w:rsidRDefault="00D702F6">
            <w:pPr>
              <w:numPr>
                <w:ilvl w:val="0"/>
                <w:numId w:val="46"/>
              </w:numPr>
              <w:rPr>
                <w:lang w:val="en-GB" w:eastAsia="fr-FR"/>
              </w:rPr>
            </w:pPr>
            <w:r w:rsidRPr="00F4758C">
              <w:rPr>
                <w:lang w:val="en-GB" w:eastAsia="fr-FR"/>
              </w:rPr>
              <w:t xml:space="preserve">Highlight internal </w:t>
            </w:r>
            <w:r w:rsidR="00BD1AC1">
              <w:rPr>
                <w:lang w:val="en-GB" w:eastAsia="fr-FR"/>
              </w:rPr>
              <w:t>“</w:t>
            </w:r>
            <w:r w:rsidRPr="00F4758C">
              <w:rPr>
                <w:lang w:val="en-GB" w:eastAsia="fr-FR"/>
              </w:rPr>
              <w:t xml:space="preserve">success </w:t>
            </w:r>
            <w:r w:rsidR="0056162A" w:rsidRPr="00F4758C">
              <w:rPr>
                <w:lang w:val="en-GB" w:eastAsia="fr-FR"/>
              </w:rPr>
              <w:t>stories</w:t>
            </w:r>
            <w:r w:rsidR="00BD1AC1">
              <w:rPr>
                <w:lang w:val="en-GB" w:eastAsia="fr-FR"/>
              </w:rPr>
              <w:t>”</w:t>
            </w:r>
            <w:r w:rsidR="0056162A" w:rsidRPr="00F4758C">
              <w:rPr>
                <w:lang w:val="en-GB" w:eastAsia="fr-FR"/>
              </w:rPr>
              <w:t xml:space="preserve"> </w:t>
            </w:r>
            <w:r w:rsidRPr="00F4758C">
              <w:rPr>
                <w:lang w:val="en-GB" w:eastAsia="fr-FR"/>
              </w:rPr>
              <w:t>to maintain commitment</w:t>
            </w:r>
            <w:r w:rsidR="0056162A" w:rsidRPr="00F4758C">
              <w:rPr>
                <w:lang w:val="en-GB" w:eastAsia="fr-FR"/>
              </w:rPr>
              <w:t>.</w:t>
            </w:r>
          </w:p>
        </w:tc>
      </w:tr>
      <w:tr w:rsidR="00D702F6" w:rsidRPr="004B4BDE" w14:paraId="6F0CD57E" w14:textId="77777777" w:rsidTr="00646CD1">
        <w:trPr>
          <w:trHeight w:val="3051"/>
        </w:trPr>
        <w:tc>
          <w:tcPr>
            <w:tcW w:w="31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B197A84" w14:textId="77777777" w:rsidR="00D702F6" w:rsidRPr="00F4758C" w:rsidRDefault="00D702F6" w:rsidP="00A76094">
            <w:pPr>
              <w:ind w:left="99" w:right="243"/>
              <w:jc w:val="left"/>
              <w:rPr>
                <w:lang w:val="en-GB" w:eastAsia="fr-FR"/>
              </w:rPr>
            </w:pPr>
            <w:r w:rsidRPr="00F4758C">
              <w:rPr>
                <w:b/>
                <w:bCs/>
                <w:lang w:val="en-GB" w:eastAsia="fr-FR"/>
              </w:rPr>
              <w:t>Isolated technical approach</w:t>
            </w:r>
          </w:p>
          <w:p w14:paraId="2E70D135" w14:textId="57823EDB" w:rsidR="00D702F6" w:rsidRPr="00F4758C" w:rsidRDefault="00D702F6" w:rsidP="00646CD1">
            <w:pPr>
              <w:ind w:left="99" w:right="243"/>
              <w:jc w:val="left"/>
              <w:rPr>
                <w:lang w:val="en-GB" w:eastAsia="fr-FR"/>
              </w:rPr>
            </w:pPr>
            <w:r w:rsidRPr="00F4758C">
              <w:rPr>
                <w:lang w:val="en-GB" w:eastAsia="fr-FR"/>
              </w:rPr>
              <w:t>Complexity in maintaining accessibility throughout the product’s lifecycle.</w:t>
            </w:r>
          </w:p>
        </w:tc>
        <w:tc>
          <w:tcPr>
            <w:tcW w:w="637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3916A31D" w14:textId="77777777" w:rsidR="00D702F6" w:rsidRPr="00D702F6" w:rsidRDefault="00D702F6" w:rsidP="00A76094">
            <w:pPr>
              <w:ind w:left="99" w:right="243"/>
              <w:jc w:val="left"/>
              <w:rPr>
                <w:lang w:eastAsia="fr-FR"/>
              </w:rPr>
            </w:pPr>
            <w:r w:rsidRPr="00D702F6">
              <w:rPr>
                <w:b/>
                <w:bCs/>
                <w:lang w:eastAsia="fr-FR"/>
              </w:rPr>
              <w:t>Standardisation of the approach</w:t>
            </w:r>
          </w:p>
          <w:p w14:paraId="5B14AB7E" w14:textId="12C83D0D" w:rsidR="009F5E7E" w:rsidRPr="00F4758C" w:rsidRDefault="009F5E7E">
            <w:pPr>
              <w:numPr>
                <w:ilvl w:val="0"/>
                <w:numId w:val="47"/>
              </w:numPr>
              <w:rPr>
                <w:lang w:val="en-GB" w:eastAsia="fr-FR"/>
              </w:rPr>
            </w:pPr>
            <w:r w:rsidRPr="00F4758C">
              <w:rPr>
                <w:lang w:val="en-GB" w:eastAsia="fr-FR"/>
              </w:rPr>
              <w:t xml:space="preserve">Move beyond a simple </w:t>
            </w:r>
            <w:r w:rsidR="00BD1AC1">
              <w:rPr>
                <w:lang w:val="en-GB" w:eastAsia="fr-FR"/>
              </w:rPr>
              <w:t>“</w:t>
            </w:r>
            <w:r w:rsidRPr="00F4758C">
              <w:rPr>
                <w:lang w:val="en-GB" w:eastAsia="fr-FR"/>
              </w:rPr>
              <w:t>compliance project</w:t>
            </w:r>
            <w:r w:rsidR="00BD1AC1">
              <w:rPr>
                <w:lang w:val="en-GB" w:eastAsia="fr-FR"/>
              </w:rPr>
              <w:t>”</w:t>
            </w:r>
            <w:r w:rsidRPr="00F4758C">
              <w:rPr>
                <w:lang w:val="en-GB" w:eastAsia="fr-FR"/>
              </w:rPr>
              <w:t xml:space="preserve"> approach to ensure accessibility is built in natively and on an ongoing basis.</w:t>
            </w:r>
          </w:p>
          <w:p w14:paraId="347C669A" w14:textId="298E81C2" w:rsidR="00D702F6" w:rsidRPr="00F4758C" w:rsidRDefault="00D702F6">
            <w:pPr>
              <w:numPr>
                <w:ilvl w:val="0"/>
                <w:numId w:val="47"/>
              </w:numPr>
              <w:rPr>
                <w:lang w:val="en-GB" w:eastAsia="fr-FR"/>
              </w:rPr>
            </w:pPr>
            <w:r w:rsidRPr="00F4758C">
              <w:rPr>
                <w:lang w:val="en-GB" w:eastAsia="fr-FR"/>
              </w:rPr>
              <w:t xml:space="preserve">Use of a </w:t>
            </w:r>
            <w:r w:rsidRPr="001F2368">
              <w:rPr>
                <w:lang w:val="en-GB" w:eastAsia="fr-FR"/>
              </w:rPr>
              <w:t xml:space="preserve">Design System </w:t>
            </w:r>
            <w:r w:rsidRPr="00F4758C">
              <w:rPr>
                <w:lang w:val="en-GB" w:eastAsia="fr-FR"/>
              </w:rPr>
              <w:t xml:space="preserve">that natively integrates accessible components to harmonise and facilitate: </w:t>
            </w:r>
          </w:p>
          <w:p w14:paraId="2378FE55" w14:textId="5B4DEA70" w:rsidR="00D702F6" w:rsidRPr="00D702F6" w:rsidRDefault="00D702F6">
            <w:pPr>
              <w:numPr>
                <w:ilvl w:val="1"/>
                <w:numId w:val="47"/>
              </w:numPr>
              <w:ind w:left="1434" w:hanging="357"/>
              <w:contextualSpacing/>
              <w:rPr>
                <w:lang w:eastAsia="fr-FR"/>
              </w:rPr>
            </w:pPr>
            <w:r w:rsidRPr="00D702F6">
              <w:rPr>
                <w:lang w:eastAsia="fr-FR"/>
              </w:rPr>
              <w:t>adherence</w:t>
            </w:r>
            <w:r w:rsidR="0056162A">
              <w:rPr>
                <w:lang w:eastAsia="fr-FR"/>
              </w:rPr>
              <w:t>,</w:t>
            </w:r>
          </w:p>
          <w:p w14:paraId="73C1DB4B" w14:textId="0C571F77" w:rsidR="00D702F6" w:rsidRPr="00D702F6" w:rsidRDefault="00D702F6">
            <w:pPr>
              <w:numPr>
                <w:ilvl w:val="1"/>
                <w:numId w:val="47"/>
              </w:numPr>
              <w:ind w:left="1434" w:hanging="357"/>
              <w:contextualSpacing/>
              <w:rPr>
                <w:lang w:eastAsia="fr-FR"/>
              </w:rPr>
            </w:pPr>
            <w:r w:rsidRPr="00D702F6">
              <w:rPr>
                <w:lang w:eastAsia="fr-FR"/>
              </w:rPr>
              <w:t>maintenance operations</w:t>
            </w:r>
            <w:r w:rsidR="0056162A">
              <w:rPr>
                <w:lang w:eastAsia="fr-FR"/>
              </w:rPr>
              <w:t>,</w:t>
            </w:r>
          </w:p>
          <w:p w14:paraId="6203A51D" w14:textId="77777777" w:rsidR="00D702F6" w:rsidRPr="00F4758C" w:rsidRDefault="00D702F6">
            <w:pPr>
              <w:numPr>
                <w:ilvl w:val="1"/>
                <w:numId w:val="47"/>
              </w:numPr>
              <w:ind w:left="1434" w:hanging="357"/>
              <w:contextualSpacing/>
              <w:rPr>
                <w:lang w:val="en-GB" w:eastAsia="fr-FR"/>
              </w:rPr>
            </w:pPr>
            <w:r w:rsidRPr="00F4758C">
              <w:rPr>
                <w:lang w:val="en-GB" w:eastAsia="fr-FR"/>
              </w:rPr>
              <w:t>the long-term retention of in-house expertise.</w:t>
            </w:r>
          </w:p>
          <w:p w14:paraId="6F06B2F8" w14:textId="77777777" w:rsidR="00646CD1" w:rsidRPr="00F4758C" w:rsidRDefault="00646CD1" w:rsidP="00646CD1">
            <w:pPr>
              <w:contextualSpacing/>
              <w:rPr>
                <w:lang w:val="en-GB" w:eastAsia="fr-FR"/>
              </w:rPr>
            </w:pPr>
          </w:p>
        </w:tc>
      </w:tr>
      <w:tr w:rsidR="00D702F6" w:rsidRPr="004B4BDE" w14:paraId="669B3210" w14:textId="77777777" w:rsidTr="00646CD1">
        <w:trPr>
          <w:trHeight w:val="2672"/>
        </w:trPr>
        <w:tc>
          <w:tcPr>
            <w:tcW w:w="31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5A673749" w14:textId="77777777" w:rsidR="00D702F6" w:rsidRPr="00F4758C" w:rsidRDefault="00D702F6" w:rsidP="00A76094">
            <w:pPr>
              <w:ind w:left="99" w:right="243"/>
              <w:jc w:val="left"/>
              <w:rPr>
                <w:lang w:val="en-GB" w:eastAsia="fr-FR"/>
              </w:rPr>
            </w:pPr>
            <w:r w:rsidRPr="00F4758C">
              <w:rPr>
                <w:b/>
                <w:bCs/>
                <w:lang w:val="en-GB" w:eastAsia="fr-FR"/>
              </w:rPr>
              <w:t>Managing existing systems</w:t>
            </w:r>
          </w:p>
          <w:p w14:paraId="34FB0E17" w14:textId="66F7A35F" w:rsidR="00D702F6" w:rsidRPr="00F4758C" w:rsidRDefault="00D702F6" w:rsidP="00646CD1">
            <w:pPr>
              <w:spacing w:line="276" w:lineRule="auto"/>
              <w:ind w:left="99" w:right="243"/>
              <w:jc w:val="left"/>
              <w:rPr>
                <w:lang w:val="en-GB" w:eastAsia="fr-FR"/>
              </w:rPr>
            </w:pPr>
            <w:r w:rsidRPr="00F4758C">
              <w:rPr>
                <w:lang w:val="en-GB" w:eastAsia="fr-FR"/>
              </w:rPr>
              <w:t xml:space="preserve">Difficulty in managing the compliance of a vast digital </w:t>
            </w:r>
            <w:r w:rsidRPr="001F2368">
              <w:rPr>
                <w:lang w:val="en-GB" w:eastAsia="fr-FR"/>
              </w:rPr>
              <w:t xml:space="preserve">legacy </w:t>
            </w:r>
            <w:r w:rsidRPr="00F4758C">
              <w:rPr>
                <w:lang w:val="en-GB" w:eastAsia="fr-FR"/>
              </w:rPr>
              <w:t>portfolio.</w:t>
            </w:r>
          </w:p>
        </w:tc>
        <w:tc>
          <w:tcPr>
            <w:tcW w:w="637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hideMark/>
          </w:tcPr>
          <w:p w14:paraId="1E5864BF" w14:textId="6F80A555" w:rsidR="00D702F6" w:rsidRPr="00D702F6" w:rsidRDefault="003D76A3" w:rsidP="00646CD1">
            <w:pPr>
              <w:ind w:right="243"/>
              <w:jc w:val="left"/>
              <w:rPr>
                <w:lang w:eastAsia="fr-FR"/>
              </w:rPr>
            </w:pPr>
            <w:r w:rsidRPr="00C86D0A">
              <w:rPr>
                <w:b/>
                <w:bCs/>
                <w:lang w:val="en-GB" w:eastAsia="fr-FR"/>
              </w:rPr>
              <w:t xml:space="preserve">  </w:t>
            </w:r>
            <w:r w:rsidR="00D702F6" w:rsidRPr="00D702F6">
              <w:rPr>
                <w:b/>
                <w:bCs/>
                <w:lang w:eastAsia="fr-FR"/>
              </w:rPr>
              <w:t>Operational Management</w:t>
            </w:r>
          </w:p>
          <w:p w14:paraId="401DA570" w14:textId="4DFC8A0C" w:rsidR="00D702F6" w:rsidRPr="00F4758C" w:rsidRDefault="00D702F6">
            <w:pPr>
              <w:numPr>
                <w:ilvl w:val="0"/>
                <w:numId w:val="48"/>
              </w:numPr>
              <w:spacing w:line="276" w:lineRule="auto"/>
              <w:rPr>
                <w:lang w:val="en-GB" w:eastAsia="fr-FR"/>
              </w:rPr>
            </w:pPr>
            <w:r w:rsidRPr="00F4758C">
              <w:rPr>
                <w:lang w:val="en-GB" w:eastAsia="fr-FR"/>
              </w:rPr>
              <w:t>Define a multi-year plan with a financial breakdown (a clear roadmap covering 1, 3 and 5 years)</w:t>
            </w:r>
            <w:r w:rsidR="0056162A" w:rsidRPr="00F4758C">
              <w:rPr>
                <w:lang w:val="en-GB" w:eastAsia="fr-FR"/>
              </w:rPr>
              <w:t>.</w:t>
            </w:r>
          </w:p>
          <w:p w14:paraId="4C60A06A" w14:textId="29EF470C" w:rsidR="00D702F6" w:rsidRPr="00F4758C" w:rsidRDefault="00D702F6">
            <w:pPr>
              <w:numPr>
                <w:ilvl w:val="0"/>
                <w:numId w:val="48"/>
              </w:numPr>
              <w:spacing w:line="276" w:lineRule="auto"/>
              <w:rPr>
                <w:lang w:val="en-GB" w:eastAsia="fr-FR"/>
              </w:rPr>
            </w:pPr>
            <w:r w:rsidRPr="00F4758C">
              <w:rPr>
                <w:lang w:val="en-GB" w:eastAsia="fr-FR"/>
              </w:rPr>
              <w:t xml:space="preserve">Deploy a website </w:t>
            </w:r>
            <w:r w:rsidRPr="001F2368">
              <w:rPr>
                <w:lang w:val="en-GB" w:eastAsia="fr-FR"/>
              </w:rPr>
              <w:t>monitoring</w:t>
            </w:r>
            <w:r w:rsidRPr="00F4758C">
              <w:rPr>
                <w:lang w:val="en-GB" w:eastAsia="fr-FR"/>
              </w:rPr>
              <w:t xml:space="preserve"> tool to track their level of accessibility over time</w:t>
            </w:r>
            <w:r w:rsidR="0056162A" w:rsidRPr="00F4758C">
              <w:rPr>
                <w:lang w:val="en-GB" w:eastAsia="fr-FR"/>
              </w:rPr>
              <w:t>.</w:t>
            </w:r>
          </w:p>
          <w:p w14:paraId="31F6DD79" w14:textId="238B6C87" w:rsidR="00D702F6" w:rsidRPr="00F4758C" w:rsidRDefault="00D702F6">
            <w:pPr>
              <w:numPr>
                <w:ilvl w:val="0"/>
                <w:numId w:val="48"/>
              </w:numPr>
              <w:spacing w:line="276" w:lineRule="auto"/>
              <w:rPr>
                <w:lang w:val="en-GB" w:eastAsia="fr-FR"/>
              </w:rPr>
            </w:pPr>
            <w:r w:rsidRPr="00F4758C">
              <w:rPr>
                <w:lang w:val="en-GB" w:eastAsia="fr-FR"/>
              </w:rPr>
              <w:t>Prioritise accessibility in business decision-making and ensure the maintenance of legacy systems (technical debt management)</w:t>
            </w:r>
            <w:r w:rsidR="0056162A" w:rsidRPr="00F4758C">
              <w:rPr>
                <w:lang w:val="en-GB" w:eastAsia="fr-FR"/>
              </w:rPr>
              <w:t>.</w:t>
            </w:r>
          </w:p>
        </w:tc>
      </w:tr>
    </w:tbl>
    <w:p w14:paraId="51D3C87B" w14:textId="77777777" w:rsidR="00BA7EFA" w:rsidRPr="00F4758C" w:rsidRDefault="00BA7EFA" w:rsidP="002D2C27">
      <w:pPr>
        <w:rPr>
          <w:lang w:val="en-GB" w:eastAsia="fr-FR"/>
        </w:rPr>
      </w:pPr>
    </w:p>
    <w:p w14:paraId="2DC5911E" w14:textId="39329E36" w:rsidR="00BA7EFA" w:rsidRPr="00F4758C" w:rsidRDefault="00BA7EFA" w:rsidP="00BA7EFA">
      <w:pPr>
        <w:pStyle w:val="Titre2"/>
        <w:rPr>
          <w:lang w:val="en-GB"/>
        </w:rPr>
      </w:pPr>
      <w:bookmarkStart w:id="76" w:name="_Toc230077031"/>
      <w:r w:rsidRPr="00F4758C">
        <w:rPr>
          <w:lang w:val="en-GB"/>
        </w:rPr>
        <w:t>Priority initiatives identified by the working group</w:t>
      </w:r>
      <w:bookmarkEnd w:id="76"/>
    </w:p>
    <w:p w14:paraId="2E81CFAB" w14:textId="77777777" w:rsidR="00DC6797" w:rsidRPr="00F4758C" w:rsidRDefault="00DC6797" w:rsidP="00C328FA">
      <w:pPr>
        <w:rPr>
          <w:lang w:val="en-GB"/>
        </w:rPr>
      </w:pPr>
      <w:r w:rsidRPr="00F4758C">
        <w:rPr>
          <w:lang w:val="en-GB"/>
        </w:rPr>
        <w:t xml:space="preserve">Whilst this document does not claim to be an exhaustive list of accessibility measures, the working group has identified the following priority areas due to their foundational nature. They </w:t>
      </w:r>
      <w:r w:rsidR="00CF439F" w:rsidRPr="00F4758C">
        <w:rPr>
          <w:lang w:val="en-GB"/>
        </w:rPr>
        <w:t xml:space="preserve">can serve as a starting point, providing a concise and practical overview of the essential actions required to effectively launch a digital accessibility initiative. </w:t>
      </w:r>
    </w:p>
    <w:p w14:paraId="713B5DEF" w14:textId="5745DED1" w:rsidR="00BA7EFA" w:rsidRPr="00F4758C" w:rsidRDefault="00BA7EFA" w:rsidP="00BA7EFA">
      <w:pPr>
        <w:pStyle w:val="Titre3"/>
        <w:rPr>
          <w:lang w:val="en-GB"/>
        </w:rPr>
      </w:pPr>
      <w:bookmarkStart w:id="77" w:name="_Toc230077032"/>
      <w:r w:rsidRPr="00F4758C">
        <w:rPr>
          <w:lang w:val="en-GB"/>
        </w:rPr>
        <w:lastRenderedPageBreak/>
        <w:t>Investing in tailored training and awareness-raising</w:t>
      </w:r>
      <w:bookmarkEnd w:id="77"/>
    </w:p>
    <w:p w14:paraId="656C065F" w14:textId="77777777" w:rsidR="00BA7EFA" w:rsidRPr="00F4758C" w:rsidRDefault="00BA7EFA" w:rsidP="00BA7EFA">
      <w:pPr>
        <w:rPr>
          <w:lang w:val="en-GB" w:eastAsia="fr-FR"/>
        </w:rPr>
      </w:pPr>
      <w:r w:rsidRPr="00F4758C">
        <w:rPr>
          <w:lang w:val="en-GB" w:eastAsia="fr-FR"/>
        </w:rPr>
        <w:t xml:space="preserve">Awareness-raising and training on digital accessibility must be extended to all staff. The challenge is to create a chain of responsibility for digital accessibility, from initial training in education through to the ongoing maintenance of accessible digital solutions, by involving cross-functional expertise. </w:t>
      </w:r>
    </w:p>
    <w:p w14:paraId="7C3D53EF" w14:textId="30B136C9" w:rsidR="00BA7EFA" w:rsidRPr="00F4758C" w:rsidRDefault="00BA7EFA" w:rsidP="00BA7EFA">
      <w:pPr>
        <w:rPr>
          <w:lang w:val="en-GB" w:eastAsia="fr-FR"/>
        </w:rPr>
      </w:pPr>
      <w:r w:rsidRPr="00F4758C">
        <w:rPr>
          <w:lang w:val="en-GB" w:eastAsia="fr-FR"/>
        </w:rPr>
        <w:t>Training and awareness-raising therefore take place at several levels: technical</w:t>
      </w:r>
      <w:r w:rsidR="00140986" w:rsidRPr="00F4758C">
        <w:rPr>
          <w:lang w:val="en-GB" w:eastAsia="fr-FR"/>
        </w:rPr>
        <w:t xml:space="preserve"> teams </w:t>
      </w:r>
      <w:r w:rsidRPr="00F4758C">
        <w:rPr>
          <w:lang w:val="en-GB" w:eastAsia="fr-FR"/>
        </w:rPr>
        <w:t>(developers, designers, etc.), office software users</w:t>
      </w:r>
      <w:r w:rsidR="00140986" w:rsidRPr="00F4758C">
        <w:rPr>
          <w:lang w:val="en-GB" w:eastAsia="fr-FR"/>
        </w:rPr>
        <w:t xml:space="preserve">, </w:t>
      </w:r>
      <w:r w:rsidRPr="00F4758C">
        <w:rPr>
          <w:lang w:val="en-GB" w:eastAsia="fr-FR"/>
        </w:rPr>
        <w:t>and decision-makers. Digital departments may take the lead in organising such training, but other departments must also be closely involved, such as the legal</w:t>
      </w:r>
      <w:r w:rsidR="00140986" w:rsidRPr="00F4758C">
        <w:rPr>
          <w:lang w:val="en-GB" w:eastAsia="fr-FR"/>
        </w:rPr>
        <w:t xml:space="preserve"> department </w:t>
      </w:r>
      <w:r w:rsidRPr="00F4758C">
        <w:rPr>
          <w:lang w:val="en-GB" w:eastAsia="fr-FR"/>
        </w:rPr>
        <w:t>or HR.</w:t>
      </w:r>
    </w:p>
    <w:p w14:paraId="57C9E777" w14:textId="03D03BBB" w:rsidR="00BA7EFA" w:rsidRPr="00F4758C" w:rsidRDefault="00140986">
      <w:pPr>
        <w:pStyle w:val="Paragraphedeliste"/>
        <w:numPr>
          <w:ilvl w:val="0"/>
          <w:numId w:val="74"/>
        </w:numPr>
        <w:rPr>
          <w:lang w:val="en-GB" w:eastAsia="fr-FR"/>
        </w:rPr>
      </w:pPr>
      <w:r w:rsidRPr="00354DFA">
        <w:rPr>
          <w:b/>
          <w:bCs/>
          <w:lang w:val="en-GB" w:eastAsia="fr-FR"/>
        </w:rPr>
        <w:t>The</w:t>
      </w:r>
      <w:r w:rsidR="00BA7EFA" w:rsidRPr="00F4758C">
        <w:rPr>
          <w:b/>
          <w:bCs/>
          <w:lang w:val="en-GB" w:eastAsia="fr-FR"/>
        </w:rPr>
        <w:t xml:space="preserve"> first step is to raise awareness amongst decision-makers </w:t>
      </w:r>
      <w:r w:rsidR="00BA7EFA" w:rsidRPr="00F4758C">
        <w:rPr>
          <w:lang w:val="en-GB" w:eastAsia="fr-FR"/>
        </w:rPr>
        <w:t>(IT project managers, senior executives</w:t>
      </w:r>
      <w:r w:rsidRPr="00F4758C">
        <w:rPr>
          <w:lang w:val="en-GB" w:eastAsia="fr-FR"/>
        </w:rPr>
        <w:t>,</w:t>
      </w:r>
      <w:r w:rsidR="00BA7EFA" w:rsidRPr="00F4758C">
        <w:rPr>
          <w:lang w:val="en-GB" w:eastAsia="fr-FR"/>
        </w:rPr>
        <w:t xml:space="preserve"> etc.). The scale of the risks (fines, reputational risk) </w:t>
      </w:r>
      <w:r w:rsidRPr="00F4758C">
        <w:rPr>
          <w:lang w:val="en-GB" w:eastAsia="fr-FR"/>
        </w:rPr>
        <w:t xml:space="preserve">and </w:t>
      </w:r>
      <w:r w:rsidR="00BA7EFA" w:rsidRPr="00F4758C">
        <w:rPr>
          <w:lang w:val="en-GB" w:eastAsia="fr-FR"/>
        </w:rPr>
        <w:t>the opportunities (market expansion, CSR) associated with digital accessibility must be specifically presented to senior management in the most realistic way possible. The challenge is to secure high-level</w:t>
      </w:r>
      <w:r w:rsidR="00BA7EFA" w:rsidRPr="001F2368">
        <w:rPr>
          <w:lang w:val="en-GB" w:eastAsia="fr-FR"/>
        </w:rPr>
        <w:t xml:space="preserve"> support </w:t>
      </w:r>
      <w:r w:rsidR="00BA7EFA" w:rsidRPr="00F4758C">
        <w:rPr>
          <w:lang w:val="en-GB" w:eastAsia="fr-FR"/>
        </w:rPr>
        <w:t xml:space="preserve">and a budget allocation commensurate with the work to be undertaken. It is also essential to emphasise that </w:t>
      </w:r>
      <w:r w:rsidR="00BD1AC1">
        <w:rPr>
          <w:lang w:val="en-GB" w:eastAsia="fr-FR"/>
        </w:rPr>
        <w:t>“</w:t>
      </w:r>
      <w:r w:rsidR="00BA7EFA" w:rsidRPr="00F4758C">
        <w:rPr>
          <w:lang w:val="en-GB" w:eastAsia="fr-FR"/>
        </w:rPr>
        <w:t xml:space="preserve">ignorance of the law is no </w:t>
      </w:r>
      <w:r w:rsidRPr="00F4758C">
        <w:rPr>
          <w:lang w:val="en-GB" w:eastAsia="fr-FR"/>
        </w:rPr>
        <w:t>excuse</w:t>
      </w:r>
      <w:r w:rsidR="00BD1AC1">
        <w:rPr>
          <w:lang w:val="en-GB" w:eastAsia="fr-FR"/>
        </w:rPr>
        <w:t>”</w:t>
      </w:r>
      <w:r w:rsidRPr="00F4758C">
        <w:rPr>
          <w:lang w:val="en-GB" w:eastAsia="fr-FR"/>
        </w:rPr>
        <w:t xml:space="preserve"> </w:t>
      </w:r>
      <w:r w:rsidR="00BA7EFA" w:rsidRPr="00F4758C">
        <w:rPr>
          <w:lang w:val="en-GB" w:eastAsia="fr-FR"/>
        </w:rPr>
        <w:t>and that the legal and financial implications concern every management role (Legal, Finance, IT</w:t>
      </w:r>
      <w:r w:rsidR="00037982" w:rsidRPr="00F4758C">
        <w:rPr>
          <w:lang w:val="en-GB" w:eastAsia="fr-FR"/>
        </w:rPr>
        <w:t>, etc.</w:t>
      </w:r>
      <w:r w:rsidR="00BA7EFA" w:rsidRPr="00F4758C">
        <w:rPr>
          <w:lang w:val="en-GB" w:eastAsia="fr-FR"/>
        </w:rPr>
        <w:t xml:space="preserve">) and </w:t>
      </w:r>
      <w:r w:rsidRPr="00F4758C">
        <w:rPr>
          <w:lang w:val="en-GB" w:eastAsia="fr-FR"/>
        </w:rPr>
        <w:t>corporate officers</w:t>
      </w:r>
      <w:r w:rsidR="00BA7EFA" w:rsidRPr="00F4758C">
        <w:rPr>
          <w:lang w:val="en-GB" w:eastAsia="fr-FR"/>
        </w:rPr>
        <w:t xml:space="preserve">. </w:t>
      </w:r>
    </w:p>
    <w:p w14:paraId="2B06DDFF" w14:textId="77777777" w:rsidR="00605612" w:rsidRPr="00F4758C" w:rsidRDefault="00605612" w:rsidP="00605612">
      <w:pPr>
        <w:pStyle w:val="Paragraphedeliste"/>
        <w:ind w:left="360"/>
        <w:rPr>
          <w:lang w:val="en-GB" w:eastAsia="fr-FR"/>
        </w:rPr>
      </w:pPr>
    </w:p>
    <w:p w14:paraId="5DFD4BFB" w14:textId="7BACF047" w:rsidR="00402C31" w:rsidRPr="00F4758C" w:rsidRDefault="00BA7EFA">
      <w:pPr>
        <w:pStyle w:val="Paragraphedeliste"/>
        <w:numPr>
          <w:ilvl w:val="0"/>
          <w:numId w:val="74"/>
        </w:numPr>
        <w:rPr>
          <w:lang w:val="en-GB" w:eastAsia="fr-FR"/>
        </w:rPr>
      </w:pPr>
      <w:r w:rsidRPr="00F4758C">
        <w:rPr>
          <w:b/>
          <w:bCs/>
          <w:lang w:val="en-GB" w:eastAsia="fr-FR"/>
        </w:rPr>
        <w:t xml:space="preserve">The second stage involves engaging the teams </w:t>
      </w:r>
      <w:r w:rsidR="00402C31" w:rsidRPr="00F4758C">
        <w:rPr>
          <w:lang w:val="en-GB" w:eastAsia="fr-FR"/>
        </w:rPr>
        <w:t xml:space="preserve">through the roll-out of two training programmes: </w:t>
      </w:r>
    </w:p>
    <w:p w14:paraId="5D08F01F" w14:textId="5856E1F6" w:rsidR="00605612" w:rsidRPr="00F4758C" w:rsidRDefault="00402C31">
      <w:pPr>
        <w:pStyle w:val="Paragraphedeliste"/>
        <w:numPr>
          <w:ilvl w:val="0"/>
          <w:numId w:val="77"/>
        </w:numPr>
        <w:rPr>
          <w:lang w:val="en-GB" w:eastAsia="fr-FR"/>
        </w:rPr>
      </w:pPr>
      <w:r w:rsidRPr="00F4758C">
        <w:rPr>
          <w:b/>
          <w:bCs/>
          <w:lang w:val="en-GB" w:eastAsia="fr-FR"/>
        </w:rPr>
        <w:t xml:space="preserve">Training for technical teams directly involved in the initiative </w:t>
      </w:r>
      <w:r w:rsidRPr="00F4758C">
        <w:rPr>
          <w:lang w:val="en-GB" w:eastAsia="fr-FR"/>
        </w:rPr>
        <w:t>(</w:t>
      </w:r>
      <w:r w:rsidRPr="001F2368">
        <w:rPr>
          <w:lang w:val="en-GB" w:eastAsia="fr-FR"/>
        </w:rPr>
        <w:t>front-end</w:t>
      </w:r>
      <w:r w:rsidRPr="00F4758C">
        <w:rPr>
          <w:lang w:val="en-GB" w:eastAsia="fr-FR"/>
        </w:rPr>
        <w:t xml:space="preserve"> developers, </w:t>
      </w:r>
      <w:r w:rsidRPr="001F2368">
        <w:rPr>
          <w:lang w:val="en-GB" w:eastAsia="fr-FR"/>
        </w:rPr>
        <w:t>business analysts</w:t>
      </w:r>
      <w:r w:rsidRPr="00F4758C">
        <w:rPr>
          <w:lang w:val="en-GB" w:eastAsia="fr-FR"/>
        </w:rPr>
        <w:t>, testers, etc.)</w:t>
      </w:r>
      <w:r w:rsidR="00605612" w:rsidRPr="00F4758C">
        <w:rPr>
          <w:lang w:val="en-GB" w:eastAsia="fr-FR"/>
        </w:rPr>
        <w:t>. They must receive accredited and ongoing training comprising specific modules:</w:t>
      </w:r>
    </w:p>
    <w:p w14:paraId="3AF0BE50" w14:textId="77777777" w:rsidR="00605612" w:rsidRDefault="00605612">
      <w:pPr>
        <w:pStyle w:val="Paragraphedeliste"/>
        <w:numPr>
          <w:ilvl w:val="1"/>
          <w:numId w:val="77"/>
        </w:numPr>
        <w:rPr>
          <w:lang w:eastAsia="fr-FR"/>
        </w:rPr>
      </w:pPr>
      <w:r>
        <w:rPr>
          <w:lang w:eastAsia="fr-FR"/>
        </w:rPr>
        <w:t xml:space="preserve">Accessible front-end development (RGAA), </w:t>
      </w:r>
    </w:p>
    <w:p w14:paraId="40C1CFDD" w14:textId="77777777" w:rsidR="00605612" w:rsidRDefault="00605612">
      <w:pPr>
        <w:pStyle w:val="Paragraphedeliste"/>
        <w:numPr>
          <w:ilvl w:val="1"/>
          <w:numId w:val="77"/>
        </w:numPr>
        <w:rPr>
          <w:lang w:eastAsia="fr-FR"/>
        </w:rPr>
      </w:pPr>
      <w:r>
        <w:rPr>
          <w:lang w:eastAsia="fr-FR"/>
        </w:rPr>
        <w:t xml:space="preserve">Inclusive UX/UI design, </w:t>
      </w:r>
    </w:p>
    <w:p w14:paraId="66503217" w14:textId="77777777" w:rsidR="00605612" w:rsidRPr="00F4758C" w:rsidRDefault="00605612">
      <w:pPr>
        <w:pStyle w:val="Paragraphedeliste"/>
        <w:numPr>
          <w:ilvl w:val="1"/>
          <w:numId w:val="77"/>
        </w:numPr>
        <w:rPr>
          <w:lang w:val="en-GB" w:eastAsia="fr-FR"/>
        </w:rPr>
      </w:pPr>
      <w:r w:rsidRPr="00F4758C">
        <w:rPr>
          <w:lang w:val="en-GB" w:eastAsia="fr-FR"/>
        </w:rPr>
        <w:t xml:space="preserve">Proficiency in automated testing tools. </w:t>
      </w:r>
    </w:p>
    <w:p w14:paraId="5958BC51" w14:textId="2D9E9045" w:rsidR="00402C31" w:rsidRPr="00F4758C" w:rsidRDefault="00402C31" w:rsidP="00605612">
      <w:pPr>
        <w:pStyle w:val="Paragraphedeliste"/>
        <w:rPr>
          <w:lang w:val="en-GB" w:eastAsia="fr-FR"/>
        </w:rPr>
      </w:pPr>
    </w:p>
    <w:p w14:paraId="668DD5D1" w14:textId="5FE941F9" w:rsidR="00402C31" w:rsidRPr="00F4758C" w:rsidRDefault="00402C31">
      <w:pPr>
        <w:pStyle w:val="Paragraphedeliste"/>
        <w:numPr>
          <w:ilvl w:val="0"/>
          <w:numId w:val="77"/>
        </w:numPr>
        <w:rPr>
          <w:lang w:val="en-GB" w:eastAsia="fr-FR"/>
        </w:rPr>
      </w:pPr>
      <w:r w:rsidRPr="00F4758C">
        <w:rPr>
          <w:b/>
          <w:bCs/>
          <w:lang w:val="en-GB" w:eastAsia="fr-FR"/>
        </w:rPr>
        <w:t xml:space="preserve">Training, within each business function, for everyday users </w:t>
      </w:r>
      <w:r w:rsidRPr="00F4758C">
        <w:rPr>
          <w:lang w:val="en-GB" w:eastAsia="fr-FR"/>
        </w:rPr>
        <w:t xml:space="preserve">who produce digital content (office documents, PDFs, emails, videos) or validate procedures (specific training on writing and creating accessible materials, demonstrating how to balance editorial quality with compliance; checklists tailored to each business function; practical examples such as creating a newsletter or drafting a PDF, etc.). </w:t>
      </w:r>
    </w:p>
    <w:p w14:paraId="34C3C883" w14:textId="2661375B" w:rsidR="00605612" w:rsidRPr="00F4758C" w:rsidRDefault="00BA7EFA" w:rsidP="00BA7EFA">
      <w:pPr>
        <w:rPr>
          <w:i/>
          <w:iCs/>
          <w:lang w:val="en-GB" w:eastAsia="fr-FR"/>
        </w:rPr>
      </w:pPr>
      <w:r w:rsidRPr="00F4758C">
        <w:rPr>
          <w:i/>
          <w:iCs/>
          <w:lang w:val="en-GB" w:eastAsia="fr-FR"/>
        </w:rPr>
        <w:t xml:space="preserve">NB: It is also worth supporting the integration of digital accessibility modules into the initial training programmes of engineering, IT and design schools, following the example of initiatives taken for eco-design (REEN Act – 2021). </w:t>
      </w:r>
    </w:p>
    <w:p w14:paraId="204BCBDB" w14:textId="70381AB4" w:rsidR="00BA7EFA" w:rsidRPr="00F4758C" w:rsidRDefault="00BA7EFA">
      <w:pPr>
        <w:pStyle w:val="Paragraphedeliste"/>
        <w:numPr>
          <w:ilvl w:val="0"/>
          <w:numId w:val="74"/>
        </w:numPr>
        <w:rPr>
          <w:lang w:val="en-GB" w:eastAsia="fr-FR"/>
        </w:rPr>
      </w:pPr>
      <w:r w:rsidRPr="00F4758C">
        <w:rPr>
          <w:b/>
          <w:bCs/>
          <w:lang w:val="en-GB" w:eastAsia="fr-FR"/>
        </w:rPr>
        <w:t>The third stage involves building in-house expertise to ensure the sustainability of the approach</w:t>
      </w:r>
      <w:r w:rsidRPr="00F4758C">
        <w:rPr>
          <w:lang w:val="en-GB" w:eastAsia="fr-FR"/>
        </w:rPr>
        <w:t xml:space="preserve">, even though audits and user testing may continue to be outsourced (with support) to qualified service providers. In practical terms, </w:t>
      </w:r>
      <w:r w:rsidR="00605612" w:rsidRPr="00F4758C">
        <w:rPr>
          <w:lang w:val="en-GB" w:eastAsia="fr-FR"/>
        </w:rPr>
        <w:t xml:space="preserve">this </w:t>
      </w:r>
      <w:r w:rsidRPr="00F4758C">
        <w:rPr>
          <w:lang w:val="en-GB" w:eastAsia="fr-FR"/>
        </w:rPr>
        <w:t>can be achieved in several ways:</w:t>
      </w:r>
    </w:p>
    <w:p w14:paraId="16D85C3D" w14:textId="47CF73A2" w:rsidR="00BA7EFA" w:rsidRPr="00F4758C" w:rsidRDefault="00BA7EFA">
      <w:pPr>
        <w:numPr>
          <w:ilvl w:val="0"/>
          <w:numId w:val="50"/>
        </w:numPr>
        <w:rPr>
          <w:lang w:val="en-GB" w:eastAsia="fr-FR"/>
        </w:rPr>
      </w:pPr>
      <w:r w:rsidRPr="00F4758C">
        <w:rPr>
          <w:b/>
          <w:bCs/>
          <w:lang w:val="en-GB" w:eastAsia="fr-FR"/>
        </w:rPr>
        <w:t xml:space="preserve">Identifying internal liaisons and ambassadors </w:t>
      </w:r>
      <w:r w:rsidRPr="00F4758C">
        <w:rPr>
          <w:lang w:val="en-GB" w:eastAsia="fr-FR"/>
        </w:rPr>
        <w:t xml:space="preserve">within each department who contribute, </w:t>
      </w:r>
      <w:r w:rsidR="00605612" w:rsidRPr="00F4758C">
        <w:rPr>
          <w:lang w:val="en-GB" w:eastAsia="fr-FR"/>
        </w:rPr>
        <w:t>or are likely to contribute</w:t>
      </w:r>
      <w:r w:rsidRPr="00F4758C">
        <w:rPr>
          <w:lang w:val="en-GB" w:eastAsia="fr-FR"/>
        </w:rPr>
        <w:t>,</w:t>
      </w:r>
      <w:r w:rsidR="00605612" w:rsidRPr="00F4758C">
        <w:rPr>
          <w:lang w:val="en-GB" w:eastAsia="fr-FR"/>
        </w:rPr>
        <w:t xml:space="preserve"> </w:t>
      </w:r>
      <w:r w:rsidRPr="00F4758C">
        <w:rPr>
          <w:lang w:val="en-GB" w:eastAsia="fr-FR"/>
        </w:rPr>
        <w:t>to the dissemination of best practice</w:t>
      </w:r>
      <w:r w:rsidR="00E717B1" w:rsidRPr="00F4758C">
        <w:rPr>
          <w:lang w:val="en-GB" w:eastAsia="fr-FR"/>
        </w:rPr>
        <w:t>.</w:t>
      </w:r>
    </w:p>
    <w:p w14:paraId="0557552C" w14:textId="5D5542CE" w:rsidR="00BA7EFA" w:rsidRPr="00F4758C" w:rsidRDefault="001C39FA">
      <w:pPr>
        <w:numPr>
          <w:ilvl w:val="0"/>
          <w:numId w:val="50"/>
        </w:numPr>
        <w:rPr>
          <w:lang w:val="en-GB" w:eastAsia="fr-FR"/>
        </w:rPr>
      </w:pPr>
      <w:r w:rsidRPr="00F4758C">
        <w:rPr>
          <w:b/>
          <w:bCs/>
          <w:lang w:val="en-GB" w:eastAsia="fr-FR"/>
        </w:rPr>
        <w:t xml:space="preserve">Involving </w:t>
      </w:r>
      <w:r w:rsidR="00BA7EFA" w:rsidRPr="00F4758C">
        <w:rPr>
          <w:b/>
          <w:bCs/>
          <w:lang w:val="en-GB" w:eastAsia="fr-FR"/>
        </w:rPr>
        <w:t>people with disabilities</w:t>
      </w:r>
      <w:r w:rsidR="00BA7EFA" w:rsidRPr="00F4758C">
        <w:rPr>
          <w:lang w:val="en-GB" w:eastAsia="fr-FR"/>
        </w:rPr>
        <w:t xml:space="preserve">: this is one of the best ways to raise awareness amongst staff and ensure usability accessibility. Furthermore, their presence and participation in user </w:t>
      </w:r>
      <w:r w:rsidR="00BA7EFA" w:rsidRPr="00F4758C">
        <w:rPr>
          <w:lang w:val="en-GB" w:eastAsia="fr-FR"/>
        </w:rPr>
        <w:lastRenderedPageBreak/>
        <w:t>testing is the most practical and human way of fostering lasting awareness amongst product teams.</w:t>
      </w:r>
    </w:p>
    <w:p w14:paraId="026B37A1" w14:textId="007BAF18" w:rsidR="00BA7EFA" w:rsidRPr="00F4758C" w:rsidRDefault="00BA7EFA">
      <w:pPr>
        <w:numPr>
          <w:ilvl w:val="0"/>
          <w:numId w:val="50"/>
        </w:numPr>
        <w:rPr>
          <w:lang w:val="en-GB" w:eastAsia="fr-FR"/>
        </w:rPr>
      </w:pPr>
      <w:r w:rsidRPr="00F4758C">
        <w:rPr>
          <w:b/>
          <w:bCs/>
          <w:lang w:val="en-GB" w:eastAsia="fr-FR"/>
        </w:rPr>
        <w:t>The inclusion</w:t>
      </w:r>
      <w:r w:rsidR="00605612" w:rsidRPr="00F4758C">
        <w:rPr>
          <w:b/>
          <w:bCs/>
          <w:lang w:val="en-GB" w:eastAsia="fr-FR"/>
        </w:rPr>
        <w:t>,</w:t>
      </w:r>
      <w:r w:rsidRPr="00F4758C">
        <w:rPr>
          <w:b/>
          <w:bCs/>
          <w:lang w:val="en-GB" w:eastAsia="fr-FR"/>
        </w:rPr>
        <w:t xml:space="preserve"> as standard</w:t>
      </w:r>
      <w:r w:rsidR="00605612" w:rsidRPr="00F4758C">
        <w:rPr>
          <w:b/>
          <w:bCs/>
          <w:lang w:val="en-GB" w:eastAsia="fr-FR"/>
        </w:rPr>
        <w:t xml:space="preserve">, of </w:t>
      </w:r>
      <w:r w:rsidRPr="00F4758C">
        <w:rPr>
          <w:b/>
          <w:bCs/>
          <w:lang w:val="en-GB" w:eastAsia="fr-FR"/>
        </w:rPr>
        <w:t>digital accessibility skills</w:t>
      </w:r>
      <w:r w:rsidR="00605612" w:rsidRPr="00F4758C">
        <w:rPr>
          <w:b/>
          <w:bCs/>
          <w:lang w:val="en-GB" w:eastAsia="fr-FR"/>
        </w:rPr>
        <w:t xml:space="preserve"> requirements </w:t>
      </w:r>
      <w:r w:rsidRPr="00F4758C">
        <w:rPr>
          <w:b/>
          <w:bCs/>
          <w:lang w:val="en-GB" w:eastAsia="fr-FR"/>
        </w:rPr>
        <w:t xml:space="preserve">in job advertisements </w:t>
      </w:r>
      <w:r w:rsidRPr="00F4758C">
        <w:rPr>
          <w:lang w:val="en-GB" w:eastAsia="fr-FR"/>
        </w:rPr>
        <w:t xml:space="preserve">for technical roles (Developers, UX/UI, QA). Mandatory awareness-raising modules can also be included in the </w:t>
      </w:r>
      <w:r w:rsidRPr="001F2368">
        <w:rPr>
          <w:b/>
          <w:bCs/>
          <w:lang w:val="en-GB" w:eastAsia="fr-FR"/>
        </w:rPr>
        <w:t>onboarding</w:t>
      </w:r>
      <w:r w:rsidRPr="00F4758C">
        <w:rPr>
          <w:b/>
          <w:bCs/>
          <w:lang w:val="en-GB" w:eastAsia="fr-FR"/>
        </w:rPr>
        <w:t xml:space="preserve"> process </w:t>
      </w:r>
      <w:r w:rsidRPr="00F4758C">
        <w:rPr>
          <w:lang w:val="en-GB" w:eastAsia="fr-FR"/>
        </w:rPr>
        <w:t>for all new recruits to the organisation.</w:t>
      </w:r>
    </w:p>
    <w:p w14:paraId="018E6261" w14:textId="6304A6B5" w:rsidR="00BA7EFA" w:rsidRPr="00F4758C" w:rsidRDefault="00BA7EFA" w:rsidP="00BA7EFA">
      <w:pPr>
        <w:pStyle w:val="Titre3"/>
        <w:rPr>
          <w:lang w:val="en-GB"/>
        </w:rPr>
      </w:pPr>
      <w:bookmarkStart w:id="78" w:name="_Toc230077033"/>
      <w:r w:rsidRPr="00F4758C">
        <w:rPr>
          <w:lang w:val="en-GB"/>
        </w:rPr>
        <w:t>Establishing structured governance that is maintained over time</w:t>
      </w:r>
      <w:bookmarkEnd w:id="78"/>
    </w:p>
    <w:p w14:paraId="209BD1B9" w14:textId="374540AE" w:rsidR="00BA7EFA" w:rsidRPr="00F4758C" w:rsidRDefault="00BA7EFA" w:rsidP="00BA7EFA">
      <w:pPr>
        <w:rPr>
          <w:lang w:val="en-GB" w:eastAsia="fr-FR"/>
        </w:rPr>
      </w:pPr>
      <w:r w:rsidRPr="00F4758C">
        <w:rPr>
          <w:lang w:val="en-GB" w:eastAsia="fr-FR"/>
        </w:rPr>
        <w:t>Positioning digital accessibility as a key driver of business transformation involves various concrete actions</w:t>
      </w:r>
      <w:r w:rsidR="00605612" w:rsidRPr="00F4758C">
        <w:rPr>
          <w:lang w:val="en-GB" w:eastAsia="fr-FR"/>
        </w:rPr>
        <w:t>, divided into three stages</w:t>
      </w:r>
      <w:r w:rsidRPr="00F4758C">
        <w:rPr>
          <w:lang w:val="en-GB" w:eastAsia="fr-FR"/>
        </w:rPr>
        <w:t xml:space="preserve">. </w:t>
      </w:r>
    </w:p>
    <w:p w14:paraId="14C969F2" w14:textId="722F5C48" w:rsidR="00BA7EFA" w:rsidRPr="00F4758C" w:rsidRDefault="00BA7EFA">
      <w:pPr>
        <w:pStyle w:val="Paragraphedeliste"/>
        <w:numPr>
          <w:ilvl w:val="0"/>
          <w:numId w:val="74"/>
        </w:numPr>
        <w:rPr>
          <w:lang w:val="en-GB" w:eastAsia="fr-FR"/>
        </w:rPr>
      </w:pPr>
      <w:r w:rsidRPr="00F4758C">
        <w:rPr>
          <w:b/>
          <w:bCs/>
          <w:lang w:val="en-GB" w:eastAsia="fr-FR"/>
        </w:rPr>
        <w:t xml:space="preserve">The first step is </w:t>
      </w:r>
      <w:r w:rsidRPr="00F4758C">
        <w:rPr>
          <w:lang w:val="en-GB" w:eastAsia="fr-FR"/>
        </w:rPr>
        <w:t>to</w:t>
      </w:r>
      <w:r w:rsidRPr="00F4758C">
        <w:rPr>
          <w:b/>
          <w:bCs/>
          <w:lang w:val="en-GB" w:eastAsia="fr-FR"/>
        </w:rPr>
        <w:t xml:space="preserve"> ensure high-level sponsorship</w:t>
      </w:r>
      <w:r w:rsidR="00F12632" w:rsidRPr="00F4758C">
        <w:rPr>
          <w:b/>
          <w:bCs/>
          <w:lang w:val="en-GB" w:eastAsia="fr-FR"/>
        </w:rPr>
        <w:t xml:space="preserve"> for the initiative</w:t>
      </w:r>
      <w:r w:rsidRPr="00F4758C">
        <w:rPr>
          <w:lang w:val="en-GB" w:eastAsia="fr-FR"/>
        </w:rPr>
        <w:t xml:space="preserve">, </w:t>
      </w:r>
      <w:r w:rsidR="004D6D25" w:rsidRPr="00F4758C">
        <w:rPr>
          <w:lang w:val="en-GB" w:eastAsia="fr-FR"/>
        </w:rPr>
        <w:t xml:space="preserve">enabling </w:t>
      </w:r>
      <w:r w:rsidRPr="00F4758C">
        <w:rPr>
          <w:lang w:val="en-GB" w:eastAsia="fr-FR"/>
        </w:rPr>
        <w:t>strategic alignment and the dissemination of best practice across the organisation. The sustainability and credibility required for this support can be achieved through:</w:t>
      </w:r>
    </w:p>
    <w:p w14:paraId="7AE6D300" w14:textId="79A2773D" w:rsidR="005E273F" w:rsidRPr="00F4758C" w:rsidRDefault="005E273F">
      <w:pPr>
        <w:numPr>
          <w:ilvl w:val="0"/>
          <w:numId w:val="51"/>
        </w:numPr>
        <w:rPr>
          <w:lang w:val="en-GB" w:eastAsia="fr-FR"/>
        </w:rPr>
      </w:pPr>
      <w:r w:rsidRPr="00F4758C">
        <w:rPr>
          <w:lang w:val="en-GB" w:eastAsia="fr-FR"/>
        </w:rPr>
        <w:t xml:space="preserve">Financial incentives through the inclusion of a dedicated accessibility metric in the bonus schemes of the initiative’s </w:t>
      </w:r>
      <w:r w:rsidRPr="001F2368">
        <w:rPr>
          <w:lang w:val="en-GB" w:eastAsia="fr-FR"/>
        </w:rPr>
        <w:t>sponsors</w:t>
      </w:r>
      <w:r w:rsidRPr="00F4758C">
        <w:rPr>
          <w:lang w:val="en-GB" w:eastAsia="fr-FR"/>
        </w:rPr>
        <w:t>.</w:t>
      </w:r>
    </w:p>
    <w:p w14:paraId="0B742146" w14:textId="3611D219" w:rsidR="005E273F" w:rsidRPr="00F4758C" w:rsidRDefault="005E273F">
      <w:pPr>
        <w:numPr>
          <w:ilvl w:val="0"/>
          <w:numId w:val="51"/>
        </w:numPr>
        <w:rPr>
          <w:lang w:val="en-GB" w:eastAsia="fr-FR"/>
        </w:rPr>
      </w:pPr>
      <w:r w:rsidRPr="00F4758C">
        <w:rPr>
          <w:lang w:val="en-GB" w:eastAsia="fr-FR"/>
        </w:rPr>
        <w:t>A reminder of legal obligations and the associated penalties for non-compliance with these obligations.</w:t>
      </w:r>
    </w:p>
    <w:p w14:paraId="1D62EC8D" w14:textId="53A6750D" w:rsidR="00BA7EFA" w:rsidRPr="00F4758C" w:rsidRDefault="00BA7EFA">
      <w:pPr>
        <w:numPr>
          <w:ilvl w:val="0"/>
          <w:numId w:val="51"/>
        </w:numPr>
        <w:rPr>
          <w:lang w:val="en-GB" w:eastAsia="fr-FR"/>
        </w:rPr>
      </w:pPr>
      <w:r w:rsidRPr="00F4758C">
        <w:rPr>
          <w:lang w:val="en-GB" w:eastAsia="fr-FR"/>
        </w:rPr>
        <w:t>A rigorous governance framework based on the legal requirement for private companies to</w:t>
      </w:r>
      <w:r w:rsidR="00D83B77" w:rsidRPr="00F4758C">
        <w:rPr>
          <w:lang w:val="en-GB" w:eastAsia="fr-FR"/>
        </w:rPr>
        <w:t xml:space="preserve"> have a </w:t>
      </w:r>
      <w:r w:rsidRPr="00F4758C">
        <w:rPr>
          <w:lang w:val="en-GB" w:eastAsia="fr-FR"/>
        </w:rPr>
        <w:t xml:space="preserve">multi-year </w:t>
      </w:r>
      <w:r w:rsidR="00230C35" w:rsidRPr="00F4758C">
        <w:rPr>
          <w:lang w:val="en-GB" w:eastAsia="fr-FR"/>
        </w:rPr>
        <w:t xml:space="preserve">digital accessibility </w:t>
      </w:r>
      <w:r w:rsidR="00D83B77" w:rsidRPr="00F4758C">
        <w:rPr>
          <w:lang w:val="en-GB" w:eastAsia="fr-FR"/>
        </w:rPr>
        <w:t>plan</w:t>
      </w:r>
      <w:r w:rsidRPr="00F4758C">
        <w:rPr>
          <w:lang w:val="en-GB" w:eastAsia="fr-FR"/>
        </w:rPr>
        <w:t>. This strategic document could serve as a means of allocating roles, implementing formal monitoring and establishing a robust and clear multi-year roadmap</w:t>
      </w:r>
      <w:r w:rsidR="00F12632" w:rsidRPr="00F4758C">
        <w:rPr>
          <w:lang w:val="en-GB" w:eastAsia="fr-FR"/>
        </w:rPr>
        <w:t xml:space="preserve">. </w:t>
      </w:r>
    </w:p>
    <w:p w14:paraId="7719B004" w14:textId="2432BD34" w:rsidR="00BA7EFA" w:rsidRPr="00F4758C" w:rsidRDefault="00BA7EFA">
      <w:pPr>
        <w:numPr>
          <w:ilvl w:val="0"/>
          <w:numId w:val="51"/>
        </w:numPr>
        <w:rPr>
          <w:lang w:val="en-GB" w:eastAsia="fr-FR"/>
        </w:rPr>
      </w:pPr>
      <w:r w:rsidRPr="00F4758C">
        <w:rPr>
          <w:lang w:val="en-GB" w:eastAsia="fr-FR"/>
        </w:rPr>
        <w:t>Addressing the issue of digital accessibility within CSR initiatives</w:t>
      </w:r>
      <w:r w:rsidR="00F12632" w:rsidRPr="00F4758C">
        <w:rPr>
          <w:lang w:val="en-GB" w:eastAsia="fr-FR"/>
        </w:rPr>
        <w:t xml:space="preserve">. </w:t>
      </w:r>
    </w:p>
    <w:p w14:paraId="2F827EA4" w14:textId="79472A2D" w:rsidR="00BA7EFA" w:rsidRPr="00BA7EFA" w:rsidRDefault="00BA7EFA">
      <w:pPr>
        <w:pStyle w:val="Paragraphedeliste"/>
        <w:numPr>
          <w:ilvl w:val="0"/>
          <w:numId w:val="74"/>
        </w:numPr>
        <w:rPr>
          <w:lang w:eastAsia="fr-FR"/>
        </w:rPr>
      </w:pPr>
      <w:r w:rsidRPr="00F4758C">
        <w:rPr>
          <w:b/>
          <w:bCs/>
          <w:lang w:val="en-GB" w:eastAsia="fr-FR"/>
        </w:rPr>
        <w:t xml:space="preserve">The second step is to define the areas of responsibility and remit of the stakeholders. </w:t>
      </w:r>
      <w:r w:rsidRPr="00BA7EFA">
        <w:rPr>
          <w:lang w:eastAsia="fr-FR"/>
        </w:rPr>
        <w:t xml:space="preserve">The organisational implementation of accessibility depends on several factors: </w:t>
      </w:r>
    </w:p>
    <w:p w14:paraId="3C4136B7" w14:textId="03406BCE" w:rsidR="00BA7EFA" w:rsidRPr="00F4758C" w:rsidRDefault="00BA7EFA">
      <w:pPr>
        <w:numPr>
          <w:ilvl w:val="0"/>
          <w:numId w:val="52"/>
        </w:numPr>
        <w:rPr>
          <w:lang w:val="en-GB" w:eastAsia="fr-FR"/>
        </w:rPr>
      </w:pPr>
      <w:r w:rsidRPr="00F4758C">
        <w:rPr>
          <w:lang w:val="en-GB" w:eastAsia="fr-FR"/>
        </w:rPr>
        <w:t>Identifying the organisation’s accessibility lead, who must champion the initiative, steer its progress and report annually to a dedicated body on the progress of the initiative</w:t>
      </w:r>
      <w:r w:rsidR="00F12632" w:rsidRPr="00F4758C">
        <w:rPr>
          <w:lang w:val="en-GB" w:eastAsia="fr-FR"/>
        </w:rPr>
        <w:t>.</w:t>
      </w:r>
    </w:p>
    <w:p w14:paraId="2CDCDBDB" w14:textId="41FF7A4B" w:rsidR="00BA7EFA" w:rsidRPr="00F4758C" w:rsidRDefault="00BA7EFA">
      <w:pPr>
        <w:numPr>
          <w:ilvl w:val="0"/>
          <w:numId w:val="52"/>
        </w:numPr>
        <w:rPr>
          <w:lang w:val="en-GB" w:eastAsia="fr-FR"/>
        </w:rPr>
      </w:pPr>
      <w:r w:rsidRPr="00F4758C">
        <w:rPr>
          <w:lang w:val="en-GB" w:eastAsia="fr-FR"/>
        </w:rPr>
        <w:t xml:space="preserve">Decentralising </w:t>
      </w:r>
      <w:r w:rsidR="00E7264B" w:rsidRPr="00F4758C">
        <w:rPr>
          <w:lang w:val="en-GB" w:eastAsia="fr-FR"/>
        </w:rPr>
        <w:t xml:space="preserve">implementation </w:t>
      </w:r>
      <w:r w:rsidRPr="00F4758C">
        <w:rPr>
          <w:lang w:val="en-GB" w:eastAsia="fr-FR"/>
        </w:rPr>
        <w:t xml:space="preserve">outside the strategic committee (COMEX) through the establishment of an operational committee (COPIL) and, where appropriate, a third intermediate committee – the decision-making committee (CODIR) – to approve strategic directions and manage the project portfolio. </w:t>
      </w:r>
    </w:p>
    <w:p w14:paraId="2FEB1E13" w14:textId="77777777" w:rsidR="00BA7EFA" w:rsidRPr="00F4758C" w:rsidRDefault="00BA7EFA">
      <w:pPr>
        <w:numPr>
          <w:ilvl w:val="0"/>
          <w:numId w:val="52"/>
        </w:numPr>
        <w:rPr>
          <w:lang w:val="en-GB" w:eastAsia="fr-FR"/>
        </w:rPr>
      </w:pPr>
      <w:r w:rsidRPr="00F4758C">
        <w:rPr>
          <w:lang w:val="en-GB" w:eastAsia="fr-FR"/>
        </w:rPr>
        <w:t>The regular presentation of results to the various decision-making bodies.</w:t>
      </w:r>
    </w:p>
    <w:p w14:paraId="69ED9D9C" w14:textId="2BD701E0" w:rsidR="00BA7EFA" w:rsidRPr="00F4758C" w:rsidRDefault="00BA7EFA">
      <w:pPr>
        <w:pStyle w:val="Paragraphedeliste"/>
        <w:numPr>
          <w:ilvl w:val="0"/>
          <w:numId w:val="74"/>
        </w:numPr>
        <w:rPr>
          <w:lang w:val="en-GB" w:eastAsia="fr-FR"/>
        </w:rPr>
      </w:pPr>
      <w:r w:rsidRPr="00F4758C">
        <w:rPr>
          <w:b/>
          <w:bCs/>
          <w:lang w:val="en-GB" w:eastAsia="fr-FR"/>
        </w:rPr>
        <w:t xml:space="preserve">The third step is to ensure cross-functional coordination around </w:t>
      </w:r>
      <w:r w:rsidR="001C39FA" w:rsidRPr="00F4758C">
        <w:rPr>
          <w:b/>
          <w:bCs/>
          <w:lang w:val="en-GB" w:eastAsia="fr-FR"/>
        </w:rPr>
        <w:t>digital accessibility</w:t>
      </w:r>
      <w:r w:rsidRPr="00F4758C">
        <w:rPr>
          <w:lang w:val="en-GB" w:eastAsia="fr-FR"/>
        </w:rPr>
        <w:t xml:space="preserve">. The issue of </w:t>
      </w:r>
      <w:r w:rsidR="00230C35" w:rsidRPr="00F4758C">
        <w:rPr>
          <w:lang w:val="en-GB" w:eastAsia="fr-FR"/>
        </w:rPr>
        <w:t xml:space="preserve">digital accessibility </w:t>
      </w:r>
      <w:r w:rsidRPr="00F4758C">
        <w:rPr>
          <w:lang w:val="en-GB" w:eastAsia="fr-FR"/>
        </w:rPr>
        <w:t>must not remain the sole preserve of digital departments. Governance of digital accessibility must be integrated into the remit of communications, HR and CSR departments.</w:t>
      </w:r>
    </w:p>
    <w:p w14:paraId="1F930996" w14:textId="7CB6B45A" w:rsidR="00C300F3" w:rsidRPr="00F4758C" w:rsidRDefault="00BA7EFA" w:rsidP="00605612">
      <w:pPr>
        <w:ind w:left="360"/>
        <w:rPr>
          <w:lang w:val="en-GB" w:eastAsia="fr-FR"/>
        </w:rPr>
      </w:pPr>
      <w:r w:rsidRPr="00F4758C">
        <w:rPr>
          <w:lang w:val="en-GB" w:eastAsia="fr-FR"/>
        </w:rPr>
        <w:t xml:space="preserve">It is </w:t>
      </w:r>
      <w:r w:rsidR="00C300F3" w:rsidRPr="00F4758C">
        <w:rPr>
          <w:lang w:val="en-GB" w:eastAsia="fr-FR"/>
        </w:rPr>
        <w:t>therefore</w:t>
      </w:r>
      <w:r w:rsidRPr="00F4758C">
        <w:rPr>
          <w:lang w:val="en-GB" w:eastAsia="fr-FR"/>
        </w:rPr>
        <w:t xml:space="preserve"> necessary to define a starting point for engaging the various stakeholders and ensuring a cross-functional approach within monitoring and decision-making bodies, taking into account the organisation, its structure, sector, culture, etc. </w:t>
      </w:r>
    </w:p>
    <w:p w14:paraId="16C8A2F3" w14:textId="38B28376" w:rsidR="00BA7EFA" w:rsidRPr="00F4758C" w:rsidRDefault="009112B7" w:rsidP="00605612">
      <w:pPr>
        <w:ind w:left="360"/>
        <w:rPr>
          <w:lang w:val="en-GB" w:eastAsia="fr-FR"/>
        </w:rPr>
      </w:pPr>
      <w:r w:rsidRPr="00F4758C">
        <w:rPr>
          <w:lang w:val="en-GB" w:eastAsia="fr-FR"/>
        </w:rPr>
        <w:lastRenderedPageBreak/>
        <w:t xml:space="preserve">Digital accessibility </w:t>
      </w:r>
      <w:r w:rsidR="00605612" w:rsidRPr="00F4758C">
        <w:rPr>
          <w:lang w:val="en-GB" w:eastAsia="fr-FR"/>
        </w:rPr>
        <w:t xml:space="preserve">can </w:t>
      </w:r>
      <w:r w:rsidR="00BA7EFA" w:rsidRPr="00F4758C">
        <w:rPr>
          <w:lang w:val="en-GB" w:eastAsia="fr-FR"/>
        </w:rPr>
        <w:t xml:space="preserve">be structured using a general approach to ESG risk mapping, incorporating </w:t>
      </w:r>
      <w:r w:rsidR="00C300F3" w:rsidRPr="00F4758C">
        <w:rPr>
          <w:lang w:val="en-GB" w:eastAsia="fr-FR"/>
        </w:rPr>
        <w:t>various impacts</w:t>
      </w:r>
      <w:r w:rsidR="00BA7EFA" w:rsidRPr="00F4758C">
        <w:rPr>
          <w:lang w:val="en-GB" w:eastAsia="fr-FR"/>
        </w:rPr>
        <w:t xml:space="preserve">: </w:t>
      </w:r>
    </w:p>
    <w:p w14:paraId="2A20047E" w14:textId="12029FFA" w:rsidR="00BA7EFA" w:rsidRPr="00BA7EFA" w:rsidRDefault="00C300F3">
      <w:pPr>
        <w:pStyle w:val="Paragraphedeliste"/>
        <w:numPr>
          <w:ilvl w:val="0"/>
          <w:numId w:val="53"/>
        </w:numPr>
        <w:ind w:left="1788"/>
        <w:rPr>
          <w:lang w:eastAsia="fr-FR"/>
        </w:rPr>
      </w:pPr>
      <w:r>
        <w:rPr>
          <w:lang w:eastAsia="fr-FR"/>
        </w:rPr>
        <w:t xml:space="preserve">Reputational </w:t>
      </w:r>
      <w:r w:rsidR="00BA7EFA" w:rsidRPr="00BA7EFA">
        <w:rPr>
          <w:lang w:eastAsia="fr-FR"/>
        </w:rPr>
        <w:t xml:space="preserve">and </w:t>
      </w:r>
      <w:r w:rsidR="004D6D25">
        <w:rPr>
          <w:lang w:eastAsia="fr-FR"/>
        </w:rPr>
        <w:t xml:space="preserve">communication </w:t>
      </w:r>
      <w:r w:rsidR="00E26392">
        <w:rPr>
          <w:lang w:eastAsia="fr-FR"/>
        </w:rPr>
        <w:t>impacts</w:t>
      </w:r>
      <w:r w:rsidR="00BA7EFA" w:rsidRPr="00BA7EFA">
        <w:rPr>
          <w:lang w:eastAsia="fr-FR"/>
        </w:rPr>
        <w:t>;</w:t>
      </w:r>
    </w:p>
    <w:p w14:paraId="295922CD" w14:textId="08518ABD" w:rsidR="00BA7EFA" w:rsidRPr="00F4758C" w:rsidRDefault="00BA7EFA">
      <w:pPr>
        <w:pStyle w:val="Paragraphedeliste"/>
        <w:numPr>
          <w:ilvl w:val="0"/>
          <w:numId w:val="53"/>
        </w:numPr>
        <w:ind w:left="1788"/>
        <w:rPr>
          <w:lang w:val="en-GB" w:eastAsia="fr-FR"/>
        </w:rPr>
      </w:pPr>
      <w:r w:rsidRPr="00F4758C">
        <w:rPr>
          <w:lang w:val="en-GB" w:eastAsia="fr-FR"/>
        </w:rPr>
        <w:t>Operational</w:t>
      </w:r>
      <w:r w:rsidR="00E26392" w:rsidRPr="00F4758C">
        <w:rPr>
          <w:lang w:val="en-GB" w:eastAsia="fr-FR"/>
        </w:rPr>
        <w:t xml:space="preserve"> impacts </w:t>
      </w:r>
      <w:r w:rsidRPr="00F4758C">
        <w:rPr>
          <w:lang w:val="en-GB" w:eastAsia="fr-FR"/>
        </w:rPr>
        <w:t>(customer/user/employee relations);</w:t>
      </w:r>
    </w:p>
    <w:p w14:paraId="5B98E1D2" w14:textId="74980C26" w:rsidR="00BA7EFA" w:rsidRPr="00F4758C" w:rsidRDefault="00BA7EFA">
      <w:pPr>
        <w:pStyle w:val="Paragraphedeliste"/>
        <w:numPr>
          <w:ilvl w:val="0"/>
          <w:numId w:val="53"/>
        </w:numPr>
        <w:ind w:left="1788"/>
        <w:rPr>
          <w:lang w:val="en-GB" w:eastAsia="fr-FR"/>
        </w:rPr>
      </w:pPr>
      <w:r w:rsidRPr="00F4758C">
        <w:rPr>
          <w:lang w:val="en-GB" w:eastAsia="fr-FR"/>
        </w:rPr>
        <w:t xml:space="preserve">Regulatory and financial </w:t>
      </w:r>
      <w:r w:rsidR="00E26392" w:rsidRPr="00F4758C">
        <w:rPr>
          <w:lang w:val="en-GB" w:eastAsia="fr-FR"/>
        </w:rPr>
        <w:t>impacts</w:t>
      </w:r>
      <w:r w:rsidRPr="00F4758C">
        <w:rPr>
          <w:lang w:val="en-GB" w:eastAsia="fr-FR"/>
        </w:rPr>
        <w:t xml:space="preserve">, going beyond simply setting aside a budget to pay fines; </w:t>
      </w:r>
    </w:p>
    <w:p w14:paraId="131C1CD8" w14:textId="441D3266" w:rsidR="00BA7EFA" w:rsidRPr="00F4758C" w:rsidRDefault="00AE7B83">
      <w:pPr>
        <w:pStyle w:val="Paragraphedeliste"/>
        <w:numPr>
          <w:ilvl w:val="0"/>
          <w:numId w:val="53"/>
        </w:numPr>
        <w:ind w:left="1788"/>
        <w:rPr>
          <w:lang w:val="en-GB" w:eastAsia="fr-FR"/>
        </w:rPr>
      </w:pPr>
      <w:r w:rsidRPr="00F4758C">
        <w:rPr>
          <w:lang w:val="en-GB" w:eastAsia="fr-FR"/>
        </w:rPr>
        <w:t xml:space="preserve">Social justice </w:t>
      </w:r>
      <w:r w:rsidR="00E26392" w:rsidRPr="00F4758C">
        <w:rPr>
          <w:lang w:val="en-GB" w:eastAsia="fr-FR"/>
        </w:rPr>
        <w:t xml:space="preserve">impacts </w:t>
      </w:r>
      <w:r w:rsidRPr="00F4758C">
        <w:rPr>
          <w:lang w:val="en-GB" w:eastAsia="fr-FR"/>
        </w:rPr>
        <w:t xml:space="preserve">(people’s rights to </w:t>
      </w:r>
      <w:r w:rsidR="00BA7EFA" w:rsidRPr="00F4758C">
        <w:rPr>
          <w:lang w:val="en-GB" w:eastAsia="fr-FR"/>
        </w:rPr>
        <w:t>greater autonomy through digital tools and services</w:t>
      </w:r>
      <w:r w:rsidRPr="00F4758C">
        <w:rPr>
          <w:lang w:val="en-GB" w:eastAsia="fr-FR"/>
        </w:rPr>
        <w:t>)</w:t>
      </w:r>
      <w:r w:rsidR="00BA7EFA" w:rsidRPr="00F4758C">
        <w:rPr>
          <w:lang w:val="en-GB" w:eastAsia="fr-FR"/>
        </w:rPr>
        <w:t>.</w:t>
      </w:r>
    </w:p>
    <w:p w14:paraId="388B3EFF" w14:textId="377BAE31" w:rsidR="00BA7EFA" w:rsidRPr="00F4758C" w:rsidRDefault="009112B7" w:rsidP="00605612">
      <w:pPr>
        <w:ind w:left="360"/>
        <w:rPr>
          <w:lang w:val="en-GB" w:eastAsia="fr-FR"/>
        </w:rPr>
      </w:pPr>
      <w:r w:rsidRPr="00F4758C">
        <w:rPr>
          <w:lang w:val="en-GB" w:eastAsia="fr-FR"/>
        </w:rPr>
        <w:t xml:space="preserve">It can also </w:t>
      </w:r>
      <w:r w:rsidR="00BA7EFA" w:rsidRPr="00F4758C">
        <w:rPr>
          <w:lang w:val="en-GB" w:eastAsia="fr-FR"/>
        </w:rPr>
        <w:t xml:space="preserve">serve as a bridge to scale up the Responsible Digital label (via a broadened </w:t>
      </w:r>
      <w:r w:rsidR="00E378E0" w:rsidRPr="00F4758C">
        <w:rPr>
          <w:lang w:val="en-GB" w:eastAsia="fr-FR"/>
        </w:rPr>
        <w:t xml:space="preserve">‘eco-design’ </w:t>
      </w:r>
      <w:r w:rsidR="00BA7EFA" w:rsidRPr="00F4758C">
        <w:rPr>
          <w:lang w:val="en-GB" w:eastAsia="fr-FR"/>
        </w:rPr>
        <w:t>index). This approach allows for alignment with existing processes and achievements.</w:t>
      </w:r>
    </w:p>
    <w:p w14:paraId="39F52F0F" w14:textId="39CFC95E" w:rsidR="00BA7EFA" w:rsidRPr="00F4758C" w:rsidRDefault="00BA7EFA" w:rsidP="00BA7EFA">
      <w:pPr>
        <w:pStyle w:val="Titre3"/>
        <w:rPr>
          <w:lang w:val="en-GB"/>
        </w:rPr>
      </w:pPr>
      <w:bookmarkStart w:id="79" w:name="_Toc230077034"/>
      <w:r w:rsidRPr="00F4758C">
        <w:rPr>
          <w:lang w:val="en-GB"/>
        </w:rPr>
        <w:t>Ensuring iterative monitoring throughout the entire project lifecycle</w:t>
      </w:r>
      <w:bookmarkEnd w:id="79"/>
    </w:p>
    <w:p w14:paraId="217FC9A2" w14:textId="6B12DA89" w:rsidR="00BA7EFA" w:rsidRPr="00F4758C" w:rsidRDefault="00605612" w:rsidP="00BA7EFA">
      <w:pPr>
        <w:rPr>
          <w:lang w:val="en-GB" w:eastAsia="fr-FR"/>
        </w:rPr>
      </w:pPr>
      <w:r w:rsidRPr="00F4758C">
        <w:rPr>
          <w:lang w:val="en-GB" w:eastAsia="fr-FR"/>
        </w:rPr>
        <w:t xml:space="preserve">To be sustainable, </w:t>
      </w:r>
      <w:r w:rsidR="00BA7EFA" w:rsidRPr="00F4758C">
        <w:rPr>
          <w:lang w:val="en-GB" w:eastAsia="fr-FR"/>
        </w:rPr>
        <w:t xml:space="preserve">digital accessibility must </w:t>
      </w:r>
      <w:r w:rsidR="00E270F6" w:rsidRPr="00F4758C">
        <w:rPr>
          <w:lang w:val="en-GB" w:eastAsia="fr-FR"/>
        </w:rPr>
        <w:t xml:space="preserve">not </w:t>
      </w:r>
      <w:r w:rsidR="00BA7EFA" w:rsidRPr="00F4758C">
        <w:rPr>
          <w:lang w:val="en-GB" w:eastAsia="fr-FR"/>
        </w:rPr>
        <w:t xml:space="preserve">be a final step but a guiding principle integrated into every phase of the project. To meet the need </w:t>
      </w:r>
      <w:r w:rsidR="00BA7EFA" w:rsidRPr="00F4758C">
        <w:rPr>
          <w:b/>
          <w:bCs/>
          <w:lang w:val="en-GB" w:eastAsia="fr-FR"/>
        </w:rPr>
        <w:t>for iterative monitoring throughout the lifecycle of digital projects</w:t>
      </w:r>
      <w:r w:rsidR="00BA7EFA" w:rsidRPr="00F4758C">
        <w:rPr>
          <w:lang w:val="en-GB" w:eastAsia="fr-FR"/>
        </w:rPr>
        <w:t xml:space="preserve">, several best practices, tools and methods can be deployed: </w:t>
      </w:r>
    </w:p>
    <w:p w14:paraId="5CFC4F02" w14:textId="6F3CBC7F" w:rsidR="00BA7EFA" w:rsidRPr="00605612" w:rsidRDefault="00BA7EFA" w:rsidP="00F755EB">
      <w:pPr>
        <w:pStyle w:val="Paragraphedeliste"/>
        <w:numPr>
          <w:ilvl w:val="0"/>
          <w:numId w:val="74"/>
        </w:numPr>
        <w:contextualSpacing w:val="0"/>
        <w:rPr>
          <w:b/>
          <w:bCs/>
          <w:lang w:eastAsia="fr-FR"/>
        </w:rPr>
      </w:pPr>
      <w:r w:rsidRPr="00605612">
        <w:rPr>
          <w:b/>
          <w:bCs/>
          <w:lang w:eastAsia="fr-FR"/>
        </w:rPr>
        <w:t xml:space="preserve">Project methodologies </w:t>
      </w:r>
    </w:p>
    <w:p w14:paraId="03030BC5" w14:textId="26DBC66F" w:rsidR="00BA7EFA" w:rsidRPr="00F4758C" w:rsidRDefault="00BA7EFA" w:rsidP="00F755EB">
      <w:pPr>
        <w:numPr>
          <w:ilvl w:val="0"/>
          <w:numId w:val="54"/>
        </w:numPr>
        <w:rPr>
          <w:lang w:val="en-GB" w:eastAsia="fr-FR"/>
        </w:rPr>
      </w:pPr>
      <w:r w:rsidRPr="00F4758C">
        <w:rPr>
          <w:lang w:val="en-GB" w:eastAsia="fr-FR"/>
        </w:rPr>
        <w:t xml:space="preserve">Incorporate </w:t>
      </w:r>
      <w:r w:rsidR="00555BB6" w:rsidRPr="00F4758C">
        <w:rPr>
          <w:lang w:val="en-GB" w:eastAsia="fr-FR"/>
        </w:rPr>
        <w:t>digital accessibility</w:t>
      </w:r>
      <w:r w:rsidRPr="00F4758C">
        <w:rPr>
          <w:lang w:val="en-GB" w:eastAsia="fr-FR"/>
        </w:rPr>
        <w:t xml:space="preserve"> criteria </w:t>
      </w:r>
      <w:r w:rsidR="00372232" w:rsidRPr="00F4758C">
        <w:rPr>
          <w:lang w:val="en-GB" w:eastAsia="fr-FR"/>
        </w:rPr>
        <w:t xml:space="preserve">into </w:t>
      </w:r>
      <w:r w:rsidRPr="00F4758C">
        <w:rPr>
          <w:b/>
          <w:bCs/>
          <w:lang w:val="en-GB" w:eastAsia="fr-FR"/>
        </w:rPr>
        <w:t xml:space="preserve">project methodologies </w:t>
      </w:r>
      <w:r w:rsidR="00372232" w:rsidRPr="00F4758C">
        <w:rPr>
          <w:lang w:val="en-GB" w:eastAsia="fr-FR"/>
        </w:rPr>
        <w:t xml:space="preserve">and </w:t>
      </w:r>
      <w:r w:rsidRPr="00F4758C">
        <w:rPr>
          <w:lang w:val="en-GB" w:eastAsia="fr-FR"/>
        </w:rPr>
        <w:t xml:space="preserve">functional specifications </w:t>
      </w:r>
      <w:r w:rsidR="00372232" w:rsidRPr="00F4758C">
        <w:rPr>
          <w:lang w:val="en-GB" w:eastAsia="fr-FR"/>
        </w:rPr>
        <w:t>right from the start of the planning phase</w:t>
      </w:r>
      <w:r w:rsidR="00605612" w:rsidRPr="00F4758C">
        <w:rPr>
          <w:lang w:val="en-GB" w:eastAsia="fr-FR"/>
        </w:rPr>
        <w:t xml:space="preserve">. This </w:t>
      </w:r>
      <w:r w:rsidR="00D84644" w:rsidRPr="00F4758C">
        <w:rPr>
          <w:lang w:val="en-GB" w:eastAsia="fr-FR"/>
        </w:rPr>
        <w:t xml:space="preserve">helps </w:t>
      </w:r>
      <w:r w:rsidRPr="00F4758C">
        <w:rPr>
          <w:b/>
          <w:bCs/>
          <w:lang w:val="en-GB" w:eastAsia="fr-FR"/>
        </w:rPr>
        <w:t>to avoid massive additional costs associated with subsequent corrective redesigns</w:t>
      </w:r>
      <w:r w:rsidR="00555BB6" w:rsidRPr="00F4758C">
        <w:rPr>
          <w:b/>
          <w:bCs/>
          <w:lang w:val="en-GB" w:eastAsia="fr-FR"/>
        </w:rPr>
        <w:t xml:space="preserve">. </w:t>
      </w:r>
      <w:r w:rsidR="00555BB6" w:rsidRPr="00F4758C">
        <w:rPr>
          <w:lang w:val="en-GB" w:eastAsia="fr-FR"/>
        </w:rPr>
        <w:t xml:space="preserve">Furthermore, through training, continuous learning and accessibility </w:t>
      </w:r>
      <w:r w:rsidR="00555BB6" w:rsidRPr="001F2368">
        <w:rPr>
          <w:lang w:val="en-GB" w:eastAsia="fr-FR"/>
        </w:rPr>
        <w:t>by design</w:t>
      </w:r>
      <w:r w:rsidR="00555BB6" w:rsidRPr="00F4758C">
        <w:rPr>
          <w:lang w:val="en-GB" w:eastAsia="fr-FR"/>
        </w:rPr>
        <w:t xml:space="preserve">, design times </w:t>
      </w:r>
      <w:r w:rsidR="00372232" w:rsidRPr="00F4758C">
        <w:rPr>
          <w:lang w:val="en-GB" w:eastAsia="fr-FR"/>
        </w:rPr>
        <w:t xml:space="preserve">are </w:t>
      </w:r>
      <w:r w:rsidR="00555BB6" w:rsidRPr="00F4758C">
        <w:rPr>
          <w:lang w:val="en-GB" w:eastAsia="fr-FR"/>
        </w:rPr>
        <w:t xml:space="preserve">significantly </w:t>
      </w:r>
      <w:r w:rsidR="00372232" w:rsidRPr="00F4758C">
        <w:rPr>
          <w:lang w:val="en-GB" w:eastAsia="fr-FR"/>
        </w:rPr>
        <w:t>reduced</w:t>
      </w:r>
      <w:r w:rsidR="00555BB6" w:rsidRPr="00F4758C">
        <w:rPr>
          <w:lang w:val="en-GB" w:eastAsia="fr-FR"/>
        </w:rPr>
        <w:t>;</w:t>
      </w:r>
    </w:p>
    <w:p w14:paraId="26E72C0E" w14:textId="0BD8C207" w:rsidR="00BA7EFA" w:rsidRPr="00F4758C" w:rsidRDefault="00605612" w:rsidP="00F755EB">
      <w:pPr>
        <w:numPr>
          <w:ilvl w:val="0"/>
          <w:numId w:val="54"/>
        </w:numPr>
        <w:rPr>
          <w:lang w:val="en-GB" w:eastAsia="fr-FR"/>
        </w:rPr>
      </w:pPr>
      <w:r w:rsidRPr="00F4758C">
        <w:rPr>
          <w:lang w:val="en-GB" w:eastAsia="fr-FR"/>
        </w:rPr>
        <w:t xml:space="preserve">Ensure that digital accessibility is </w:t>
      </w:r>
      <w:r w:rsidRPr="00F4758C">
        <w:rPr>
          <w:b/>
          <w:bCs/>
          <w:lang w:val="en-GB" w:eastAsia="fr-FR"/>
        </w:rPr>
        <w:t xml:space="preserve">understood and </w:t>
      </w:r>
      <w:r w:rsidR="00BA7EFA" w:rsidRPr="00F4758C">
        <w:rPr>
          <w:b/>
          <w:bCs/>
          <w:lang w:val="en-GB" w:eastAsia="fr-FR"/>
        </w:rPr>
        <w:t xml:space="preserve">endorsed by project leaders and decision-makers </w:t>
      </w:r>
      <w:r w:rsidR="00BA7EFA" w:rsidRPr="00F4758C">
        <w:rPr>
          <w:lang w:val="en-GB" w:eastAsia="fr-FR"/>
        </w:rPr>
        <w:t xml:space="preserve">so </w:t>
      </w:r>
      <w:r w:rsidR="00543049" w:rsidRPr="00F4758C">
        <w:rPr>
          <w:lang w:val="en-GB" w:eastAsia="fr-FR"/>
        </w:rPr>
        <w:t xml:space="preserve">that it is </w:t>
      </w:r>
      <w:r w:rsidR="00BA7EFA" w:rsidRPr="00F4758C">
        <w:rPr>
          <w:b/>
          <w:bCs/>
          <w:lang w:val="en-GB" w:eastAsia="fr-FR"/>
        </w:rPr>
        <w:t xml:space="preserve">factored into </w:t>
      </w:r>
      <w:r w:rsidR="00C31A3F" w:rsidRPr="00F4758C">
        <w:rPr>
          <w:b/>
          <w:bCs/>
          <w:lang w:val="en-GB" w:eastAsia="fr-FR"/>
        </w:rPr>
        <w:t xml:space="preserve">estimates </w:t>
      </w:r>
      <w:r w:rsidR="00BA7EFA" w:rsidRPr="00F4758C">
        <w:rPr>
          <w:lang w:val="en-GB" w:eastAsia="fr-FR"/>
        </w:rPr>
        <w:t xml:space="preserve">(project management time, UX/UI design time, front-end development time, etc.). </w:t>
      </w:r>
    </w:p>
    <w:p w14:paraId="0D91E45E" w14:textId="236055F2" w:rsidR="00BA7EFA" w:rsidRPr="00F4758C" w:rsidRDefault="00BA7EFA" w:rsidP="00F755EB">
      <w:pPr>
        <w:numPr>
          <w:ilvl w:val="0"/>
          <w:numId w:val="54"/>
        </w:numPr>
        <w:rPr>
          <w:lang w:val="en-GB" w:eastAsia="fr-FR"/>
        </w:rPr>
      </w:pPr>
      <w:r w:rsidRPr="00F4758C">
        <w:rPr>
          <w:lang w:val="en-GB" w:eastAsia="fr-FR"/>
        </w:rPr>
        <w:t xml:space="preserve">Have </w:t>
      </w:r>
      <w:r w:rsidRPr="00F4758C">
        <w:rPr>
          <w:b/>
          <w:bCs/>
          <w:lang w:val="en-GB" w:eastAsia="fr-FR"/>
        </w:rPr>
        <w:t xml:space="preserve">an in-house expert in </w:t>
      </w:r>
      <w:r w:rsidR="00230C35" w:rsidRPr="00F4758C">
        <w:rPr>
          <w:b/>
          <w:bCs/>
          <w:lang w:val="en-GB" w:eastAsia="fr-FR"/>
        </w:rPr>
        <w:t xml:space="preserve">digital accessibility </w:t>
      </w:r>
      <w:r w:rsidRPr="00F4758C">
        <w:rPr>
          <w:b/>
          <w:bCs/>
          <w:lang w:val="en-GB" w:eastAsia="fr-FR"/>
        </w:rPr>
        <w:t>available to teams from the early stages</w:t>
      </w:r>
      <w:r w:rsidR="00543049" w:rsidRPr="00F4758C">
        <w:rPr>
          <w:lang w:val="en-GB" w:eastAsia="fr-FR"/>
        </w:rPr>
        <w:t xml:space="preserve">. This </w:t>
      </w:r>
      <w:r w:rsidRPr="00F4758C">
        <w:rPr>
          <w:lang w:val="en-GB" w:eastAsia="fr-FR"/>
        </w:rPr>
        <w:t xml:space="preserve">helps to demystify the subject, without reducing it to merely flagging non-compliance. It is indeed important to </w:t>
      </w:r>
      <w:r w:rsidR="00D84644" w:rsidRPr="00F4758C">
        <w:rPr>
          <w:lang w:val="en-GB" w:eastAsia="fr-FR"/>
        </w:rPr>
        <w:t xml:space="preserve">distinguish between </w:t>
      </w:r>
      <w:r w:rsidR="00543049" w:rsidRPr="00F4758C">
        <w:rPr>
          <w:lang w:val="en-GB" w:eastAsia="fr-FR"/>
        </w:rPr>
        <w:t>operational accessibility (usability rates) and a</w:t>
      </w:r>
      <w:r w:rsidRPr="00F4758C">
        <w:rPr>
          <w:lang w:val="en-GB" w:eastAsia="fr-FR"/>
        </w:rPr>
        <w:t xml:space="preserve"> 100% compliance rate; </w:t>
      </w:r>
    </w:p>
    <w:p w14:paraId="30F29502" w14:textId="38C04F1B" w:rsidR="00BA7EFA" w:rsidRPr="00F4758C" w:rsidRDefault="00F234C7" w:rsidP="00F755EB">
      <w:pPr>
        <w:numPr>
          <w:ilvl w:val="0"/>
          <w:numId w:val="54"/>
        </w:numPr>
        <w:rPr>
          <w:lang w:val="en-GB" w:eastAsia="fr-FR"/>
        </w:rPr>
      </w:pPr>
      <w:r w:rsidRPr="00F4758C">
        <w:rPr>
          <w:lang w:val="en-GB" w:eastAsia="fr-FR"/>
        </w:rPr>
        <w:t xml:space="preserve">Using a </w:t>
      </w:r>
      <w:r w:rsidRPr="001F2368">
        <w:rPr>
          <w:b/>
          <w:bCs/>
          <w:lang w:val="en-GB" w:eastAsia="fr-FR"/>
        </w:rPr>
        <w:t xml:space="preserve">design system </w:t>
      </w:r>
      <w:r w:rsidR="00BA7EFA" w:rsidRPr="00F4758C">
        <w:rPr>
          <w:lang w:val="en-GB" w:eastAsia="fr-FR"/>
        </w:rPr>
        <w:t>enables accessibility to be standardised by utilising components that are already compliant by default;</w:t>
      </w:r>
    </w:p>
    <w:p w14:paraId="654B43AB" w14:textId="64E4625B" w:rsidR="00BA7EFA" w:rsidRPr="00F4758C" w:rsidRDefault="00BA7EFA" w:rsidP="00F755EB">
      <w:pPr>
        <w:numPr>
          <w:ilvl w:val="0"/>
          <w:numId w:val="54"/>
        </w:numPr>
        <w:rPr>
          <w:lang w:val="en-GB" w:eastAsia="fr-FR"/>
        </w:rPr>
      </w:pPr>
      <w:r w:rsidRPr="00354DFA">
        <w:rPr>
          <w:b/>
          <w:bCs/>
          <w:lang w:val="en-GB" w:eastAsia="fr-FR"/>
        </w:rPr>
        <w:t xml:space="preserve">In </w:t>
      </w:r>
      <w:r w:rsidRPr="00F4758C">
        <w:rPr>
          <w:b/>
          <w:bCs/>
          <w:lang w:val="en-GB" w:eastAsia="fr-FR"/>
        </w:rPr>
        <w:t>design, testing and development processes</w:t>
      </w:r>
      <w:r w:rsidRPr="00F4758C">
        <w:rPr>
          <w:lang w:val="en-GB" w:eastAsia="fr-FR"/>
        </w:rPr>
        <w:t xml:space="preserve">, it is recommended to define </w:t>
      </w:r>
      <w:r w:rsidRPr="00F4758C">
        <w:rPr>
          <w:i/>
          <w:iCs/>
          <w:lang w:val="en-GB" w:eastAsia="fr-FR"/>
        </w:rPr>
        <w:t xml:space="preserve">personas </w:t>
      </w:r>
      <w:r w:rsidRPr="00F4758C">
        <w:rPr>
          <w:lang w:val="en-GB" w:eastAsia="fr-FR"/>
        </w:rPr>
        <w:t xml:space="preserve">(or </w:t>
      </w:r>
      <w:r w:rsidR="00262FAF">
        <w:rPr>
          <w:lang w:val="en-GB" w:eastAsia="fr-FR"/>
        </w:rPr>
        <w:t>“</w:t>
      </w:r>
      <w:r w:rsidRPr="00F4758C">
        <w:rPr>
          <w:lang w:val="en-GB" w:eastAsia="fr-FR"/>
        </w:rPr>
        <w:t xml:space="preserve">typical </w:t>
      </w:r>
      <w:r w:rsidR="00441C1F" w:rsidRPr="00F4758C">
        <w:rPr>
          <w:lang w:val="en-GB" w:eastAsia="fr-FR"/>
        </w:rPr>
        <w:t>users</w:t>
      </w:r>
      <w:r w:rsidR="00262FAF">
        <w:rPr>
          <w:lang w:val="en-GB" w:eastAsia="fr-FR"/>
        </w:rPr>
        <w:t>”</w:t>
      </w:r>
      <w:r w:rsidRPr="00F4758C">
        <w:rPr>
          <w:lang w:val="en-GB" w:eastAsia="fr-FR"/>
        </w:rPr>
        <w:t>) with one or more types of disability:</w:t>
      </w:r>
    </w:p>
    <w:p w14:paraId="0B469EAA" w14:textId="1ABEAA4A" w:rsidR="00BA7EFA" w:rsidRPr="00F4758C" w:rsidRDefault="00BA7EFA" w:rsidP="00F755EB">
      <w:pPr>
        <w:pStyle w:val="Paragraphedeliste"/>
        <w:numPr>
          <w:ilvl w:val="1"/>
          <w:numId w:val="54"/>
        </w:numPr>
        <w:contextualSpacing w:val="0"/>
        <w:rPr>
          <w:lang w:val="en-GB" w:eastAsia="fr-FR"/>
        </w:rPr>
      </w:pPr>
      <w:r w:rsidRPr="00F4758C">
        <w:rPr>
          <w:lang w:val="en-GB" w:eastAsia="fr-FR"/>
        </w:rPr>
        <w:t xml:space="preserve">Initially, creating </w:t>
      </w:r>
      <w:r w:rsidRPr="00F4758C">
        <w:rPr>
          <w:i/>
          <w:iCs/>
          <w:lang w:val="en-GB" w:eastAsia="fr-FR"/>
        </w:rPr>
        <w:t xml:space="preserve">personas </w:t>
      </w:r>
      <w:r w:rsidRPr="00F4758C">
        <w:rPr>
          <w:lang w:val="en-GB" w:eastAsia="fr-FR"/>
        </w:rPr>
        <w:t xml:space="preserve">can </w:t>
      </w:r>
      <w:r w:rsidR="00555BB6" w:rsidRPr="00F4758C">
        <w:rPr>
          <w:lang w:val="en-GB" w:eastAsia="fr-FR"/>
        </w:rPr>
        <w:t xml:space="preserve">be </w:t>
      </w:r>
      <w:r w:rsidRPr="00F4758C">
        <w:rPr>
          <w:lang w:val="en-GB" w:eastAsia="fr-FR"/>
        </w:rPr>
        <w:t xml:space="preserve">an effective way of building a user interface during the UX development phase. </w:t>
      </w:r>
      <w:r w:rsidR="00441C1F" w:rsidRPr="00F4758C">
        <w:rPr>
          <w:lang w:val="en-GB" w:eastAsia="fr-FR"/>
        </w:rPr>
        <w:t>However</w:t>
      </w:r>
      <w:r w:rsidRPr="00F4758C">
        <w:rPr>
          <w:lang w:val="en-GB" w:eastAsia="fr-FR"/>
        </w:rPr>
        <w:t>,</w:t>
      </w:r>
      <w:r w:rsidR="00441C1F" w:rsidRPr="00F4758C">
        <w:rPr>
          <w:lang w:val="en-GB" w:eastAsia="fr-FR"/>
        </w:rPr>
        <w:t xml:space="preserve"> </w:t>
      </w:r>
      <w:r w:rsidRPr="00F4758C">
        <w:rPr>
          <w:lang w:val="en-GB" w:eastAsia="fr-FR"/>
        </w:rPr>
        <w:t xml:space="preserve">the range of disability scenarios represented must be sufficiently broad and detailed for the approach to be worthwhile, at least in terms of compliance. </w:t>
      </w:r>
    </w:p>
    <w:p w14:paraId="23C5703E" w14:textId="0F236F31" w:rsidR="00BA7EFA" w:rsidRPr="00F4758C" w:rsidRDefault="00BA7EFA" w:rsidP="00F755EB">
      <w:pPr>
        <w:pStyle w:val="Paragraphedeliste"/>
        <w:numPr>
          <w:ilvl w:val="1"/>
          <w:numId w:val="54"/>
        </w:numPr>
        <w:contextualSpacing w:val="0"/>
        <w:rPr>
          <w:lang w:val="en-GB" w:eastAsia="fr-FR"/>
        </w:rPr>
      </w:pPr>
      <w:r w:rsidRPr="00F4758C">
        <w:rPr>
          <w:lang w:val="en-GB" w:eastAsia="fr-FR"/>
        </w:rPr>
        <w:t>Secondly, simulating real-life scenarios through user testing can be highly valuable for best meeting actual needs</w:t>
      </w:r>
      <w:r w:rsidR="00DA2D1B" w:rsidRPr="00F4758C">
        <w:rPr>
          <w:lang w:val="en-GB" w:eastAsia="fr-FR"/>
        </w:rPr>
        <w:t xml:space="preserve">, whilst avoiding the pitfall of </w:t>
      </w:r>
      <w:r w:rsidR="00262FAF">
        <w:rPr>
          <w:lang w:val="en-GB" w:eastAsia="fr-FR"/>
        </w:rPr>
        <w:t>“</w:t>
      </w:r>
      <w:r w:rsidRPr="00F4758C">
        <w:rPr>
          <w:lang w:val="en-GB" w:eastAsia="fr-FR"/>
        </w:rPr>
        <w:t>imagining the disability</w:t>
      </w:r>
      <w:r w:rsidR="00262FAF">
        <w:rPr>
          <w:lang w:val="en-GB" w:eastAsia="fr-FR"/>
        </w:rPr>
        <w:t>”</w:t>
      </w:r>
      <w:r w:rsidR="00DA2D1B" w:rsidRPr="00F4758C">
        <w:rPr>
          <w:lang w:val="en-GB" w:eastAsia="fr-FR"/>
        </w:rPr>
        <w:t xml:space="preserve">. It also helps </w:t>
      </w:r>
      <w:r w:rsidRPr="00F4758C">
        <w:rPr>
          <w:lang w:val="en-GB" w:eastAsia="fr-FR"/>
        </w:rPr>
        <w:t xml:space="preserve">to motivate teams </w:t>
      </w:r>
      <w:r w:rsidR="00DA2D1B" w:rsidRPr="00F4758C">
        <w:rPr>
          <w:lang w:val="en-GB" w:eastAsia="fr-FR"/>
        </w:rPr>
        <w:t xml:space="preserve">by offering </w:t>
      </w:r>
      <w:r w:rsidRPr="00F4758C">
        <w:rPr>
          <w:lang w:val="en-GB" w:eastAsia="fr-FR"/>
        </w:rPr>
        <w:t xml:space="preserve">a </w:t>
      </w:r>
      <w:r w:rsidR="00DA2D1B" w:rsidRPr="00F4758C">
        <w:rPr>
          <w:lang w:val="en-GB" w:eastAsia="fr-FR"/>
        </w:rPr>
        <w:t xml:space="preserve">more </w:t>
      </w:r>
      <w:r w:rsidRPr="00F4758C">
        <w:rPr>
          <w:lang w:val="en-GB" w:eastAsia="fr-FR"/>
        </w:rPr>
        <w:t xml:space="preserve">qualitative and human perspective on </w:t>
      </w:r>
      <w:r w:rsidRPr="00F4758C">
        <w:rPr>
          <w:lang w:val="en-GB" w:eastAsia="fr-FR"/>
        </w:rPr>
        <w:lastRenderedPageBreak/>
        <w:t xml:space="preserve">their work. These considerations go beyond the purely </w:t>
      </w:r>
      <w:r w:rsidR="00262FAF">
        <w:rPr>
          <w:lang w:val="en-GB" w:eastAsia="fr-FR"/>
        </w:rPr>
        <w:t>“</w:t>
      </w:r>
      <w:r w:rsidRPr="00F4758C">
        <w:rPr>
          <w:lang w:val="en-GB" w:eastAsia="fr-FR"/>
        </w:rPr>
        <w:t>quantitative</w:t>
      </w:r>
      <w:r w:rsidR="00262FAF">
        <w:rPr>
          <w:lang w:val="en-GB" w:eastAsia="fr-FR"/>
        </w:rPr>
        <w:t>”</w:t>
      </w:r>
      <w:r w:rsidRPr="00F4758C">
        <w:rPr>
          <w:lang w:val="en-GB" w:eastAsia="fr-FR"/>
        </w:rPr>
        <w:t xml:space="preserve"> lens that emerges from audits.</w:t>
      </w:r>
    </w:p>
    <w:p w14:paraId="3461A8F3" w14:textId="5440A627" w:rsidR="00BA7EFA" w:rsidRPr="00605612" w:rsidRDefault="00BA7EFA" w:rsidP="00F755EB">
      <w:pPr>
        <w:pStyle w:val="Paragraphedeliste"/>
        <w:numPr>
          <w:ilvl w:val="0"/>
          <w:numId w:val="78"/>
        </w:numPr>
        <w:contextualSpacing w:val="0"/>
        <w:rPr>
          <w:b/>
          <w:bCs/>
          <w:lang w:eastAsia="fr-FR"/>
        </w:rPr>
      </w:pPr>
      <w:r w:rsidRPr="00605612">
        <w:rPr>
          <w:b/>
          <w:bCs/>
          <w:lang w:eastAsia="fr-FR"/>
        </w:rPr>
        <w:t xml:space="preserve">Process </w:t>
      </w:r>
    </w:p>
    <w:p w14:paraId="5B4B7F93" w14:textId="2A2FF5C5" w:rsidR="00054D42" w:rsidRPr="00F4758C" w:rsidRDefault="00054D42" w:rsidP="00F755EB">
      <w:pPr>
        <w:rPr>
          <w:lang w:val="en-GB" w:eastAsia="fr-FR"/>
        </w:rPr>
      </w:pPr>
      <w:r w:rsidRPr="00F4758C">
        <w:rPr>
          <w:lang w:val="en-GB" w:eastAsia="fr-FR"/>
        </w:rPr>
        <w:t>Iterative monitoring of digital accessibility relies on the implementation of a rigorous process centred on holding stakeholders accountable, checking compliance and dedicated monitoring during the project phase:</w:t>
      </w:r>
    </w:p>
    <w:p w14:paraId="3743D2B3" w14:textId="2129CA88" w:rsidR="00BA7EFA" w:rsidRPr="00F4758C" w:rsidRDefault="00BA7EFA" w:rsidP="00F755EB">
      <w:pPr>
        <w:pStyle w:val="Paragraphedeliste"/>
        <w:numPr>
          <w:ilvl w:val="0"/>
          <w:numId w:val="55"/>
        </w:numPr>
        <w:contextualSpacing w:val="0"/>
        <w:rPr>
          <w:lang w:val="en-GB" w:eastAsia="fr-FR"/>
        </w:rPr>
      </w:pPr>
      <w:r w:rsidRPr="00F4758C">
        <w:rPr>
          <w:lang w:val="en-GB" w:eastAsia="fr-FR"/>
        </w:rPr>
        <w:t>Extend responsibility for accessibility to all levels of project management (</w:t>
      </w:r>
      <w:r w:rsidRPr="001F2368">
        <w:rPr>
          <w:lang w:val="en-GB" w:eastAsia="fr-FR"/>
        </w:rPr>
        <w:t xml:space="preserve">Product Owner, Product Manager, Scrum </w:t>
      </w:r>
      <w:r w:rsidRPr="00F4758C">
        <w:rPr>
          <w:lang w:val="en-GB" w:eastAsia="fr-FR"/>
        </w:rPr>
        <w:t>Master, etc.);</w:t>
      </w:r>
    </w:p>
    <w:p w14:paraId="3FF6F3F2" w14:textId="77777777" w:rsidR="00BA7EFA" w:rsidRPr="00F4758C" w:rsidRDefault="00BA7EFA" w:rsidP="00F755EB">
      <w:pPr>
        <w:pStyle w:val="Paragraphedeliste"/>
        <w:numPr>
          <w:ilvl w:val="0"/>
          <w:numId w:val="55"/>
        </w:numPr>
        <w:contextualSpacing w:val="0"/>
        <w:rPr>
          <w:lang w:val="en-GB" w:eastAsia="fr-FR"/>
        </w:rPr>
      </w:pPr>
      <w:r w:rsidRPr="00F4758C">
        <w:rPr>
          <w:lang w:val="en-GB" w:eastAsia="fr-FR"/>
        </w:rPr>
        <w:t>Ensure strict monitoring of the rectification of non-compliance issues in the audited applications. To guarantee objectivity, those responsible for the assessment must not be the same people who produce the applications;</w:t>
      </w:r>
    </w:p>
    <w:p w14:paraId="7FF9595C" w14:textId="77777777" w:rsidR="00BA7EFA" w:rsidRPr="00F4758C" w:rsidRDefault="00BA7EFA" w:rsidP="00F755EB">
      <w:pPr>
        <w:pStyle w:val="Paragraphedeliste"/>
        <w:numPr>
          <w:ilvl w:val="0"/>
          <w:numId w:val="55"/>
        </w:numPr>
        <w:contextualSpacing w:val="0"/>
        <w:rPr>
          <w:lang w:val="en-GB" w:eastAsia="fr-FR"/>
        </w:rPr>
      </w:pPr>
      <w:r w:rsidRPr="00F4758C">
        <w:rPr>
          <w:lang w:val="en-GB" w:eastAsia="fr-FR"/>
        </w:rPr>
        <w:t>Establish a regulatory body with the authority to request revisions to developed or purchased services;</w:t>
      </w:r>
    </w:p>
    <w:p w14:paraId="381CA40C" w14:textId="33ECC762" w:rsidR="00BA7EFA" w:rsidRPr="00F4758C" w:rsidRDefault="00BA7EFA" w:rsidP="00F755EB">
      <w:pPr>
        <w:pStyle w:val="Paragraphedeliste"/>
        <w:numPr>
          <w:ilvl w:val="0"/>
          <w:numId w:val="55"/>
        </w:numPr>
        <w:contextualSpacing w:val="0"/>
        <w:rPr>
          <w:lang w:val="en-GB" w:eastAsia="fr-FR"/>
        </w:rPr>
      </w:pPr>
      <w:r w:rsidRPr="00F4758C">
        <w:rPr>
          <w:lang w:val="en-GB" w:eastAsia="fr-FR"/>
        </w:rPr>
        <w:t xml:space="preserve">Conduct regular internal </w:t>
      </w:r>
      <w:r w:rsidR="001C39FA" w:rsidRPr="00F4758C">
        <w:rPr>
          <w:lang w:val="en-GB" w:eastAsia="fr-FR"/>
        </w:rPr>
        <w:t xml:space="preserve">self-audits </w:t>
      </w:r>
      <w:r w:rsidRPr="00F4758C">
        <w:rPr>
          <w:lang w:val="en-GB" w:eastAsia="fr-FR"/>
        </w:rPr>
        <w:t xml:space="preserve">and external audits to ensure the development, maintenance, improvement, evaluation, rectification and compliance of digital assets (websites and </w:t>
      </w:r>
      <w:r w:rsidR="00543049" w:rsidRPr="00F4758C">
        <w:rPr>
          <w:lang w:val="en-GB" w:eastAsia="fr-FR"/>
        </w:rPr>
        <w:t>applications</w:t>
      </w:r>
      <w:r w:rsidRPr="00F4758C">
        <w:rPr>
          <w:lang w:val="en-GB" w:eastAsia="fr-FR"/>
        </w:rPr>
        <w:t>) in order to update the accessibility map at group level</w:t>
      </w:r>
      <w:r w:rsidR="00605612" w:rsidRPr="00F4758C">
        <w:rPr>
          <w:lang w:val="en-GB" w:eastAsia="fr-FR"/>
        </w:rPr>
        <w:t>.</w:t>
      </w:r>
    </w:p>
    <w:p w14:paraId="2BE04BD7" w14:textId="3694EBBE" w:rsidR="00BA7EFA" w:rsidRPr="00605612" w:rsidRDefault="00BA7EFA" w:rsidP="00F755EB">
      <w:pPr>
        <w:pStyle w:val="Paragraphedeliste"/>
        <w:numPr>
          <w:ilvl w:val="0"/>
          <w:numId w:val="78"/>
        </w:numPr>
        <w:contextualSpacing w:val="0"/>
        <w:rPr>
          <w:b/>
          <w:bCs/>
          <w:lang w:eastAsia="fr-FR"/>
        </w:rPr>
      </w:pPr>
      <w:r w:rsidRPr="00605612">
        <w:rPr>
          <w:b/>
          <w:bCs/>
          <w:lang w:eastAsia="fr-FR"/>
        </w:rPr>
        <w:t xml:space="preserve">Support </w:t>
      </w:r>
    </w:p>
    <w:p w14:paraId="1ABFD79D" w14:textId="7A9AC03B" w:rsidR="00BA7EFA" w:rsidRPr="00F4758C" w:rsidRDefault="00BA7EFA" w:rsidP="00F755EB">
      <w:pPr>
        <w:rPr>
          <w:lang w:val="en-GB" w:eastAsia="fr-FR"/>
        </w:rPr>
      </w:pPr>
      <w:r w:rsidRPr="00F4758C">
        <w:rPr>
          <w:lang w:val="en-GB" w:eastAsia="fr-FR"/>
        </w:rPr>
        <w:t xml:space="preserve">The presence of </w:t>
      </w:r>
      <w:r w:rsidR="00230C35" w:rsidRPr="00F4758C">
        <w:rPr>
          <w:b/>
          <w:bCs/>
          <w:lang w:val="en-GB" w:eastAsia="fr-FR"/>
        </w:rPr>
        <w:t>digital accessibility</w:t>
      </w:r>
      <w:r w:rsidRPr="00F4758C">
        <w:rPr>
          <w:b/>
          <w:bCs/>
          <w:lang w:val="en-GB" w:eastAsia="fr-FR"/>
        </w:rPr>
        <w:t xml:space="preserve"> leads </w:t>
      </w:r>
      <w:r w:rsidRPr="00F4758C">
        <w:rPr>
          <w:lang w:val="en-GB" w:eastAsia="fr-FR"/>
        </w:rPr>
        <w:t>(internal or external) is crucial to support teams (</w:t>
      </w:r>
      <w:r w:rsidRPr="001F2368">
        <w:rPr>
          <w:lang w:val="en-GB" w:eastAsia="fr-FR"/>
        </w:rPr>
        <w:t>Product Owners, UX, Dev</w:t>
      </w:r>
      <w:r w:rsidRPr="00F4758C">
        <w:rPr>
          <w:lang w:val="en-GB" w:eastAsia="fr-FR"/>
        </w:rPr>
        <w:t>) from project launch through to go-live</w:t>
      </w:r>
      <w:r w:rsidR="00543049" w:rsidRPr="00F4758C">
        <w:rPr>
          <w:lang w:val="en-GB" w:eastAsia="fr-FR"/>
        </w:rPr>
        <w:t xml:space="preserve">, </w:t>
      </w:r>
      <w:r w:rsidR="00DA2D1B" w:rsidRPr="00F4758C">
        <w:rPr>
          <w:lang w:val="en-GB" w:eastAsia="fr-FR"/>
        </w:rPr>
        <w:t>through a range of measures:</w:t>
      </w:r>
    </w:p>
    <w:p w14:paraId="4CBF66F8" w14:textId="2B2F6E27" w:rsidR="00BA7EFA" w:rsidRPr="00F4758C" w:rsidRDefault="00BA7EFA" w:rsidP="00F755EB">
      <w:pPr>
        <w:pStyle w:val="Paragraphedeliste"/>
        <w:numPr>
          <w:ilvl w:val="0"/>
          <w:numId w:val="56"/>
        </w:numPr>
        <w:contextualSpacing w:val="0"/>
        <w:rPr>
          <w:lang w:val="en-GB" w:eastAsia="fr-FR"/>
        </w:rPr>
      </w:pPr>
      <w:r w:rsidRPr="00F4758C">
        <w:rPr>
          <w:lang w:val="en-GB" w:eastAsia="fr-FR"/>
        </w:rPr>
        <w:t xml:space="preserve">Providing </w:t>
      </w:r>
      <w:r w:rsidRPr="00F4758C">
        <w:rPr>
          <w:b/>
          <w:bCs/>
          <w:lang w:val="en-GB" w:eastAsia="fr-FR"/>
        </w:rPr>
        <w:t xml:space="preserve">operational guides specific to each role </w:t>
      </w:r>
      <w:r w:rsidRPr="00F4758C">
        <w:rPr>
          <w:lang w:val="en-GB" w:eastAsia="fr-FR"/>
        </w:rPr>
        <w:t>(checklists for content managers, designers, buyers, accessibility leads, etc.);</w:t>
      </w:r>
    </w:p>
    <w:p w14:paraId="65DE1620" w14:textId="168EAD61" w:rsidR="00BA7EFA" w:rsidRPr="00F4758C" w:rsidRDefault="00BA7EFA" w:rsidP="00F755EB">
      <w:pPr>
        <w:pStyle w:val="Paragraphedeliste"/>
        <w:numPr>
          <w:ilvl w:val="0"/>
          <w:numId w:val="56"/>
        </w:numPr>
        <w:contextualSpacing w:val="0"/>
        <w:rPr>
          <w:lang w:val="en-GB" w:eastAsia="fr-FR"/>
        </w:rPr>
      </w:pPr>
      <w:r w:rsidRPr="00F4758C">
        <w:rPr>
          <w:lang w:val="en-GB" w:eastAsia="fr-FR"/>
        </w:rPr>
        <w:t xml:space="preserve">Incorporating a </w:t>
      </w:r>
      <w:r w:rsidRPr="00F4758C">
        <w:rPr>
          <w:b/>
          <w:bCs/>
          <w:lang w:val="en-GB" w:eastAsia="fr-FR"/>
        </w:rPr>
        <w:t xml:space="preserve">quiz </w:t>
      </w:r>
      <w:r w:rsidRPr="00F4758C">
        <w:rPr>
          <w:lang w:val="en-GB" w:eastAsia="fr-FR"/>
        </w:rPr>
        <w:t xml:space="preserve">or </w:t>
      </w:r>
      <w:r w:rsidRPr="00F4758C">
        <w:rPr>
          <w:b/>
          <w:bCs/>
          <w:lang w:val="en-GB" w:eastAsia="fr-FR"/>
        </w:rPr>
        <w:t xml:space="preserve">questions </w:t>
      </w:r>
      <w:r w:rsidRPr="00F4758C">
        <w:rPr>
          <w:lang w:val="en-GB" w:eastAsia="fr-FR"/>
        </w:rPr>
        <w:t>specifically on digital accessibility into every presentation of a new project, ensuring that teams have fully understood the requirements;</w:t>
      </w:r>
    </w:p>
    <w:p w14:paraId="1403C842" w14:textId="15873907" w:rsidR="00BA7EFA" w:rsidRPr="00F4758C" w:rsidRDefault="00BA7EFA" w:rsidP="00F755EB">
      <w:pPr>
        <w:pStyle w:val="Paragraphedeliste"/>
        <w:numPr>
          <w:ilvl w:val="0"/>
          <w:numId w:val="56"/>
        </w:numPr>
        <w:contextualSpacing w:val="0"/>
        <w:rPr>
          <w:lang w:val="en-GB" w:eastAsia="fr-FR"/>
        </w:rPr>
      </w:pPr>
      <w:r w:rsidRPr="00F4758C">
        <w:rPr>
          <w:lang w:val="en-GB" w:eastAsia="fr-FR"/>
        </w:rPr>
        <w:t xml:space="preserve">Identifying a </w:t>
      </w:r>
      <w:r w:rsidR="00262FAF">
        <w:rPr>
          <w:b/>
          <w:bCs/>
          <w:lang w:val="en-GB" w:eastAsia="fr-FR"/>
        </w:rPr>
        <w:t>“</w:t>
      </w:r>
      <w:r w:rsidRPr="00F4758C">
        <w:rPr>
          <w:b/>
          <w:bCs/>
          <w:lang w:val="en-GB" w:eastAsia="fr-FR"/>
        </w:rPr>
        <w:t>flagship</w:t>
      </w:r>
      <w:r w:rsidR="00262FAF">
        <w:rPr>
          <w:b/>
          <w:bCs/>
          <w:lang w:val="en-GB" w:eastAsia="fr-FR"/>
        </w:rPr>
        <w:t>”</w:t>
      </w:r>
      <w:r w:rsidR="00DA2D1B" w:rsidRPr="00F4758C">
        <w:rPr>
          <w:b/>
          <w:bCs/>
          <w:lang w:val="en-GB" w:eastAsia="fr-FR"/>
        </w:rPr>
        <w:t xml:space="preserve"> </w:t>
      </w:r>
      <w:r w:rsidRPr="00F4758C">
        <w:rPr>
          <w:b/>
          <w:bCs/>
          <w:lang w:val="en-GB" w:eastAsia="fr-FR"/>
        </w:rPr>
        <w:t xml:space="preserve">project </w:t>
      </w:r>
      <w:r w:rsidRPr="00F4758C">
        <w:rPr>
          <w:lang w:val="en-GB" w:eastAsia="fr-FR"/>
        </w:rPr>
        <w:t xml:space="preserve">to serve as a case study and be promoted </w:t>
      </w:r>
      <w:r w:rsidR="00DA2D1B" w:rsidRPr="00F4758C">
        <w:rPr>
          <w:lang w:val="en-GB" w:eastAsia="fr-FR"/>
        </w:rPr>
        <w:t xml:space="preserve">as an example </w:t>
      </w:r>
      <w:r w:rsidRPr="00F4758C">
        <w:rPr>
          <w:lang w:val="en-GB" w:eastAsia="fr-FR"/>
        </w:rPr>
        <w:t>to as many people as possible;</w:t>
      </w:r>
    </w:p>
    <w:p w14:paraId="70263E67" w14:textId="77777777" w:rsidR="00BA7EFA" w:rsidRPr="00F4758C" w:rsidRDefault="00BA7EFA" w:rsidP="00F755EB">
      <w:pPr>
        <w:pStyle w:val="Paragraphedeliste"/>
        <w:numPr>
          <w:ilvl w:val="0"/>
          <w:numId w:val="56"/>
        </w:numPr>
        <w:contextualSpacing w:val="0"/>
        <w:rPr>
          <w:lang w:val="en-GB" w:eastAsia="fr-FR"/>
        </w:rPr>
      </w:pPr>
      <w:r w:rsidRPr="00F4758C">
        <w:rPr>
          <w:lang w:val="en-GB" w:eastAsia="fr-FR"/>
        </w:rPr>
        <w:t xml:space="preserve">Produce an </w:t>
      </w:r>
      <w:r w:rsidRPr="00F4758C">
        <w:rPr>
          <w:b/>
          <w:bCs/>
          <w:lang w:val="en-GB" w:eastAsia="fr-FR"/>
        </w:rPr>
        <w:t xml:space="preserve">internal video showing real-life testing </w:t>
      </w:r>
      <w:r w:rsidRPr="00F4758C">
        <w:rPr>
          <w:lang w:val="en-GB" w:eastAsia="fr-FR"/>
        </w:rPr>
        <w:t xml:space="preserve">and share it with project managers, operational committees and even senior management; </w:t>
      </w:r>
    </w:p>
    <w:p w14:paraId="0634D8A0" w14:textId="2A8AD788" w:rsidR="00BA7EFA" w:rsidRPr="00F4758C" w:rsidRDefault="00BA7EFA" w:rsidP="00F755EB">
      <w:pPr>
        <w:pStyle w:val="Paragraphedeliste"/>
        <w:numPr>
          <w:ilvl w:val="0"/>
          <w:numId w:val="56"/>
        </w:numPr>
        <w:contextualSpacing w:val="0"/>
        <w:rPr>
          <w:lang w:val="en-GB" w:eastAsia="fr-FR"/>
        </w:rPr>
      </w:pPr>
      <w:r w:rsidRPr="00F4758C">
        <w:rPr>
          <w:lang w:val="en-GB" w:eastAsia="fr-FR"/>
        </w:rPr>
        <w:t xml:space="preserve">Demonstrate the </w:t>
      </w:r>
      <w:r w:rsidRPr="00F4758C">
        <w:rPr>
          <w:b/>
          <w:bCs/>
          <w:lang w:val="en-GB" w:eastAsia="fr-FR"/>
        </w:rPr>
        <w:t xml:space="preserve">opportunities offered </w:t>
      </w:r>
      <w:r w:rsidR="00230C35" w:rsidRPr="00F4758C">
        <w:rPr>
          <w:b/>
          <w:bCs/>
          <w:lang w:val="en-GB" w:eastAsia="fr-FR"/>
        </w:rPr>
        <w:t xml:space="preserve">by digital accessibility </w:t>
      </w:r>
      <w:r w:rsidRPr="00F4758C">
        <w:rPr>
          <w:lang w:val="en-GB" w:eastAsia="fr-FR"/>
        </w:rPr>
        <w:t>in digital projects (as ease of use is synonymous with ease of adoption</w:t>
      </w:r>
      <w:r w:rsidR="001C39FA" w:rsidRPr="00F4758C">
        <w:rPr>
          <w:lang w:val="en-GB" w:eastAsia="fr-FR"/>
        </w:rPr>
        <w:t>)</w:t>
      </w:r>
      <w:r w:rsidRPr="00F4758C">
        <w:rPr>
          <w:lang w:val="en-GB" w:eastAsia="fr-FR"/>
        </w:rPr>
        <w:t xml:space="preserve">. To do this, it is best </w:t>
      </w:r>
      <w:r w:rsidR="00543049" w:rsidRPr="00F4758C">
        <w:rPr>
          <w:lang w:val="en-GB" w:eastAsia="fr-FR"/>
        </w:rPr>
        <w:t>to</w:t>
      </w:r>
      <w:r w:rsidRPr="00F4758C">
        <w:rPr>
          <w:lang w:val="en-GB" w:eastAsia="fr-FR"/>
        </w:rPr>
        <w:t xml:space="preserve"> use resources that are already available </w:t>
      </w:r>
      <w:r w:rsidR="00543049" w:rsidRPr="00F4758C">
        <w:rPr>
          <w:lang w:val="en-GB" w:eastAsia="fr-FR"/>
        </w:rPr>
        <w:t xml:space="preserve">and </w:t>
      </w:r>
      <w:r w:rsidRPr="00F4758C">
        <w:rPr>
          <w:lang w:val="en-GB" w:eastAsia="fr-FR"/>
        </w:rPr>
        <w:t>adapt them to specific use cases (customer applications, email campaigns, etc.);</w:t>
      </w:r>
    </w:p>
    <w:p w14:paraId="7E703786" w14:textId="6369A7D9" w:rsidR="00BA7EFA" w:rsidRPr="00F4758C" w:rsidRDefault="00BA7EFA" w:rsidP="00F755EB">
      <w:pPr>
        <w:pStyle w:val="Paragraphedeliste"/>
        <w:numPr>
          <w:ilvl w:val="0"/>
          <w:numId w:val="56"/>
        </w:numPr>
        <w:contextualSpacing w:val="0"/>
        <w:rPr>
          <w:lang w:val="en-GB" w:eastAsia="fr-FR"/>
        </w:rPr>
      </w:pPr>
      <w:r w:rsidRPr="00F4758C">
        <w:rPr>
          <w:lang w:val="en-GB" w:eastAsia="fr-FR"/>
        </w:rPr>
        <w:t xml:space="preserve">Ensure </w:t>
      </w:r>
      <w:r w:rsidRPr="00F4758C">
        <w:rPr>
          <w:b/>
          <w:bCs/>
          <w:lang w:val="en-GB" w:eastAsia="fr-FR"/>
        </w:rPr>
        <w:t>effective cross-functional communication</w:t>
      </w:r>
      <w:r w:rsidRPr="00F4758C">
        <w:rPr>
          <w:lang w:val="en-GB" w:eastAsia="fr-FR"/>
        </w:rPr>
        <w:t>: provide forums for discussion amongst staff, and even amongst customers themselves.</w:t>
      </w:r>
    </w:p>
    <w:p w14:paraId="5BFCF075" w14:textId="77777777" w:rsidR="00CA3133" w:rsidRPr="00F4758C" w:rsidRDefault="00CA3133" w:rsidP="00CA3133">
      <w:pPr>
        <w:rPr>
          <w:lang w:val="en-GB" w:eastAsia="fr-FR"/>
        </w:rPr>
      </w:pPr>
    </w:p>
    <w:p w14:paraId="6FA515B0" w14:textId="77777777" w:rsidR="00CA3133" w:rsidRPr="00F4758C" w:rsidRDefault="00CA3133" w:rsidP="00CA3133">
      <w:pPr>
        <w:rPr>
          <w:lang w:val="en-GB" w:eastAsia="fr-FR"/>
        </w:rPr>
      </w:pPr>
    </w:p>
    <w:p w14:paraId="1942F0BB" w14:textId="77777777" w:rsidR="00CA3133" w:rsidRPr="00F4758C" w:rsidRDefault="00CA3133" w:rsidP="00CA3133">
      <w:pPr>
        <w:rPr>
          <w:lang w:val="en-GB" w:eastAsia="fr-FR"/>
        </w:rPr>
      </w:pPr>
    </w:p>
    <w:p w14:paraId="12FF02EF" w14:textId="7C569F08" w:rsidR="00CA3133" w:rsidRPr="00F4758C" w:rsidRDefault="00CA3133" w:rsidP="00CA3133">
      <w:pPr>
        <w:pStyle w:val="Titre1"/>
        <w:numPr>
          <w:ilvl w:val="0"/>
          <w:numId w:val="0"/>
        </w:numPr>
        <w:ind w:left="432" w:hanging="432"/>
        <w:rPr>
          <w:lang w:val="en-GB"/>
        </w:rPr>
      </w:pPr>
      <w:bookmarkStart w:id="80" w:name="_Toc230077035"/>
      <w:r w:rsidRPr="00F4758C">
        <w:rPr>
          <w:lang w:val="en-GB"/>
        </w:rPr>
        <w:lastRenderedPageBreak/>
        <w:t>Conclusion</w:t>
      </w:r>
      <w:bookmarkEnd w:id="80"/>
    </w:p>
    <w:p w14:paraId="09B4CD57" w14:textId="4F36ED71" w:rsidR="00585FAC" w:rsidRPr="00F4758C" w:rsidRDefault="00977A3D" w:rsidP="00977A3D">
      <w:pPr>
        <w:rPr>
          <w:lang w:val="en-GB" w:eastAsia="fr-FR"/>
        </w:rPr>
      </w:pPr>
      <w:r w:rsidRPr="00F4758C">
        <w:rPr>
          <w:lang w:val="en-GB" w:eastAsia="fr-FR"/>
        </w:rPr>
        <w:t xml:space="preserve">Digital accessibility is now a key issue at the heart of digital transformation for both public and private organisations. It is no longer merely a regulatory obligation but </w:t>
      </w:r>
      <w:r w:rsidR="00585FAC" w:rsidRPr="00F4758C">
        <w:rPr>
          <w:lang w:val="en-GB" w:eastAsia="fr-FR"/>
        </w:rPr>
        <w:t>directly impacts organisations’ ability to guarantee equitable access to their digital services for all users.</w:t>
      </w:r>
    </w:p>
    <w:p w14:paraId="542FC501" w14:textId="0EE100C0" w:rsidR="00585FAC" w:rsidRPr="00F4758C" w:rsidRDefault="00585FAC" w:rsidP="00585FAC">
      <w:pPr>
        <w:rPr>
          <w:lang w:val="en-GB" w:eastAsia="fr-FR"/>
        </w:rPr>
      </w:pPr>
      <w:r w:rsidRPr="00F4758C">
        <w:rPr>
          <w:lang w:val="en-GB" w:eastAsia="fr-FR"/>
        </w:rPr>
        <w:t>Against a backdrop of increasingly digitised user journeys, the inaccessibility of a digital service is not merely a deterioration in the user experience: it can lead to the effective exclusion of certain groups, particularly people with disabilities. As such, digital accessibility must be viewed as a fundamental right, on a par with access to essential services.</w:t>
      </w:r>
    </w:p>
    <w:p w14:paraId="23DDE4D3" w14:textId="739CA98C" w:rsidR="007463B2" w:rsidRPr="00F4758C" w:rsidRDefault="00585FAC" w:rsidP="007463B2">
      <w:pPr>
        <w:rPr>
          <w:lang w:val="en-GB" w:eastAsia="fr-FR"/>
        </w:rPr>
      </w:pPr>
      <w:r w:rsidRPr="00F4758C">
        <w:rPr>
          <w:lang w:val="en-GB" w:eastAsia="fr-FR"/>
        </w:rPr>
        <w:t xml:space="preserve">For large organisations, the challenge is no longer to address accessibility on an </w:t>
      </w:r>
      <w:r w:rsidRPr="008053B0">
        <w:rPr>
          <w:i/>
          <w:iCs/>
          <w:lang w:val="en-GB" w:eastAsia="fr-FR"/>
        </w:rPr>
        <w:t>ad hoc</w:t>
      </w:r>
      <w:r w:rsidRPr="00F4758C">
        <w:rPr>
          <w:lang w:val="en-GB" w:eastAsia="fr-FR"/>
        </w:rPr>
        <w:t xml:space="preserve"> or remedial basis, but to integrate it as a fundamental aspect of their digital transformation. </w:t>
      </w:r>
      <w:r w:rsidR="007463B2" w:rsidRPr="00F4758C">
        <w:rPr>
          <w:lang w:val="en-GB" w:eastAsia="fr-FR"/>
        </w:rPr>
        <w:t>This is why digital accessibility is a collective challenge that extends far beyond the remit of the IT department. It involves all business units and stakeholders.</w:t>
      </w:r>
    </w:p>
    <w:p w14:paraId="12A025AE" w14:textId="1A9CB63E" w:rsidR="007463B2" w:rsidRPr="00F4758C" w:rsidRDefault="007463B2" w:rsidP="007463B2">
      <w:pPr>
        <w:rPr>
          <w:lang w:val="en-GB" w:eastAsia="fr-FR"/>
        </w:rPr>
      </w:pPr>
      <w:r w:rsidRPr="00F4758C">
        <w:rPr>
          <w:lang w:val="en-GB" w:eastAsia="fr-FR"/>
        </w:rPr>
        <w:t xml:space="preserve">The experience of the members of the Cigref working group is unequivocal: organisations that have succeeded in improving their digital accessibility are those that began by establishing a </w:t>
      </w:r>
      <w:r w:rsidR="007877BC" w:rsidRPr="00F4758C">
        <w:rPr>
          <w:lang w:val="en-GB" w:eastAsia="fr-FR"/>
        </w:rPr>
        <w:t xml:space="preserve">governance structure </w:t>
      </w:r>
      <w:r w:rsidRPr="00F4758C">
        <w:rPr>
          <w:lang w:val="en-GB" w:eastAsia="fr-FR"/>
        </w:rPr>
        <w:t xml:space="preserve">led by a clearly identified </w:t>
      </w:r>
      <w:r w:rsidR="00262FAF">
        <w:rPr>
          <w:lang w:val="en-GB" w:eastAsia="fr-FR"/>
        </w:rPr>
        <w:t>“</w:t>
      </w:r>
      <w:r w:rsidRPr="00F4758C">
        <w:rPr>
          <w:lang w:val="en-GB" w:eastAsia="fr-FR"/>
        </w:rPr>
        <w:t>digital accessibility</w:t>
      </w:r>
      <w:r w:rsidR="00262FAF">
        <w:rPr>
          <w:lang w:val="en-GB" w:eastAsia="fr-FR"/>
        </w:rPr>
        <w:t>”</w:t>
      </w:r>
      <w:r w:rsidRPr="00F4758C">
        <w:rPr>
          <w:lang w:val="en-GB" w:eastAsia="fr-FR"/>
        </w:rPr>
        <w:t xml:space="preserve"> lead, with a clear mandate and dedicated resources. To carry out their duties fully, the lead’s position within the organisational hierarchy is crucial: the working group recommends a position at Executive Committee level or one reporting directly to the Executive Committee, as this is the only level that guarantees genuine decision-making authority. In addition to these arrangements, the lead officer can help provide procurement teams with standard digital accessibility clauses and pre-filled tender specifications (including indicators such as the obligation to provide a recent RGAA audit report, a contractual commitment to a remediation plan in the event of non-compliance, or a requirement for minimum training for service provider teams).</w:t>
      </w:r>
    </w:p>
    <w:p w14:paraId="6064F6BC" w14:textId="4AE7D9D0" w:rsidR="007877BC" w:rsidRPr="00F4758C" w:rsidRDefault="007877BC" w:rsidP="007877BC">
      <w:pPr>
        <w:rPr>
          <w:lang w:val="en-GB" w:eastAsia="fr-FR"/>
        </w:rPr>
      </w:pPr>
      <w:r w:rsidRPr="00F4758C">
        <w:rPr>
          <w:lang w:val="en-GB" w:eastAsia="fr-FR"/>
        </w:rPr>
        <w:t xml:space="preserve">At the same time, the effectiveness of the approach depends on re-engineering production cycles. The shift from a reactive corrective approach to a proactive, </w:t>
      </w:r>
      <w:r w:rsidR="00262FAF">
        <w:rPr>
          <w:lang w:val="en-GB" w:eastAsia="fr-FR"/>
        </w:rPr>
        <w:t>“</w:t>
      </w:r>
      <w:r w:rsidRPr="00262FAF">
        <w:rPr>
          <w:lang w:val="en-GB" w:eastAsia="fr-FR"/>
        </w:rPr>
        <w:t xml:space="preserve">by </w:t>
      </w:r>
      <w:r w:rsidR="00174707" w:rsidRPr="00262FAF">
        <w:rPr>
          <w:lang w:val="en-GB" w:eastAsia="fr-FR"/>
        </w:rPr>
        <w:t>design</w:t>
      </w:r>
      <w:r w:rsidR="00262FAF">
        <w:rPr>
          <w:lang w:val="en-GB" w:eastAsia="fr-FR"/>
        </w:rPr>
        <w:t xml:space="preserve">” </w:t>
      </w:r>
      <w:r w:rsidRPr="00F4758C">
        <w:rPr>
          <w:lang w:val="en-GB" w:eastAsia="fr-FR"/>
        </w:rPr>
        <w:t>approach is essential for controlling costs and safeguarding budgets. By mainstreaming accessibility within development workflows and equipping each department with shared standards, what was once perceived as a constraint becomes a driver of software quality.</w:t>
      </w:r>
    </w:p>
    <w:p w14:paraId="150DD5AE" w14:textId="0575FBC1" w:rsidR="007877BC" w:rsidRPr="00F4758C" w:rsidRDefault="007877BC" w:rsidP="007877BC">
      <w:pPr>
        <w:rPr>
          <w:lang w:val="en-GB" w:eastAsia="fr-FR"/>
        </w:rPr>
      </w:pPr>
      <w:r w:rsidRPr="00F4758C">
        <w:rPr>
          <w:lang w:val="en-GB" w:eastAsia="fr-FR"/>
        </w:rPr>
        <w:t>For digital accessibility to be truly effective, it must be based on real-world usage rather than technical constraints alone. This means placing the user at the heart of the process by involving</w:t>
      </w:r>
      <w:r w:rsidR="00DE7E0F" w:rsidRPr="00F4758C">
        <w:rPr>
          <w:lang w:val="en-GB" w:eastAsia="fr-FR"/>
        </w:rPr>
        <w:t xml:space="preserve">, </w:t>
      </w:r>
      <w:r w:rsidRPr="00F4758C">
        <w:rPr>
          <w:lang w:val="en-GB" w:eastAsia="fr-FR"/>
        </w:rPr>
        <w:t>from the design stage onwards</w:t>
      </w:r>
      <w:r w:rsidR="00DE7E0F" w:rsidRPr="00F4758C">
        <w:rPr>
          <w:lang w:val="en-GB" w:eastAsia="fr-FR"/>
        </w:rPr>
        <w:t xml:space="preserve">, </w:t>
      </w:r>
      <w:r w:rsidRPr="00F4758C">
        <w:rPr>
          <w:lang w:val="en-GB" w:eastAsia="fr-FR"/>
        </w:rPr>
        <w:t>representative profiles of people with disabilities, by creating user journeys tailored to their actual constraints, and by evaluating the quality of the user experience. Accessibility then becomes a driver for the overall improvement of the user experience, benefiting all audiences.</w:t>
      </w:r>
    </w:p>
    <w:p w14:paraId="24D25270" w14:textId="32F46F22" w:rsidR="007463B2" w:rsidRPr="00F4758C" w:rsidRDefault="007463B2" w:rsidP="007463B2">
      <w:pPr>
        <w:rPr>
          <w:lang w:val="en-GB" w:eastAsia="fr-FR"/>
        </w:rPr>
      </w:pPr>
      <w:r w:rsidRPr="00F4758C">
        <w:rPr>
          <w:lang w:val="en-GB" w:eastAsia="fr-FR"/>
        </w:rPr>
        <w:t>This report has demonstrated this through feedback from members of the Cigref working group: scaling up is possible. It relies neither on extraordinary resources nor on a complete organisational overhaul. It rests on a single decision: to make accessibility the norm, not the exception.</w:t>
      </w:r>
    </w:p>
    <w:p w14:paraId="2B347902" w14:textId="77777777" w:rsidR="00D86494" w:rsidRPr="00F4758C" w:rsidRDefault="00D86494" w:rsidP="00D86494">
      <w:pPr>
        <w:rPr>
          <w:lang w:val="en-GB" w:eastAsia="fr-FR"/>
        </w:rPr>
      </w:pPr>
      <w:r w:rsidRPr="00F4758C">
        <w:rPr>
          <w:lang w:val="en-GB" w:eastAsia="fr-FR"/>
        </w:rPr>
        <w:lastRenderedPageBreak/>
        <w:t xml:space="preserve">Looking to the future, digital accessibility is currently at a turning point, offering both great promise in terms of its potential and significant uncertainty regarding its long-term viability: </w:t>
      </w:r>
    </w:p>
    <w:p w14:paraId="2A009F92" w14:textId="323C966F" w:rsidR="00D86494" w:rsidRPr="00F4758C" w:rsidRDefault="00D86494">
      <w:pPr>
        <w:pStyle w:val="Paragraphedeliste"/>
        <w:numPr>
          <w:ilvl w:val="0"/>
          <w:numId w:val="69"/>
        </w:numPr>
        <w:spacing w:after="0"/>
        <w:rPr>
          <w:lang w:val="en-GB" w:eastAsia="fr-FR"/>
        </w:rPr>
      </w:pPr>
      <w:r w:rsidRPr="00F4758C">
        <w:rPr>
          <w:lang w:val="en-GB" w:eastAsia="fr-FR"/>
        </w:rPr>
        <w:t xml:space="preserve">On the one hand, </w:t>
      </w:r>
      <w:r w:rsidR="00C328FA" w:rsidRPr="00F4758C">
        <w:rPr>
          <w:lang w:val="en-GB" w:eastAsia="fr-FR"/>
        </w:rPr>
        <w:t>AI opens up an unprecedented range of possibilities</w:t>
      </w:r>
      <w:r w:rsidRPr="00F4758C">
        <w:rPr>
          <w:lang w:val="en-GB" w:eastAsia="fr-FR"/>
        </w:rPr>
        <w:t xml:space="preserve">: the ultra-personalisation enabled by </w:t>
      </w:r>
      <w:r w:rsidR="002B324B" w:rsidRPr="00F4758C">
        <w:rPr>
          <w:lang w:val="en-GB" w:eastAsia="fr-FR"/>
        </w:rPr>
        <w:t>technical and behavioural data streams</w:t>
      </w:r>
      <w:r w:rsidRPr="00F4758C">
        <w:rPr>
          <w:lang w:val="en-GB" w:eastAsia="fr-FR"/>
        </w:rPr>
        <w:t xml:space="preserve">, </w:t>
      </w:r>
      <w:r w:rsidR="002B324B" w:rsidRPr="00F4758C">
        <w:rPr>
          <w:lang w:val="en-GB" w:eastAsia="fr-FR"/>
        </w:rPr>
        <w:t xml:space="preserve">the streamlining of </w:t>
      </w:r>
      <w:r w:rsidRPr="00F4758C">
        <w:rPr>
          <w:lang w:val="en-GB" w:eastAsia="fr-FR"/>
        </w:rPr>
        <w:t>conversational</w:t>
      </w:r>
      <w:r w:rsidR="002B324B" w:rsidRPr="00F4758C">
        <w:rPr>
          <w:lang w:val="en-GB" w:eastAsia="fr-FR"/>
        </w:rPr>
        <w:t xml:space="preserve"> interfaces via generative</w:t>
      </w:r>
      <w:r w:rsidRPr="00F4758C">
        <w:rPr>
          <w:lang w:val="en-GB" w:eastAsia="fr-FR"/>
        </w:rPr>
        <w:t xml:space="preserve"> AI, and the emergence of agent-based AI capable of supporting and empowering users</w:t>
      </w:r>
      <w:r w:rsidR="00E964BD" w:rsidRPr="00F4758C">
        <w:rPr>
          <w:lang w:val="en-GB" w:eastAsia="fr-FR"/>
        </w:rPr>
        <w:t xml:space="preserve">, </w:t>
      </w:r>
      <w:r w:rsidR="00C328FA" w:rsidRPr="00F4758C">
        <w:rPr>
          <w:lang w:val="en-GB" w:eastAsia="fr-FR"/>
        </w:rPr>
        <w:t>are creating new conditions for adapting services to the specific needs of each disability — and, beyond that, for offering everyone digital experiences that are genuinely tailored to their uses and ways of functioning.</w:t>
      </w:r>
    </w:p>
    <w:p w14:paraId="2E96FD7B" w14:textId="77777777" w:rsidR="002B324B" w:rsidRPr="00F4758C" w:rsidRDefault="002B324B" w:rsidP="00A76094">
      <w:pPr>
        <w:pStyle w:val="Paragraphedeliste"/>
        <w:spacing w:after="0"/>
        <w:rPr>
          <w:lang w:val="en-GB" w:eastAsia="fr-FR"/>
        </w:rPr>
      </w:pPr>
    </w:p>
    <w:p w14:paraId="2FFB7503" w14:textId="73E9E852" w:rsidR="00585FAC" w:rsidRPr="00F4758C" w:rsidRDefault="00D86494">
      <w:pPr>
        <w:pStyle w:val="Paragraphedeliste"/>
        <w:numPr>
          <w:ilvl w:val="0"/>
          <w:numId w:val="69"/>
        </w:numPr>
        <w:rPr>
          <w:lang w:val="en-GB" w:eastAsia="fr-FR"/>
        </w:rPr>
      </w:pPr>
      <w:r w:rsidRPr="00F4758C">
        <w:rPr>
          <w:lang w:val="en-GB" w:eastAsia="fr-FR"/>
        </w:rPr>
        <w:t xml:space="preserve">On the other hand, </w:t>
      </w:r>
      <w:r w:rsidR="00C92F3A" w:rsidRPr="00F4758C">
        <w:rPr>
          <w:lang w:val="en-GB" w:eastAsia="fr-FR"/>
        </w:rPr>
        <w:t xml:space="preserve">the widespread adoption of generative or agent-based AI for navigating the internet or intranets could fundamentally alter the very purpose of digital accessibility. For web pages, </w:t>
      </w:r>
      <w:r w:rsidR="00C92F3A" w:rsidRPr="001F2368">
        <w:rPr>
          <w:lang w:val="en-GB" w:eastAsia="fr-FR"/>
        </w:rPr>
        <w:t xml:space="preserve">Generative Engine Optimisation </w:t>
      </w:r>
      <w:r w:rsidR="00C92F3A" w:rsidRPr="00F4758C">
        <w:rPr>
          <w:lang w:val="en-GB" w:eastAsia="fr-FR"/>
        </w:rPr>
        <w:t xml:space="preserve">(GEO) is posing </w:t>
      </w:r>
      <w:r w:rsidR="00C92F3A" w:rsidRPr="00F4758C">
        <w:rPr>
          <w:lang w:val="en-GB"/>
        </w:rPr>
        <w:t xml:space="preserve">serious </w:t>
      </w:r>
      <w:r w:rsidR="00C92F3A" w:rsidRPr="00F4758C">
        <w:rPr>
          <w:lang w:val="en-GB" w:eastAsia="fr-FR"/>
        </w:rPr>
        <w:t xml:space="preserve">competition to </w:t>
      </w:r>
      <w:r w:rsidR="00C92F3A" w:rsidRPr="001F2368">
        <w:rPr>
          <w:lang w:val="en-GB" w:eastAsia="fr-FR"/>
        </w:rPr>
        <w:t xml:space="preserve">Search Engine Optimisation </w:t>
      </w:r>
      <w:r w:rsidR="00C92F3A" w:rsidRPr="00F4758C">
        <w:rPr>
          <w:lang w:val="en-GB" w:eastAsia="fr-FR"/>
        </w:rPr>
        <w:t xml:space="preserve">(SEO) in improving the visibility of websites on search engines that are increasingly AI-driven. </w:t>
      </w:r>
      <w:r w:rsidR="00747FCE" w:rsidRPr="00F4758C">
        <w:rPr>
          <w:lang w:val="en-GB" w:eastAsia="fr-FR"/>
        </w:rPr>
        <w:t xml:space="preserve">In this context, </w:t>
      </w:r>
      <w:r w:rsidR="00C92F3A" w:rsidRPr="00F4758C">
        <w:rPr>
          <w:lang w:val="en-GB" w:eastAsia="fr-FR"/>
        </w:rPr>
        <w:t>AI systems are becoming interfaces, filters, transactional engines and even active agents</w:t>
      </w:r>
      <w:r w:rsidR="00110AD0" w:rsidRPr="00F4758C">
        <w:rPr>
          <w:lang w:val="en-GB" w:eastAsia="fr-FR"/>
        </w:rPr>
        <w:t xml:space="preserve">, </w:t>
      </w:r>
      <w:r w:rsidR="00C92F3A" w:rsidRPr="00F4758C">
        <w:rPr>
          <w:lang w:val="en-GB" w:eastAsia="fr-FR"/>
        </w:rPr>
        <w:t>serving users or acting in their stead</w:t>
      </w:r>
      <w:r w:rsidR="00E964BD" w:rsidRPr="00F4758C">
        <w:rPr>
          <w:lang w:val="en-GB" w:eastAsia="fr-FR"/>
        </w:rPr>
        <w:t>.</w:t>
      </w:r>
      <w:r w:rsidR="00766AEF" w:rsidRPr="00F4758C">
        <w:rPr>
          <w:lang w:val="en-GB" w:eastAsia="fr-FR"/>
        </w:rPr>
        <w:t xml:space="preserve"> The issue of UX/UI is </w:t>
      </w:r>
      <w:r w:rsidR="00E964BD" w:rsidRPr="00F4758C">
        <w:rPr>
          <w:lang w:val="en-GB" w:eastAsia="fr-FR"/>
        </w:rPr>
        <w:t>thus</w:t>
      </w:r>
      <w:r w:rsidR="00766AEF" w:rsidRPr="00F4758C">
        <w:rPr>
          <w:lang w:val="en-GB" w:eastAsia="fr-FR"/>
        </w:rPr>
        <w:t xml:space="preserve"> being significantly called into question by the algorithmic ranking standards specific </w:t>
      </w:r>
      <w:r w:rsidR="00747FCE" w:rsidRPr="00F4758C">
        <w:rPr>
          <w:lang w:val="en-GB" w:eastAsia="fr-FR"/>
        </w:rPr>
        <w:t xml:space="preserve">to these </w:t>
      </w:r>
      <w:r w:rsidR="00766AEF" w:rsidRPr="00F4758C">
        <w:rPr>
          <w:lang w:val="en-GB" w:eastAsia="fr-FR"/>
        </w:rPr>
        <w:t>AI systems</w:t>
      </w:r>
      <w:r w:rsidR="00C92F3A" w:rsidRPr="00F4758C">
        <w:rPr>
          <w:lang w:val="en-GB" w:eastAsia="fr-FR"/>
        </w:rPr>
        <w:t xml:space="preserve">. </w:t>
      </w:r>
      <w:r w:rsidR="00747FCE" w:rsidRPr="00F4758C">
        <w:rPr>
          <w:lang w:val="en-GB" w:eastAsia="fr-FR"/>
        </w:rPr>
        <w:t xml:space="preserve">The same issue arises when searching for internal organisational data using AI solutions. In conclusion, if new </w:t>
      </w:r>
      <w:r w:rsidR="00C92F3A" w:rsidRPr="00F4758C">
        <w:rPr>
          <w:lang w:val="en-GB" w:eastAsia="fr-FR"/>
        </w:rPr>
        <w:t xml:space="preserve">AI </w:t>
      </w:r>
      <w:r w:rsidRPr="00F4758C">
        <w:rPr>
          <w:lang w:val="en-GB" w:eastAsia="fr-FR"/>
        </w:rPr>
        <w:t xml:space="preserve">technologies are not designed </w:t>
      </w:r>
      <w:r w:rsidR="004B423B" w:rsidRPr="00F4758C">
        <w:rPr>
          <w:lang w:val="en-GB" w:eastAsia="fr-FR"/>
        </w:rPr>
        <w:t xml:space="preserve">from the outset to </w:t>
      </w:r>
      <w:r w:rsidRPr="00F4758C">
        <w:rPr>
          <w:lang w:val="en-GB" w:eastAsia="fr-FR"/>
        </w:rPr>
        <w:t xml:space="preserve">be inclusive </w:t>
      </w:r>
      <w:r w:rsidR="004B423B" w:rsidRPr="00F4758C">
        <w:rPr>
          <w:lang w:val="en-GB" w:eastAsia="fr-FR"/>
        </w:rPr>
        <w:t>and to promote accessibility</w:t>
      </w:r>
      <w:r w:rsidRPr="00F4758C">
        <w:rPr>
          <w:lang w:val="en-GB" w:eastAsia="fr-FR"/>
        </w:rPr>
        <w:t>, they risk creating a new digital divide</w:t>
      </w:r>
      <w:r w:rsidR="00BC6937">
        <w:rPr>
          <w:lang w:val="en-GB" w:eastAsia="fr-FR"/>
        </w:rPr>
        <w:t xml:space="preserve">, </w:t>
      </w:r>
      <w:r w:rsidRPr="00F4758C">
        <w:rPr>
          <w:lang w:val="en-GB" w:eastAsia="fr-FR"/>
        </w:rPr>
        <w:t xml:space="preserve">one that is deeper and more opaque.  </w:t>
      </w:r>
    </w:p>
    <w:p w14:paraId="79E06640" w14:textId="77777777" w:rsidR="00CA3133" w:rsidRPr="00F4758C" w:rsidRDefault="00CA3133" w:rsidP="00CA3133">
      <w:pPr>
        <w:rPr>
          <w:lang w:val="en-GB" w:eastAsia="fr-FR"/>
        </w:rPr>
      </w:pPr>
    </w:p>
    <w:sectPr w:rsidR="00CA3133" w:rsidRPr="00F4758C" w:rsidSect="000C48CF">
      <w:type w:val="continuous"/>
      <w:pgSz w:w="11906" w:h="16838" w:code="9"/>
      <w:pgMar w:top="1418" w:right="1418" w:bottom="1418" w:left="1418" w:header="709" w:footer="709"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8D14A" w14:textId="77777777" w:rsidR="005F5997" w:rsidRDefault="005F5997" w:rsidP="00A257FD">
      <w:pPr>
        <w:spacing w:after="0" w:line="240" w:lineRule="auto"/>
      </w:pPr>
      <w:r>
        <w:separator/>
      </w:r>
    </w:p>
  </w:endnote>
  <w:endnote w:type="continuationSeparator" w:id="0">
    <w:p w14:paraId="66FFF0D9" w14:textId="77777777" w:rsidR="005F5997" w:rsidRDefault="005F5997" w:rsidP="00A257FD">
      <w:pPr>
        <w:spacing w:after="0" w:line="240" w:lineRule="auto"/>
      </w:pPr>
      <w:r>
        <w:continuationSeparator/>
      </w:r>
    </w:p>
  </w:endnote>
  <w:endnote w:type="continuationNotice" w:id="1">
    <w:p w14:paraId="1A09AA8A" w14:textId="77777777" w:rsidR="005F5997" w:rsidRDefault="005F5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Public Sans">
    <w:altName w:val="Calibri"/>
    <w:panose1 w:val="00000000000000000000"/>
    <w:charset w:val="00"/>
    <w:family w:val="modern"/>
    <w:notTrueType/>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BED3C" w14:textId="77777777" w:rsidR="00726BC0" w:rsidRPr="00F4758C" w:rsidRDefault="00726BC0">
    <w:pPr>
      <w:pStyle w:val="Pieddepage"/>
      <w:rPr>
        <w:b/>
        <w:bCs/>
        <w:szCs w:val="18"/>
        <w:lang w:val="en-GB"/>
      </w:rPr>
    </w:pPr>
    <w:r>
      <w:rPr>
        <w:noProof/>
        <w:lang w:eastAsia="fr-FR"/>
      </w:rPr>
      <w:drawing>
        <wp:anchor distT="0" distB="0" distL="114300" distR="114300" simplePos="0" relativeHeight="251665408" behindDoc="0" locked="0" layoutInCell="1" allowOverlap="1" wp14:anchorId="67281D27" wp14:editId="5AA62D1F">
          <wp:simplePos x="0" y="0"/>
          <wp:positionH relativeFrom="margin">
            <wp:posOffset>-325438</wp:posOffset>
          </wp:positionH>
          <wp:positionV relativeFrom="page">
            <wp:posOffset>9768523</wp:posOffset>
          </wp:positionV>
          <wp:extent cx="595630" cy="445135"/>
          <wp:effectExtent l="0" t="0" r="0" b="0"/>
          <wp:wrapSquare wrapText="bothSides"/>
          <wp:docPr id="130499047" name="Graphique 1304990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99047" name="Graphique 130499047">
                    <a:extLst>
                      <a:ext uri="{C183D7F6-B498-43B3-948B-1728B52AA6E4}">
                        <adec:decorative xmlns:adec="http://schemas.microsoft.com/office/drawing/2017/decorative" val="1"/>
                      </a:ext>
                    </a:extLst>
                  </pic:cNvPr>
                  <pic:cNvPicPr/>
                </pic:nvPicPr>
                <pic:blipFill rotWithShape="1">
                  <a:blip r:embed="rId1">
                    <a:extLst>
                      <a:ext uri="{96DAC541-7B7A-43D3-8B79-37D633B846F1}">
                        <asvg:svgBlip xmlns:asvg="http://schemas.microsoft.com/office/drawing/2016/SVG/main" r:embed="rId2"/>
                      </a:ext>
                    </a:extLst>
                  </a:blip>
                  <a:srcRect t="-51437" b="-81875"/>
                  <a:stretch/>
                </pic:blipFill>
                <pic:spPr bwMode="auto">
                  <a:xfrm>
                    <a:off x="0" y="0"/>
                    <a:ext cx="595630" cy="44513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4758C">
      <w:rPr>
        <w:b/>
        <w:bCs/>
        <w:szCs w:val="18"/>
        <w:lang w:val="en-GB"/>
      </w:rPr>
      <w:t xml:space="preserve"> Intellectual property rights</w:t>
    </w:r>
  </w:p>
  <w:p w14:paraId="3F98C328" w14:textId="77777777" w:rsidR="00726BC0" w:rsidRPr="00F4758C" w:rsidRDefault="00726BC0">
    <w:pPr>
      <w:pStyle w:val="Pieddepage"/>
      <w:rPr>
        <w:lang w:val="en-GB"/>
      </w:rPr>
    </w:pPr>
    <w:r w:rsidRPr="00F4758C">
      <w:rPr>
        <w:rFonts w:cs="Calibri Light"/>
        <w:szCs w:val="18"/>
        <w:lang w:val="en-GB"/>
      </w:rPr>
      <w:t>All Cigref publications are made available free of charge to as many people as possible, but remain protected by the applicable intellectual property laws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F83A8" w14:textId="5FEB1A68" w:rsidR="00A24EF5" w:rsidRPr="007B2E61" w:rsidRDefault="00A24EF5" w:rsidP="00A4363B">
    <w:pPr>
      <w:pStyle w:val="Pieddepage"/>
      <w:rPr>
        <w:b/>
        <w:bCs/>
        <w:color w:val="404040" w:themeColor="text1" w:themeTint="BF"/>
      </w:rPr>
    </w:pPr>
  </w:p>
  <w:p w14:paraId="204A9B06" w14:textId="035BA4A2" w:rsidR="00A24EF5" w:rsidRPr="007B2E61" w:rsidRDefault="003063E5" w:rsidP="00A4363B">
    <w:pPr>
      <w:pStyle w:val="Pieddepage"/>
      <w:rPr>
        <w:b/>
        <w:bCs/>
        <w:color w:val="404040" w:themeColor="text1" w:themeTint="BF"/>
      </w:rPr>
    </w:pPr>
    <w:r w:rsidRPr="007B2E61">
      <w:rPr>
        <w:b/>
        <w:bCs/>
        <w:noProof/>
        <w:color w:val="404040" w:themeColor="text1" w:themeTint="BF"/>
      </w:rPr>
      <w:drawing>
        <wp:anchor distT="0" distB="0" distL="114300" distR="114300" simplePos="0" relativeHeight="251662336" behindDoc="0" locked="0" layoutInCell="1" allowOverlap="1" wp14:anchorId="42E18211" wp14:editId="2996FAF1">
          <wp:simplePos x="0" y="0"/>
          <wp:positionH relativeFrom="margin">
            <wp:posOffset>4966970</wp:posOffset>
          </wp:positionH>
          <wp:positionV relativeFrom="paragraph">
            <wp:posOffset>139700</wp:posOffset>
          </wp:positionV>
          <wp:extent cx="914400" cy="928112"/>
          <wp:effectExtent l="0" t="0" r="0" b="5715"/>
          <wp:wrapNone/>
          <wp:docPr id="714518432" name="Imag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914400" cy="928112"/>
                  </a:xfrm>
                  <a:prstGeom prst="rect">
                    <a:avLst/>
                  </a:prstGeom>
                </pic:spPr>
              </pic:pic>
            </a:graphicData>
          </a:graphic>
          <wp14:sizeRelH relativeFrom="margin">
            <wp14:pctWidth>0</wp14:pctWidth>
          </wp14:sizeRelH>
          <wp14:sizeRelV relativeFrom="margin">
            <wp14:pctHeight>0</wp14:pctHeight>
          </wp14:sizeRelV>
        </wp:anchor>
      </w:drawing>
    </w:r>
  </w:p>
  <w:p w14:paraId="082223B0" w14:textId="45BBAD68" w:rsidR="00CC4854" w:rsidRDefault="00744FAB" w:rsidP="00744FAB">
    <w:pPr>
      <w:pStyle w:val="Pieddepage"/>
      <w:rPr>
        <w:b/>
        <w:bCs/>
        <w:color w:val="4B5943"/>
      </w:rPr>
    </w:pPr>
    <w:r>
      <w:rPr>
        <w:b/>
        <w:bCs/>
        <w:color w:val="4B5943"/>
      </w:rPr>
      <w:fldChar w:fldCharType="begin"/>
    </w:r>
    <w:r>
      <w:rPr>
        <w:b/>
        <w:bCs/>
        <w:color w:val="4B5943"/>
      </w:rPr>
      <w:instrText xml:space="preserve"> STYLEREF  Titre  \* MERGEFORMAT </w:instrText>
    </w:r>
    <w:r>
      <w:rPr>
        <w:b/>
        <w:bCs/>
        <w:color w:val="4B5943"/>
      </w:rPr>
      <w:fldChar w:fldCharType="separate"/>
    </w:r>
    <w:r w:rsidR="00F55C9A">
      <w:rPr>
        <w:b/>
        <w:bCs/>
        <w:noProof/>
        <w:color w:val="4B5943"/>
      </w:rPr>
      <w:t>Digital accessibility</w:t>
    </w:r>
    <w:r>
      <w:rPr>
        <w:b/>
        <w:bCs/>
        <w:color w:val="4B5943"/>
      </w:rPr>
      <w:fldChar w:fldCharType="end"/>
    </w:r>
    <w:r>
      <w:rPr>
        <w:b/>
        <w:bCs/>
        <w:color w:val="4B5943"/>
      </w:rPr>
      <w:t xml:space="preserve"> </w:t>
    </w:r>
  </w:p>
  <w:p w14:paraId="692A0A99" w14:textId="0DAAFD16" w:rsidR="00276234" w:rsidRPr="00D91C86" w:rsidRDefault="00744FAB" w:rsidP="00744FAB">
    <w:pPr>
      <w:pStyle w:val="Pieddepage"/>
      <w:rPr>
        <w:i/>
        <w:iCs/>
        <w:color w:val="4B5943"/>
        <w:sz w:val="18"/>
        <w:szCs w:val="18"/>
      </w:rPr>
    </w:pPr>
    <w:r>
      <w:rPr>
        <w:i/>
        <w:iCs/>
        <w:color w:val="4B5943"/>
      </w:rPr>
      <w:fldChar w:fldCharType="begin"/>
    </w:r>
    <w:r>
      <w:rPr>
        <w:i/>
        <w:iCs/>
        <w:color w:val="4B5943"/>
      </w:rPr>
      <w:instrText xml:space="preserve"> STYLEREF  Sous-titre  \* MERGEFORMAT </w:instrText>
    </w:r>
    <w:r>
      <w:rPr>
        <w:i/>
        <w:iCs/>
        <w:color w:val="4B5943"/>
      </w:rPr>
      <w:fldChar w:fldCharType="separate"/>
    </w:r>
    <w:r w:rsidR="00F55C9A">
      <w:rPr>
        <w:i/>
        <w:iCs/>
        <w:noProof/>
        <w:color w:val="4B5943"/>
      </w:rPr>
      <w:t>Organising, managing and equipping large organisations for scaling up</w:t>
    </w:r>
    <w:r>
      <w:rPr>
        <w:i/>
        <w:iCs/>
        <w:color w:val="4B5943"/>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BB4024" w14:textId="77777777" w:rsidR="005F5997" w:rsidRDefault="005F5997" w:rsidP="00A257FD">
      <w:pPr>
        <w:spacing w:after="0" w:line="240" w:lineRule="auto"/>
      </w:pPr>
      <w:r>
        <w:separator/>
      </w:r>
    </w:p>
  </w:footnote>
  <w:footnote w:type="continuationSeparator" w:id="0">
    <w:p w14:paraId="7497970F" w14:textId="77777777" w:rsidR="005F5997" w:rsidRDefault="005F5997" w:rsidP="00A257FD">
      <w:pPr>
        <w:spacing w:after="0" w:line="240" w:lineRule="auto"/>
      </w:pPr>
      <w:r>
        <w:continuationSeparator/>
      </w:r>
    </w:p>
  </w:footnote>
  <w:footnote w:type="continuationNotice" w:id="1">
    <w:p w14:paraId="4F84ED3B" w14:textId="77777777" w:rsidR="005F5997" w:rsidRDefault="005F5997">
      <w:pPr>
        <w:spacing w:after="0" w:line="240" w:lineRule="auto"/>
      </w:pPr>
    </w:p>
  </w:footnote>
  <w:footnote w:id="2">
    <w:p w14:paraId="467ADCD5" w14:textId="16ADEA9E" w:rsidR="00726013" w:rsidRPr="00F4758C" w:rsidRDefault="00726013">
      <w:pPr>
        <w:pStyle w:val="Notedebasdepage"/>
        <w:rPr>
          <w:lang w:val="en-GB"/>
        </w:rPr>
      </w:pPr>
      <w:r>
        <w:rPr>
          <w:rStyle w:val="Appelnotedebasdep"/>
        </w:rPr>
        <w:footnoteRef/>
      </w:r>
      <w:r w:rsidR="00DE4E1C" w:rsidRPr="00F4758C">
        <w:rPr>
          <w:lang w:val="en-GB"/>
        </w:rPr>
        <w:t xml:space="preserve"> </w:t>
      </w:r>
      <w:hyperlink r:id="rId1" w:anchor=":~:text=Qui%20est%20concern%C3%A9%20par%20cette,%C3%A0%202%20millions%20d'euros" w:history="1">
        <w:r w:rsidR="00DE4E1C" w:rsidRPr="00F4758C">
          <w:rPr>
            <w:rStyle w:val="Lienhypertexte"/>
            <w:lang w:val="en-GB"/>
          </w:rPr>
          <w:t>Digital accessibility and disability: entry into force of the EAA</w:t>
        </w:r>
      </w:hyperlink>
      <w:r w:rsidRPr="00F4758C">
        <w:rPr>
          <w:lang w:val="en-GB"/>
        </w:rPr>
        <w:t xml:space="preserve"> </w:t>
      </w:r>
    </w:p>
  </w:footnote>
  <w:footnote w:id="3">
    <w:p w14:paraId="1065D295" w14:textId="77777777" w:rsidR="00481DA2" w:rsidRPr="00F4758C" w:rsidRDefault="00481DA2" w:rsidP="00481DA2">
      <w:pPr>
        <w:pStyle w:val="Notedebasdepage"/>
        <w:rPr>
          <w:lang w:val="en-GB"/>
        </w:rPr>
      </w:pPr>
      <w:r>
        <w:rPr>
          <w:rStyle w:val="Appelnotedebasdep"/>
        </w:rPr>
        <w:footnoteRef/>
      </w:r>
      <w:r w:rsidRPr="00F4758C">
        <w:rPr>
          <w:lang w:val="en-GB"/>
        </w:rPr>
        <w:t xml:space="preserve"> </w:t>
      </w:r>
      <w:r w:rsidRPr="00F4758C">
        <w:rPr>
          <w:i/>
          <w:iCs/>
          <w:lang w:val="en-GB"/>
        </w:rPr>
        <w:t>Disability in Figures</w:t>
      </w:r>
      <w:r w:rsidRPr="00F4758C">
        <w:rPr>
          <w:lang w:val="en-GB"/>
        </w:rPr>
        <w:t>, 2024 Edition, DREES Report</w:t>
      </w:r>
    </w:p>
  </w:footnote>
  <w:footnote w:id="4">
    <w:p w14:paraId="3387E65E" w14:textId="6F5F6752" w:rsidR="00725DFE" w:rsidRPr="00F4758C" w:rsidRDefault="00725DFE" w:rsidP="00725DFE">
      <w:pPr>
        <w:pStyle w:val="Notedebasdepage"/>
        <w:rPr>
          <w:lang w:val="en-GB"/>
        </w:rPr>
      </w:pPr>
      <w:r>
        <w:rPr>
          <w:rStyle w:val="Appelnotedebasdep"/>
        </w:rPr>
        <w:footnoteRef/>
      </w:r>
      <w:r w:rsidRPr="00F4758C">
        <w:rPr>
          <w:lang w:val="en-GB"/>
        </w:rPr>
        <w:t xml:space="preserve"> </w:t>
      </w:r>
      <w:hyperlink r:id="rId2" w:history="1">
        <w:r w:rsidR="00DE4E1C" w:rsidRPr="00F4758C">
          <w:rPr>
            <w:rStyle w:val="Lienhypertexte"/>
            <w:lang w:val="en-GB"/>
          </w:rPr>
          <w:t xml:space="preserve">Access to the Web Content Accessibility Guidelines </w:t>
        </w:r>
      </w:hyperlink>
    </w:p>
  </w:footnote>
  <w:footnote w:id="5">
    <w:p w14:paraId="41482AED" w14:textId="541D12C2" w:rsidR="00725DFE" w:rsidRPr="00F4758C" w:rsidRDefault="00725DFE" w:rsidP="00725DFE">
      <w:pPr>
        <w:pStyle w:val="Notedebasdepage"/>
        <w:rPr>
          <w:lang w:val="en-GB"/>
        </w:rPr>
      </w:pPr>
      <w:r>
        <w:rPr>
          <w:rStyle w:val="Appelnotedebasdep"/>
        </w:rPr>
        <w:footnoteRef/>
      </w:r>
      <w:r w:rsidRPr="00F4758C">
        <w:rPr>
          <w:lang w:val="en-GB"/>
        </w:rPr>
        <w:t xml:space="preserve"> </w:t>
      </w:r>
      <w:hyperlink r:id="rId3" w:history="1">
        <w:r w:rsidR="00DE4E1C" w:rsidRPr="00F4758C">
          <w:rPr>
            <w:rStyle w:val="Lienhypertexte"/>
            <w:lang w:val="en-GB"/>
          </w:rPr>
          <w:t>W3C website</w:t>
        </w:r>
      </w:hyperlink>
    </w:p>
  </w:footnote>
  <w:footnote w:id="6">
    <w:p w14:paraId="787FC8A3" w14:textId="30413ED9" w:rsidR="00401C48" w:rsidRPr="00F4758C" w:rsidRDefault="00401C48">
      <w:pPr>
        <w:pStyle w:val="Notedebasdepage"/>
        <w:rPr>
          <w:lang w:val="en-GB"/>
        </w:rPr>
      </w:pPr>
      <w:r>
        <w:rPr>
          <w:rStyle w:val="Appelnotedebasdep"/>
        </w:rPr>
        <w:footnoteRef/>
      </w:r>
      <w:r w:rsidRPr="00F4758C">
        <w:rPr>
          <w:lang w:val="en-GB"/>
        </w:rPr>
        <w:t xml:space="preserve"> </w:t>
      </w:r>
      <w:hyperlink r:id="rId4" w:history="1">
        <w:r w:rsidR="00DE4E1C" w:rsidRPr="00F4758C">
          <w:rPr>
            <w:rStyle w:val="Lienhypertexte"/>
            <w:lang w:val="en-GB"/>
          </w:rPr>
          <w:t>DesignGouv “The General Framework for Improving Accessibility (RGAA)”</w:t>
        </w:r>
      </w:hyperlink>
      <w:r w:rsidR="00DE4E1C" w:rsidRPr="00F4758C">
        <w:rPr>
          <w:lang w:val="en-GB"/>
        </w:rPr>
        <w:t xml:space="preserve"> </w:t>
      </w:r>
    </w:p>
  </w:footnote>
  <w:footnote w:id="7">
    <w:p w14:paraId="22D93C6A" w14:textId="5510520F" w:rsidR="00802882" w:rsidRPr="00F4758C" w:rsidRDefault="00802882">
      <w:pPr>
        <w:pStyle w:val="Notedebasdepage"/>
        <w:rPr>
          <w:lang w:val="en-GB"/>
        </w:rPr>
      </w:pPr>
      <w:r>
        <w:rPr>
          <w:rStyle w:val="Appelnotedebasdep"/>
        </w:rPr>
        <w:footnoteRef/>
      </w:r>
      <w:r w:rsidRPr="00F4758C">
        <w:rPr>
          <w:lang w:val="en-GB"/>
        </w:rPr>
        <w:t xml:space="preserve"> </w:t>
      </w:r>
      <w:r w:rsidR="0002672D" w:rsidRPr="00F4758C">
        <w:rPr>
          <w:lang w:val="en-GB"/>
        </w:rPr>
        <w:t>These requirements apply, regardless of turnover threshold, to public-law legal entities, private-law bodies entrusted with a public service mission, and private-law legal entities created specifically to meet needs of general interest (other than industrial or commercial) that are dependent on the public sector</w:t>
      </w:r>
      <w:r w:rsidRPr="00F4758C">
        <w:rPr>
          <w:lang w:val="en-GB" w:eastAsia="fr-FR"/>
        </w:rPr>
        <w:t xml:space="preserve">. </w:t>
      </w:r>
      <w:r w:rsidR="0002672D" w:rsidRPr="00F4758C">
        <w:rPr>
          <w:lang w:val="en-GB" w:eastAsia="fr-FR"/>
        </w:rPr>
        <w:t>See the section</w:t>
      </w:r>
      <w:hyperlink r:id="rId5" w:history="1">
        <w:r w:rsidR="00DA7087" w:rsidRPr="00DA7087">
          <w:rPr>
            <w:rStyle w:val="Lienhypertexte"/>
            <w:u w:val="none"/>
            <w:lang w:val="en-GB" w:eastAsia="fr-FR"/>
          </w:rPr>
          <w:t xml:space="preserve"> </w:t>
        </w:r>
        <w:r w:rsidR="00DA7087" w:rsidRPr="00DA7087">
          <w:rPr>
            <w:rStyle w:val="Lienhypertexte"/>
            <w:color w:val="auto"/>
            <w:u w:val="none"/>
            <w:lang w:val="en-GB" w:eastAsia="fr-FR"/>
          </w:rPr>
          <w:t>”</w:t>
        </w:r>
        <w:r w:rsidR="0002672D" w:rsidRPr="00F4758C">
          <w:rPr>
            <w:rStyle w:val="Lienhypertexte"/>
            <w:lang w:val="en-GB" w:eastAsia="fr-FR"/>
          </w:rPr>
          <w:t>Scope of the RGAA</w:t>
        </w:r>
      </w:hyperlink>
      <w:r w:rsidR="00DA7087">
        <w:rPr>
          <w:lang w:val="en-GB" w:eastAsia="fr-FR"/>
        </w:rPr>
        <w:t>”</w:t>
      </w:r>
      <w:r w:rsidR="0002672D" w:rsidRPr="00F4758C">
        <w:rPr>
          <w:lang w:val="en-GB" w:eastAsia="fr-FR"/>
        </w:rPr>
        <w:t>.</w:t>
      </w:r>
    </w:p>
  </w:footnote>
  <w:footnote w:id="8">
    <w:p w14:paraId="775260C1" w14:textId="04F015B0" w:rsidR="00401C48" w:rsidRPr="00F4758C" w:rsidRDefault="00401C48" w:rsidP="00401C48">
      <w:pPr>
        <w:pStyle w:val="Notedebasdepage"/>
        <w:rPr>
          <w:lang w:val="en-GB"/>
        </w:rPr>
      </w:pPr>
      <w:r>
        <w:rPr>
          <w:rStyle w:val="Appelnotedebasdep"/>
        </w:rPr>
        <w:footnoteRef/>
      </w:r>
      <w:r w:rsidRPr="00F4758C">
        <w:rPr>
          <w:lang w:val="en-GB"/>
        </w:rPr>
        <w:t xml:space="preserve"> </w:t>
      </w:r>
      <w:hyperlink r:id="rId6" w:history="1">
        <w:r w:rsidR="00DE4E1C" w:rsidRPr="00F4758C">
          <w:rPr>
            <w:rStyle w:val="Lienhypertexte"/>
            <w:lang w:val="en-GB"/>
          </w:rPr>
          <w:t>Legifrance, Directive (EU) 2016/2102</w:t>
        </w:r>
      </w:hyperlink>
    </w:p>
  </w:footnote>
  <w:footnote w:id="9">
    <w:p w14:paraId="08FB5782" w14:textId="5C237B1C" w:rsidR="00401C48" w:rsidRPr="00F4758C" w:rsidRDefault="00401C48" w:rsidP="00401C48">
      <w:pPr>
        <w:pStyle w:val="Notedebasdepage"/>
        <w:rPr>
          <w:lang w:val="en-GB"/>
        </w:rPr>
      </w:pPr>
      <w:r>
        <w:rPr>
          <w:rStyle w:val="Appelnotedebasdep"/>
        </w:rPr>
        <w:footnoteRef/>
      </w:r>
      <w:r w:rsidRPr="00F4758C">
        <w:rPr>
          <w:lang w:val="en-GB"/>
        </w:rPr>
        <w:t xml:space="preserve"> </w:t>
      </w:r>
      <w:hyperlink r:id="rId7" w:history="1">
        <w:r w:rsidR="00DE4E1C" w:rsidRPr="00F4758C">
          <w:rPr>
            <w:rStyle w:val="Lienhypertexte"/>
            <w:lang w:val="en-GB"/>
          </w:rPr>
          <w:t>Standard EN 301549, V2.1.2</w:t>
        </w:r>
      </w:hyperlink>
      <w:r w:rsidR="00DE4E1C" w:rsidRPr="00F4758C">
        <w:rPr>
          <w:lang w:val="en-GB"/>
        </w:rPr>
        <w:t xml:space="preserve"> </w:t>
      </w:r>
    </w:p>
  </w:footnote>
  <w:footnote w:id="10">
    <w:p w14:paraId="509C048F" w14:textId="00ACC685" w:rsidR="0031621F" w:rsidRPr="00F4758C" w:rsidRDefault="0031621F">
      <w:pPr>
        <w:pStyle w:val="Notedebasdepage"/>
        <w:rPr>
          <w:lang w:val="en-GB"/>
        </w:rPr>
      </w:pPr>
      <w:r>
        <w:rPr>
          <w:rStyle w:val="Appelnotedebasdep"/>
        </w:rPr>
        <w:footnoteRef/>
      </w:r>
      <w:r w:rsidRPr="00F4758C">
        <w:rPr>
          <w:lang w:val="en-GB"/>
        </w:rPr>
        <w:t xml:space="preserve"> </w:t>
      </w:r>
      <w:hyperlink r:id="rId8" w:history="1">
        <w:r w:rsidR="00DE4E1C" w:rsidRPr="00F4758C">
          <w:rPr>
            <w:rStyle w:val="Lienhypertexte"/>
            <w:lang w:val="en-GB"/>
          </w:rPr>
          <w:t>Economie.gouv: ‘The new European “Accessibility” Directive: for products and services accessible to people with</w:t>
        </w:r>
      </w:hyperlink>
      <w:r w:rsidR="00DE4E1C" w:rsidRPr="00F4758C">
        <w:rPr>
          <w:lang w:val="en-GB"/>
        </w:rPr>
        <w:t xml:space="preserve"> disabilities’ </w:t>
      </w:r>
    </w:p>
  </w:footnote>
  <w:footnote w:id="11">
    <w:p w14:paraId="6AAC8EDE" w14:textId="43383C54" w:rsidR="001459B6" w:rsidRPr="00F4758C" w:rsidRDefault="001459B6">
      <w:pPr>
        <w:pStyle w:val="Notedebasdepage"/>
        <w:rPr>
          <w:lang w:val="en-GB"/>
        </w:rPr>
      </w:pPr>
      <w:r>
        <w:rPr>
          <w:rStyle w:val="Appelnotedebasdep"/>
        </w:rPr>
        <w:footnoteRef/>
      </w:r>
      <w:r w:rsidRPr="00F4758C">
        <w:rPr>
          <w:lang w:val="en-GB"/>
        </w:rPr>
        <w:t xml:space="preserve"> </w:t>
      </w:r>
      <w:hyperlink r:id="rId9" w:history="1">
        <w:r w:rsidR="00DE4E1C" w:rsidRPr="00F4758C">
          <w:rPr>
            <w:rStyle w:val="Lienhypertexte"/>
            <w:lang w:val="en-GB"/>
          </w:rPr>
          <w:t>Legifrance, Decree No. 2023-931 of 9 October 2023</w:t>
        </w:r>
      </w:hyperlink>
      <w:r w:rsidR="00DE4E1C" w:rsidRPr="00F4758C">
        <w:rPr>
          <w:lang w:val="en-GB"/>
        </w:rPr>
        <w:t xml:space="preserve"> </w:t>
      </w:r>
    </w:p>
  </w:footnote>
  <w:footnote w:id="12">
    <w:p w14:paraId="1EF2351C" w14:textId="5FD61376" w:rsidR="001459B6" w:rsidRPr="00F4758C" w:rsidRDefault="001459B6">
      <w:pPr>
        <w:pStyle w:val="Notedebasdepage"/>
        <w:rPr>
          <w:lang w:val="en-GB"/>
        </w:rPr>
      </w:pPr>
      <w:r>
        <w:rPr>
          <w:rStyle w:val="Appelnotedebasdep"/>
        </w:rPr>
        <w:footnoteRef/>
      </w:r>
      <w:r w:rsidRPr="00F4758C">
        <w:rPr>
          <w:lang w:val="en-GB"/>
        </w:rPr>
        <w:t xml:space="preserve"> </w:t>
      </w:r>
      <w:hyperlink r:id="rId10" w:history="1">
        <w:r w:rsidR="00DE4E1C" w:rsidRPr="00F4758C">
          <w:rPr>
            <w:rStyle w:val="Lienhypertexte"/>
            <w:lang w:val="en-GB"/>
          </w:rPr>
          <w:t>Legifrance, Order of 9 October 2023</w:t>
        </w:r>
      </w:hyperlink>
      <w:r w:rsidR="00DE4E1C" w:rsidRPr="00F4758C">
        <w:rPr>
          <w:lang w:val="en-GB"/>
        </w:rPr>
        <w:t xml:space="preserve"> </w:t>
      </w:r>
    </w:p>
  </w:footnote>
  <w:footnote w:id="13">
    <w:p w14:paraId="731E97BC" w14:textId="18DE6430" w:rsidR="00356F5D" w:rsidRPr="00F4758C" w:rsidRDefault="00356F5D">
      <w:pPr>
        <w:pStyle w:val="Notedebasdepage"/>
        <w:rPr>
          <w:lang w:val="en-GB"/>
        </w:rPr>
      </w:pPr>
      <w:r>
        <w:rPr>
          <w:rStyle w:val="Appelnotedebasdep"/>
        </w:rPr>
        <w:footnoteRef/>
      </w:r>
      <w:r w:rsidRPr="00F4758C">
        <w:rPr>
          <w:lang w:val="en-GB"/>
        </w:rPr>
        <w:t xml:space="preserve"> Although the primary scope of Directive (EU) 2019/882 (EAA) explicitly targets the protection of the end consumer (B2C), its legal framework inevitably has a knock-on effect on business-to-business (B2B) relationships. Indeed, whenever a service or digital component supplied in a B2B context forms part of the value chain of a final service intended for the consumer, responsibility for overall compliance rests with the B2C operator.</w:t>
      </w:r>
    </w:p>
  </w:footnote>
  <w:footnote w:id="14">
    <w:p w14:paraId="5FB0C388" w14:textId="463E6689" w:rsidR="008133D4" w:rsidRPr="00F4758C" w:rsidRDefault="008133D4">
      <w:pPr>
        <w:pStyle w:val="Notedebasdepage"/>
        <w:rPr>
          <w:lang w:val="en-GB"/>
        </w:rPr>
      </w:pPr>
      <w:r>
        <w:rPr>
          <w:rStyle w:val="Appelnotedebasdep"/>
        </w:rPr>
        <w:footnoteRef/>
      </w:r>
      <w:r w:rsidRPr="00F4758C">
        <w:rPr>
          <w:lang w:val="en-GB"/>
        </w:rPr>
        <w:t xml:space="preserve"> </w:t>
      </w:r>
      <w:hyperlink r:id="rId11" w:anchor="art_32" w:history="1">
        <w:r w:rsidRPr="00F4758C">
          <w:rPr>
            <w:rStyle w:val="Lienhypertexte"/>
            <w:lang w:val="en-GB"/>
          </w:rPr>
          <w:t>Directive 2019/882</w:t>
        </w:r>
      </w:hyperlink>
    </w:p>
  </w:footnote>
  <w:footnote w:id="15">
    <w:p w14:paraId="500254B6" w14:textId="7A534029" w:rsidR="00B16EBE" w:rsidRPr="00F4758C" w:rsidRDefault="00B16EBE">
      <w:pPr>
        <w:pStyle w:val="Notedebasdepage"/>
        <w:rPr>
          <w:lang w:val="en-GB"/>
        </w:rPr>
      </w:pPr>
      <w:r>
        <w:rPr>
          <w:rStyle w:val="Appelnotedebasdep"/>
        </w:rPr>
        <w:footnoteRef/>
      </w:r>
      <w:r w:rsidRPr="00F4758C">
        <w:rPr>
          <w:lang w:val="en-GB"/>
        </w:rPr>
        <w:t xml:space="preserve"> </w:t>
      </w:r>
      <w:hyperlink r:id="rId12" w:history="1">
        <w:r w:rsidRPr="00F4758C">
          <w:rPr>
            <w:rStyle w:val="Lienhypertexte"/>
            <w:lang w:val="en-GB"/>
          </w:rPr>
          <w:t>Act No. 2023-171 of 9 March 2023</w:t>
        </w:r>
      </w:hyperlink>
    </w:p>
  </w:footnote>
  <w:footnote w:id="16">
    <w:p w14:paraId="70F82550" w14:textId="695A829C" w:rsidR="00256315" w:rsidRPr="00F4758C" w:rsidRDefault="00256315">
      <w:pPr>
        <w:pStyle w:val="Notedebasdepage"/>
        <w:rPr>
          <w:lang w:val="en-GB"/>
        </w:rPr>
      </w:pPr>
      <w:r>
        <w:rPr>
          <w:rStyle w:val="Appelnotedebasdep"/>
        </w:rPr>
        <w:footnoteRef/>
      </w:r>
      <w:r w:rsidRPr="00F4758C">
        <w:rPr>
          <w:lang w:val="en-GB"/>
        </w:rPr>
        <w:t xml:space="preserve"> Point (e) of paragraph 4 of Article 2 of the Directive; and point 5° of paragraph III of Article D. 412-50 of the Consumer Code</w:t>
      </w:r>
    </w:p>
  </w:footnote>
  <w:footnote w:id="17">
    <w:p w14:paraId="34C6DFBF" w14:textId="39878B17" w:rsidR="00800C72" w:rsidRPr="00F4758C" w:rsidRDefault="00800C72">
      <w:pPr>
        <w:pStyle w:val="Notedebasdepage"/>
        <w:rPr>
          <w:lang w:val="en-GB"/>
        </w:rPr>
      </w:pPr>
      <w:r>
        <w:rPr>
          <w:rStyle w:val="Appelnotedebasdep"/>
        </w:rPr>
        <w:footnoteRef/>
      </w:r>
      <w:r w:rsidRPr="00F4758C">
        <w:rPr>
          <w:lang w:val="en-GB"/>
        </w:rPr>
        <w:t xml:space="preserve"> </w:t>
      </w:r>
      <w:hyperlink r:id="rId13" w:history="1">
        <w:r w:rsidRPr="00F4758C">
          <w:rPr>
            <w:rStyle w:val="Lienhypertexte"/>
            <w:lang w:val="en-GB"/>
          </w:rPr>
          <w:t>Declaration of non-conformity or invocation of an exemption from digital accessibility obligations</w:t>
        </w:r>
      </w:hyperlink>
    </w:p>
  </w:footnote>
  <w:footnote w:id="18">
    <w:p w14:paraId="6C434BE2" w14:textId="6DDCAA8B" w:rsidR="0069716E" w:rsidRPr="00F4758C" w:rsidRDefault="0069716E">
      <w:pPr>
        <w:pStyle w:val="Notedebasdepage"/>
        <w:rPr>
          <w:lang w:val="en-GB"/>
        </w:rPr>
      </w:pPr>
      <w:r>
        <w:rPr>
          <w:rStyle w:val="Appelnotedebasdep"/>
        </w:rPr>
        <w:footnoteRef/>
      </w:r>
      <w:r w:rsidRPr="00F4758C">
        <w:rPr>
          <w:lang w:val="en-GB"/>
        </w:rPr>
        <w:t xml:space="preserve"> </w:t>
      </w:r>
      <w:hyperlink r:id="rId14" w:history="1">
        <w:r w:rsidR="00DE4E1C" w:rsidRPr="00F4758C">
          <w:rPr>
            <w:rStyle w:val="Lienhypertexte"/>
            <w:lang w:val="en-GB" w:eastAsia="fr-FR"/>
          </w:rPr>
          <w:t>French Federation of the Blind</w:t>
        </w:r>
      </w:hyperlink>
      <w:r w:rsidR="00DE4E1C" w:rsidRPr="00F4758C">
        <w:rPr>
          <w:lang w:val="en-GB" w:eastAsia="fr-FR"/>
        </w:rPr>
        <w:t xml:space="preserve">  </w:t>
      </w:r>
    </w:p>
  </w:footnote>
  <w:footnote w:id="19">
    <w:p w14:paraId="5196EBCF" w14:textId="0551594E" w:rsidR="00B32060" w:rsidRPr="00B32060" w:rsidRDefault="00B32060">
      <w:pPr>
        <w:pStyle w:val="Notedebasdepage"/>
        <w:rPr>
          <w:lang w:val="en-GB"/>
        </w:rPr>
      </w:pPr>
      <w:r>
        <w:rPr>
          <w:rStyle w:val="Appelnotedebasdep"/>
        </w:rPr>
        <w:footnoteRef/>
      </w:r>
      <w:r w:rsidRPr="00B32060">
        <w:rPr>
          <w:lang w:val="en-GB"/>
        </w:rPr>
        <w:t xml:space="preserve"> </w:t>
      </w:r>
      <w:hyperlink r:id="rId15" w:history="1">
        <w:r w:rsidRPr="00B32060">
          <w:rPr>
            <w:rStyle w:val="Lienhypertexte"/>
            <w:lang w:val="en-GB"/>
          </w:rPr>
          <w:t>A French standard dedicated to eco-design issues</w:t>
        </w:r>
      </w:hyperlink>
    </w:p>
  </w:footnote>
  <w:footnote w:id="20">
    <w:p w14:paraId="35273726" w14:textId="33ADB91A" w:rsidR="00EA2E36" w:rsidRPr="00F4758C" w:rsidRDefault="00EA2E36" w:rsidP="00EA2E36">
      <w:pPr>
        <w:pStyle w:val="Notedebasdepage"/>
        <w:rPr>
          <w:lang w:val="en-GB"/>
        </w:rPr>
      </w:pPr>
      <w:r>
        <w:rPr>
          <w:rStyle w:val="Appelnotedebasdep"/>
        </w:rPr>
        <w:footnoteRef/>
      </w:r>
      <w:r w:rsidRPr="00F4758C">
        <w:rPr>
          <w:lang w:val="en-GB"/>
        </w:rPr>
        <w:t xml:space="preserve"> </w:t>
      </w:r>
      <w:hyperlink r:id="rId16" w:history="1">
        <w:r w:rsidR="00DE4E1C" w:rsidRPr="00F4758C">
          <w:rPr>
            <w:rStyle w:val="Lienhypertexte"/>
            <w:lang w:val="en-GB"/>
          </w:rPr>
          <w:t>National Agency for Combating Digital Exclusion: ‘Digital Exclusion in Figures’</w:t>
        </w:r>
      </w:hyperlink>
      <w:r w:rsidR="00DE4E1C" w:rsidRPr="00F4758C">
        <w:rPr>
          <w:lang w:val="en-GB"/>
        </w:rPr>
        <w:t xml:space="preserve"> </w:t>
      </w:r>
    </w:p>
  </w:footnote>
  <w:footnote w:id="21">
    <w:p w14:paraId="681BE867" w14:textId="3668F75B" w:rsidR="00DE3AAD" w:rsidRPr="00F4758C" w:rsidRDefault="00DE3AAD">
      <w:pPr>
        <w:pStyle w:val="Notedebasdepage"/>
        <w:rPr>
          <w:lang w:val="en-GB"/>
        </w:rPr>
      </w:pPr>
      <w:r>
        <w:rPr>
          <w:rStyle w:val="Appelnotedebasdep"/>
        </w:rPr>
        <w:footnoteRef/>
      </w:r>
      <w:r w:rsidRPr="00F4758C">
        <w:rPr>
          <w:lang w:val="en-GB"/>
        </w:rPr>
        <w:t xml:space="preserve"> </w:t>
      </w:r>
      <w:hyperlink r:id="rId17" w:history="1">
        <w:r w:rsidR="00DE4E1C" w:rsidRPr="00F4758C">
          <w:rPr>
            <w:rStyle w:val="Lienhypertexte"/>
            <w:lang w:val="en-GB"/>
          </w:rPr>
          <w:t xml:space="preserve">OPIIEC, </w:t>
        </w:r>
        <w:r w:rsidR="00DE4E1C" w:rsidRPr="00F4758C">
          <w:rPr>
            <w:rStyle w:val="Lienhypertexte"/>
            <w:lang w:val="en-GB" w:eastAsia="fr-FR"/>
          </w:rPr>
          <w:t>‘Producing content and services that comply with digital accessibility standards’</w:t>
        </w:r>
      </w:hyperlink>
      <w:r w:rsidRPr="00F4758C">
        <w:rPr>
          <w:lang w:val="en-GB"/>
        </w:rPr>
        <w:t xml:space="preserve"> (pp. 57–60)</w:t>
      </w:r>
    </w:p>
  </w:footnote>
  <w:footnote w:id="22">
    <w:p w14:paraId="49B28592" w14:textId="5D411169" w:rsidR="00FE2789" w:rsidRPr="00F4758C" w:rsidRDefault="00FE2789">
      <w:pPr>
        <w:pStyle w:val="Notedebasdepage"/>
        <w:rPr>
          <w:lang w:val="en-GB"/>
        </w:rPr>
      </w:pPr>
      <w:r>
        <w:rPr>
          <w:rStyle w:val="Appelnotedebasdep"/>
        </w:rPr>
        <w:footnoteRef/>
      </w:r>
      <w:r w:rsidRPr="00F4758C">
        <w:rPr>
          <w:lang w:val="en-GB"/>
        </w:rPr>
        <w:t xml:space="preserve"> </w:t>
      </w:r>
      <w:hyperlink r:id="rId18" w:history="1">
        <w:r w:rsidR="00DE4E1C" w:rsidRPr="00F4758C">
          <w:rPr>
            <w:rStyle w:val="Lienhypertexte"/>
            <w:lang w:val="en-GB"/>
          </w:rPr>
          <w:t>ENEDIS, Multi-Annual Accessibility Plan 2024–2026</w:t>
        </w:r>
      </w:hyperlink>
      <w:r w:rsidRPr="00F4758C">
        <w:rPr>
          <w:lang w:val="en-GB"/>
        </w:rPr>
        <w:t xml:space="preserve"> </w:t>
      </w:r>
    </w:p>
  </w:footnote>
  <w:footnote w:id="23">
    <w:p w14:paraId="271AE5E4" w14:textId="67B7C07E" w:rsidR="00B93F72" w:rsidRPr="00F4758C" w:rsidRDefault="00B93F72">
      <w:pPr>
        <w:pStyle w:val="Notedebasdepage"/>
        <w:rPr>
          <w:lang w:val="en-GB"/>
        </w:rPr>
      </w:pPr>
      <w:r>
        <w:rPr>
          <w:rStyle w:val="Appelnotedebasdep"/>
        </w:rPr>
        <w:footnoteRef/>
      </w:r>
      <w:r w:rsidR="002E33A4" w:rsidRPr="00F4758C">
        <w:rPr>
          <w:lang w:val="en-GB"/>
        </w:rPr>
        <w:t xml:space="preserve"> </w:t>
      </w:r>
      <w:hyperlink r:id="rId19" w:history="1">
        <w:r w:rsidR="002E33A4" w:rsidRPr="00F4758C">
          <w:rPr>
            <w:rStyle w:val="Lienhypertexte"/>
            <w:lang w:val="en-GB"/>
          </w:rPr>
          <w:t>DesignGouv: Quick Assessment</w:t>
        </w:r>
      </w:hyperlink>
      <w:r w:rsidRPr="00F4758C">
        <w:rPr>
          <w:lang w:val="en-GB"/>
        </w:rPr>
        <w:t xml:space="preserve"> </w:t>
      </w:r>
    </w:p>
  </w:footnote>
  <w:footnote w:id="24">
    <w:p w14:paraId="19AF78E8" w14:textId="5BCAB8AA" w:rsidR="00973CB5" w:rsidRPr="00F4758C" w:rsidRDefault="00973CB5" w:rsidP="00973CB5">
      <w:pPr>
        <w:pStyle w:val="Notedebasdepage"/>
        <w:rPr>
          <w:lang w:val="en-GB"/>
        </w:rPr>
      </w:pPr>
      <w:r>
        <w:rPr>
          <w:rStyle w:val="Appelnotedebasdep"/>
        </w:rPr>
        <w:footnoteRef/>
      </w:r>
      <w:r w:rsidRPr="00F4758C">
        <w:rPr>
          <w:lang w:val="en-GB"/>
        </w:rPr>
        <w:t xml:space="preserve">  </w:t>
      </w:r>
      <w:hyperlink r:id="rId20" w:history="1">
        <w:r w:rsidR="002E33A4" w:rsidRPr="00F4758C">
          <w:rPr>
            <w:rStyle w:val="Lienhypertexte"/>
            <w:lang w:val="en-GB"/>
          </w:rPr>
          <w:t>ARA website</w:t>
        </w:r>
      </w:hyperlink>
      <w:r w:rsidR="002E33A4" w:rsidRPr="00F4758C">
        <w:rPr>
          <w:lang w:val="en-GB"/>
        </w:rPr>
        <w:t xml:space="preserve"> </w:t>
      </w:r>
    </w:p>
  </w:footnote>
  <w:footnote w:id="25">
    <w:p w14:paraId="5D49CEA2" w14:textId="1CE21A69" w:rsidR="00661E67" w:rsidRPr="00F4758C" w:rsidRDefault="00661E67" w:rsidP="00661E67">
      <w:pPr>
        <w:pStyle w:val="Notedebasdepage"/>
        <w:rPr>
          <w:lang w:val="en-GB"/>
        </w:rPr>
      </w:pPr>
      <w:r>
        <w:rPr>
          <w:rStyle w:val="Appelnotedebasdep"/>
        </w:rPr>
        <w:footnoteRef/>
      </w:r>
      <w:r w:rsidRPr="00F4758C">
        <w:rPr>
          <w:lang w:val="en-GB"/>
        </w:rPr>
        <w:t xml:space="preserve"> </w:t>
      </w:r>
      <w:r w:rsidR="002E33A4" w:rsidRPr="00F4758C">
        <w:rPr>
          <w:lang w:val="en-GB"/>
        </w:rPr>
        <w:t>Ministry of the Interior, Model digital accessibility clause</w:t>
      </w:r>
      <w:r w:rsidRPr="00F4758C">
        <w:rPr>
          <w:lang w:val="en-GB"/>
        </w:rPr>
        <w:t xml:space="preserve">: </w:t>
      </w:r>
      <w:r w:rsidR="002E33A4" w:rsidRPr="00F4758C">
        <w:rPr>
          <w:lang w:val="en-GB"/>
        </w:rPr>
        <w:t xml:space="preserve">accessible via the </w:t>
      </w:r>
      <w:hyperlink r:id="rId21" w:history="1">
        <w:r w:rsidR="002E33A4" w:rsidRPr="00F4758C">
          <w:rPr>
            <w:rStyle w:val="Lienhypertexte"/>
            <w:lang w:val="en-GB"/>
          </w:rPr>
          <w:t>DesignGouv website</w:t>
        </w:r>
      </w:hyperlink>
      <w:r w:rsidR="002E33A4" w:rsidRPr="00F4758C">
        <w:rPr>
          <w:lang w:val="en-GB"/>
        </w:rPr>
        <w:t xml:space="preserve"> or via this </w:t>
      </w:r>
      <w:hyperlink r:id="rId22" w:history="1">
        <w:r w:rsidR="002E33A4" w:rsidRPr="00F4758C">
          <w:rPr>
            <w:rStyle w:val="Lienhypertexte"/>
            <w:lang w:val="en-GB"/>
          </w:rPr>
          <w:t>direct download link</w:t>
        </w:r>
      </w:hyperlink>
      <w:r w:rsidR="002E33A4" w:rsidRPr="00F4758C">
        <w:rPr>
          <w:lang w:val="en-GB"/>
        </w:rPr>
        <w:t>.</w:t>
      </w:r>
      <w:r w:rsidRPr="00F4758C">
        <w:rPr>
          <w:lang w:val="en-GB"/>
        </w:rPr>
        <w:t xml:space="preserve"> </w:t>
      </w:r>
    </w:p>
  </w:footnote>
  <w:footnote w:id="26">
    <w:p w14:paraId="7D8A2D90" w14:textId="068B8905" w:rsidR="00792F23" w:rsidRPr="00F4758C" w:rsidRDefault="00792F23">
      <w:pPr>
        <w:pStyle w:val="Notedebasdepage"/>
        <w:rPr>
          <w:lang w:val="en-GB"/>
        </w:rPr>
      </w:pPr>
      <w:r>
        <w:rPr>
          <w:rStyle w:val="Appelnotedebasdep"/>
        </w:rPr>
        <w:footnoteRef/>
      </w:r>
      <w:r w:rsidRPr="00F4758C">
        <w:rPr>
          <w:lang w:val="en-GB"/>
        </w:rPr>
        <w:t xml:space="preserve"> </w:t>
      </w:r>
      <w:hyperlink r:id="rId23" w:history="1">
        <w:r w:rsidRPr="00F4758C">
          <w:rPr>
            <w:rStyle w:val="Lienhypertexte"/>
            <w:lang w:val="en-GB"/>
          </w:rPr>
          <w:t>OECP – ‘Clauses and recommendations for digital accessibility in public procurement’</w:t>
        </w:r>
      </w:hyperlink>
    </w:p>
  </w:footnote>
  <w:footnote w:id="27">
    <w:p w14:paraId="090F411D" w14:textId="4D921E18" w:rsidR="00C56DCA" w:rsidRPr="00F4758C" w:rsidRDefault="00C56DCA">
      <w:pPr>
        <w:pStyle w:val="Notedebasdepage"/>
        <w:rPr>
          <w:lang w:val="en-GB"/>
        </w:rPr>
      </w:pPr>
      <w:r>
        <w:rPr>
          <w:rStyle w:val="Appelnotedebasdep"/>
        </w:rPr>
        <w:footnoteRef/>
      </w:r>
      <w:r w:rsidRPr="00F4758C">
        <w:rPr>
          <w:lang w:val="en-GB"/>
        </w:rPr>
        <w:t xml:space="preserve"> </w:t>
      </w:r>
      <w:hyperlink r:id="rId24" w:history="1">
        <w:r w:rsidRPr="00F4758C">
          <w:rPr>
            <w:rStyle w:val="Lienhypertexte"/>
            <w:lang w:val="en-GB"/>
          </w:rPr>
          <w:t>Government Design System</w:t>
        </w:r>
      </w:hyperlink>
    </w:p>
  </w:footnote>
  <w:footnote w:id="28">
    <w:p w14:paraId="562BBA1D" w14:textId="3CF8A740" w:rsidR="00C56DCA" w:rsidRPr="00F4758C" w:rsidRDefault="00C56DCA">
      <w:pPr>
        <w:pStyle w:val="Notedebasdepage"/>
        <w:rPr>
          <w:lang w:val="en-GB"/>
        </w:rPr>
      </w:pPr>
      <w:r>
        <w:rPr>
          <w:rStyle w:val="Appelnotedebasdep"/>
        </w:rPr>
        <w:footnoteRef/>
      </w:r>
      <w:r w:rsidRPr="00F4758C">
        <w:rPr>
          <w:lang w:val="en-GB"/>
        </w:rPr>
        <w:t xml:space="preserve"> </w:t>
      </w:r>
      <w:r w:rsidRPr="00F4758C">
        <w:rPr>
          <w:i/>
          <w:iCs/>
          <w:lang w:val="en-GB"/>
        </w:rPr>
        <w:t>Continuous Integration/Continuous Delivery</w:t>
      </w:r>
    </w:p>
  </w:footnote>
  <w:footnote w:id="29">
    <w:p w14:paraId="38D48169" w14:textId="56DFA703" w:rsidR="00F671A3" w:rsidRPr="00F4758C" w:rsidRDefault="00F671A3" w:rsidP="00F671A3">
      <w:pPr>
        <w:pStyle w:val="Notedebasdepage"/>
        <w:rPr>
          <w:lang w:val="en-GB"/>
        </w:rPr>
      </w:pPr>
      <w:r>
        <w:rPr>
          <w:rStyle w:val="Appelnotedebasdep"/>
        </w:rPr>
        <w:footnoteRef/>
      </w:r>
      <w:r w:rsidRPr="00F4758C">
        <w:rPr>
          <w:lang w:val="en-GB"/>
        </w:rPr>
        <w:t xml:space="preserve"> The reporting body must be named: </w:t>
      </w:r>
      <w:hyperlink r:id="rId25" w:history="1">
        <w:r w:rsidR="002E33A4" w:rsidRPr="00F4758C">
          <w:rPr>
            <w:rStyle w:val="Lienhypertexte"/>
            <w:lang w:val="en-GB"/>
          </w:rPr>
          <w:t>link to RGAA ‘Accessibility Statement’</w:t>
        </w:r>
      </w:hyperlink>
      <w:r w:rsidRPr="00F4758C">
        <w:rPr>
          <w:lang w:val="en-GB"/>
        </w:rPr>
        <w:t xml:space="preserve"> </w:t>
      </w:r>
    </w:p>
  </w:footnote>
  <w:footnote w:id="30">
    <w:p w14:paraId="1C7D6C57" w14:textId="63C650DF" w:rsidR="001C77FE" w:rsidRPr="00F4758C" w:rsidRDefault="001C77FE">
      <w:pPr>
        <w:pStyle w:val="Notedebasdepage"/>
        <w:rPr>
          <w:lang w:val="en-GB"/>
        </w:rPr>
      </w:pPr>
      <w:r>
        <w:rPr>
          <w:rStyle w:val="Appelnotedebasdep"/>
        </w:rPr>
        <w:footnoteRef/>
      </w:r>
      <w:r w:rsidRPr="00F4758C">
        <w:rPr>
          <w:lang w:val="en-GB"/>
        </w:rPr>
        <w:t xml:space="preserve"> </w:t>
      </w:r>
      <w:hyperlink r:id="rId26" w:history="1">
        <w:r w:rsidRPr="00F4758C">
          <w:rPr>
            <w:rStyle w:val="Lienhypertexte"/>
            <w:lang w:val="en-GB"/>
          </w:rPr>
          <w:t>Valentin Haüy – Recommendations for making content published on social media accessible, which is also subject to regulatory requirements</w:t>
        </w:r>
      </w:hyperlink>
      <w:r w:rsidRPr="00F4758C">
        <w:rPr>
          <w:lang w:val="en-GB"/>
        </w:rPr>
        <w:t xml:space="preserve"> </w:t>
      </w:r>
    </w:p>
  </w:footnote>
  <w:footnote w:id="31">
    <w:p w14:paraId="0E02352B" w14:textId="4402C02F" w:rsidR="006E1221" w:rsidRPr="00F4758C" w:rsidRDefault="006E1221">
      <w:pPr>
        <w:pStyle w:val="Notedebasdepage"/>
        <w:rPr>
          <w:lang w:val="en-GB"/>
        </w:rPr>
      </w:pPr>
      <w:r>
        <w:rPr>
          <w:rStyle w:val="Appelnotedebasdep"/>
        </w:rPr>
        <w:footnoteRef/>
      </w:r>
      <w:r w:rsidRPr="00F4758C">
        <w:rPr>
          <w:lang w:val="en-GB"/>
        </w:rPr>
        <w:t xml:space="preserve">  </w:t>
      </w:r>
      <w:hyperlink r:id="rId27" w:history="1">
        <w:r w:rsidR="002E33A4" w:rsidRPr="00F4758C">
          <w:rPr>
            <w:rStyle w:val="Lienhypertexte"/>
            <w:lang w:val="en-GB"/>
          </w:rPr>
          <w:t>RGAA, Criteria and tests</w:t>
        </w:r>
      </w:hyperlink>
      <w:r w:rsidR="002E33A4" w:rsidRPr="00F4758C">
        <w:rPr>
          <w:lang w:val="en-GB"/>
        </w:rPr>
        <w:t xml:space="preserve"> </w:t>
      </w:r>
    </w:p>
  </w:footnote>
  <w:footnote w:id="32">
    <w:p w14:paraId="29C9EFD7" w14:textId="794BB397" w:rsidR="006E1221" w:rsidRPr="00F4758C" w:rsidRDefault="006E1221">
      <w:pPr>
        <w:pStyle w:val="Notedebasdepage"/>
        <w:rPr>
          <w:lang w:val="en-GB"/>
        </w:rPr>
      </w:pPr>
      <w:r>
        <w:rPr>
          <w:rStyle w:val="Appelnotedebasdep"/>
        </w:rPr>
        <w:footnoteRef/>
      </w:r>
      <w:r w:rsidRPr="00F4758C">
        <w:rPr>
          <w:lang w:val="en-GB"/>
        </w:rPr>
        <w:t xml:space="preserve"> </w:t>
      </w:r>
      <w:hyperlink r:id="rId28" w:history="1">
        <w:r w:rsidR="002E33A4" w:rsidRPr="00F4758C">
          <w:rPr>
            <w:rStyle w:val="Lienhypertexte"/>
            <w:lang w:val="en-GB"/>
          </w:rPr>
          <w:t>Web Content Accessibility Guidelines (WCAG) 2.0</w:t>
        </w:r>
      </w:hyperlink>
      <w:r w:rsidR="002E33A4" w:rsidRPr="00F4758C">
        <w:rPr>
          <w:lang w:val="en-GB"/>
        </w:rPr>
        <w:t xml:space="preserve"> </w:t>
      </w:r>
    </w:p>
  </w:footnote>
  <w:footnote w:id="33">
    <w:p w14:paraId="5B21BC5E" w14:textId="7ED71315" w:rsidR="006E1221" w:rsidRPr="00F4758C" w:rsidRDefault="006E1221">
      <w:pPr>
        <w:pStyle w:val="Notedebasdepage"/>
        <w:rPr>
          <w:lang w:val="en-GB"/>
        </w:rPr>
      </w:pPr>
      <w:r>
        <w:rPr>
          <w:rStyle w:val="Appelnotedebasdep"/>
        </w:rPr>
        <w:footnoteRef/>
      </w:r>
      <w:r w:rsidRPr="00F4758C">
        <w:rPr>
          <w:lang w:val="en-GB"/>
        </w:rPr>
        <w:t xml:space="preserve"> </w:t>
      </w:r>
      <w:hyperlink r:id="rId29" w:history="1">
        <w:r w:rsidR="002E33A4" w:rsidRPr="00F4758C">
          <w:rPr>
            <w:rStyle w:val="Lienhypertexte"/>
            <w:lang w:val="en-GB"/>
          </w:rPr>
          <w:t>Orange, Digital Accessibility at Orange</w:t>
        </w:r>
      </w:hyperlink>
      <w:r w:rsidR="002E33A4" w:rsidRPr="00F4758C">
        <w:rPr>
          <w:lang w:val="en-GB"/>
        </w:rPr>
        <w:t xml:space="preserve"> </w:t>
      </w:r>
    </w:p>
  </w:footnote>
  <w:footnote w:id="34">
    <w:p w14:paraId="06E9E609" w14:textId="4C414C7D" w:rsidR="006E1221" w:rsidRPr="00F25788" w:rsidRDefault="006E1221">
      <w:pPr>
        <w:pStyle w:val="Notedebasdepage"/>
        <w:rPr>
          <w:lang w:val="en-GB"/>
        </w:rPr>
      </w:pPr>
      <w:r>
        <w:rPr>
          <w:rStyle w:val="Appelnotedebasdep"/>
        </w:rPr>
        <w:footnoteRef/>
      </w:r>
      <w:r w:rsidRPr="00F25788">
        <w:rPr>
          <w:lang w:val="en-GB"/>
        </w:rPr>
        <w:t xml:space="preserve"> </w:t>
      </w:r>
      <w:hyperlink r:id="rId30" w:history="1">
        <w:r w:rsidR="002E33A4" w:rsidRPr="00F25788">
          <w:rPr>
            <w:rStyle w:val="Lienhypertexte"/>
            <w:lang w:val="en-GB"/>
          </w:rPr>
          <w:t>Deque University, Web Accessibility Checklist</w:t>
        </w:r>
      </w:hyperlink>
      <w:r w:rsidR="002E33A4" w:rsidRPr="00F25788">
        <w:rPr>
          <w:lang w:val="en-GB"/>
        </w:rPr>
        <w:t xml:space="preserve"> </w:t>
      </w:r>
    </w:p>
  </w:footnote>
  <w:footnote w:id="35">
    <w:p w14:paraId="1AACA2AD" w14:textId="66A9DE60" w:rsidR="006E1221" w:rsidRPr="002E33A4" w:rsidRDefault="006E1221">
      <w:pPr>
        <w:pStyle w:val="Notedebasdepage"/>
        <w:rPr>
          <w:lang w:val="en-GB"/>
        </w:rPr>
      </w:pPr>
      <w:r>
        <w:rPr>
          <w:rStyle w:val="Appelnotedebasdep"/>
        </w:rPr>
        <w:footnoteRef/>
      </w:r>
      <w:r w:rsidR="002E33A4">
        <w:rPr>
          <w:lang w:val="en-GB"/>
        </w:rPr>
        <w:t xml:space="preserve">  </w:t>
      </w:r>
      <w:hyperlink r:id="rId31" w:history="1">
        <w:r w:rsidR="002E33A4" w:rsidRPr="002E33A4">
          <w:rPr>
            <w:rStyle w:val="Lienhypertexte"/>
            <w:lang w:val="en-GB"/>
          </w:rPr>
          <w:t>Orange, ‘Tota11y Lost’ Escape Game</w:t>
        </w:r>
      </w:hyperlink>
      <w:r w:rsidR="002E33A4">
        <w:rPr>
          <w:lang w:val="en-GB"/>
        </w:rPr>
        <w:t xml:space="preserve"> </w:t>
      </w:r>
    </w:p>
  </w:footnote>
  <w:footnote w:id="36">
    <w:p w14:paraId="5B8D9839" w14:textId="57C6657C" w:rsidR="006E1221" w:rsidRPr="002E33A4" w:rsidRDefault="006E1221">
      <w:pPr>
        <w:pStyle w:val="Notedebasdepage"/>
        <w:rPr>
          <w:lang w:val="en-GB"/>
        </w:rPr>
      </w:pPr>
      <w:r>
        <w:rPr>
          <w:rStyle w:val="Appelnotedebasdep"/>
        </w:rPr>
        <w:footnoteRef/>
      </w:r>
      <w:r w:rsidRPr="002E33A4">
        <w:rPr>
          <w:lang w:val="en-GB"/>
        </w:rPr>
        <w:t xml:space="preserve">  </w:t>
      </w:r>
      <w:hyperlink r:id="rId32" w:history="1">
        <w:r w:rsidR="002E33A4" w:rsidRPr="002E33A4">
          <w:rPr>
            <w:rStyle w:val="Lienhypertexte"/>
            <w:lang w:val="en-GB"/>
          </w:rPr>
          <w:t>Orange, Article on the ‘Tota11y Lost’ escape game</w:t>
        </w:r>
      </w:hyperlink>
      <w:r w:rsidRPr="002E33A4">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9A5C9" w14:textId="77777777" w:rsidR="00321791" w:rsidRDefault="00321791">
    <w:pPr>
      <w:pStyle w:val="En-tte"/>
    </w:pPr>
    <w:r>
      <w:rPr>
        <w:noProof/>
      </w:rPr>
      <w:drawing>
        <wp:anchor distT="0" distB="0" distL="114300" distR="114300" simplePos="0" relativeHeight="251671552" behindDoc="0" locked="0" layoutInCell="1" allowOverlap="1" wp14:anchorId="1A43F2BD" wp14:editId="00638266">
          <wp:simplePos x="0" y="0"/>
          <wp:positionH relativeFrom="margin">
            <wp:posOffset>4739640</wp:posOffset>
          </wp:positionH>
          <wp:positionV relativeFrom="margin">
            <wp:posOffset>-2983230</wp:posOffset>
          </wp:positionV>
          <wp:extent cx="1243965" cy="1263015"/>
          <wp:effectExtent l="0" t="0" r="0" b="0"/>
          <wp:wrapSquare wrapText="bothSides"/>
          <wp:docPr id="424486352"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486352" name="Image 27">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43965" cy="1263015"/>
                  </a:xfrm>
                  <a:prstGeom prst="rect">
                    <a:avLst/>
                  </a:prstGeom>
                </pic:spPr>
              </pic:pic>
            </a:graphicData>
          </a:graphic>
          <wp14:sizeRelH relativeFrom="margin">
            <wp14:pctWidth>0</wp14:pctWidth>
          </wp14:sizeRelH>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9C038" w14:textId="77777777" w:rsidR="00B0781C" w:rsidRDefault="00321791">
    <w:pPr>
      <w:pStyle w:val="En-tte"/>
    </w:pPr>
    <w:r>
      <w:rPr>
        <w:noProof/>
      </w:rPr>
      <w:drawing>
        <wp:anchor distT="0" distB="0" distL="114300" distR="114300" simplePos="0" relativeHeight="251669504" behindDoc="0" locked="0" layoutInCell="1" allowOverlap="1" wp14:anchorId="77E9195A" wp14:editId="3553C036">
          <wp:simplePos x="0" y="0"/>
          <wp:positionH relativeFrom="margin">
            <wp:posOffset>0</wp:posOffset>
          </wp:positionH>
          <wp:positionV relativeFrom="margin">
            <wp:posOffset>-2993390</wp:posOffset>
          </wp:positionV>
          <wp:extent cx="1263600" cy="1263600"/>
          <wp:effectExtent l="0" t="0" r="0" b="0"/>
          <wp:wrapSquare wrapText="bothSides"/>
          <wp:docPr id="675183336" name="Image 67518333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5183336" name="Image 675183336">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63600" cy="1263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4B5943"/>
        <w:spacing w:val="60"/>
      </w:rPr>
      <w:id w:val="-1040821836"/>
      <w:docPartObj>
        <w:docPartGallery w:val="Page Numbers (Top of Page)"/>
        <w:docPartUnique/>
      </w:docPartObj>
    </w:sdtPr>
    <w:sdtEndPr>
      <w:rPr>
        <w:b/>
        <w:bCs/>
        <w:color w:val="6C0A1A"/>
        <w:spacing w:val="0"/>
      </w:rPr>
    </w:sdtEndPr>
    <w:sdtContent>
      <w:p w14:paraId="0B83AFDF" w14:textId="77777777" w:rsidR="00121BD4" w:rsidRPr="00BE145A" w:rsidRDefault="00121BD4">
        <w:pPr>
          <w:pStyle w:val="En-tte"/>
          <w:pBdr>
            <w:bottom w:val="single" w:sz="4" w:space="1" w:color="D9D9D9" w:themeColor="background1" w:themeShade="D9"/>
          </w:pBdr>
          <w:jc w:val="right"/>
          <w:rPr>
            <w:b/>
            <w:bCs/>
            <w:color w:val="6C0A1A"/>
          </w:rPr>
        </w:pPr>
        <w:r w:rsidRPr="00D91C86">
          <w:rPr>
            <w:color w:val="4B5943"/>
          </w:rPr>
          <w:t xml:space="preserve">Page| </w:t>
        </w:r>
        <w:r w:rsidRPr="00D91C86">
          <w:rPr>
            <w:color w:val="4B5943"/>
          </w:rPr>
          <w:fldChar w:fldCharType="begin"/>
        </w:r>
        <w:r w:rsidRPr="00D91C86">
          <w:rPr>
            <w:color w:val="4B5943"/>
          </w:rPr>
          <w:instrText>PAGE   \* MERGEFORMAT</w:instrText>
        </w:r>
        <w:r w:rsidRPr="00D91C86">
          <w:rPr>
            <w:color w:val="4B5943"/>
          </w:rPr>
          <w:fldChar w:fldCharType="separate"/>
        </w:r>
        <w:r w:rsidRPr="00D91C86">
          <w:rPr>
            <w:b/>
            <w:bCs/>
            <w:color w:val="4B5943"/>
          </w:rPr>
          <w:t>2</w:t>
        </w:r>
        <w:r w:rsidRPr="00D91C86">
          <w:rPr>
            <w:b/>
            <w:bCs/>
            <w:color w:val="4B5943"/>
          </w:rPr>
          <w:fldChar w:fldCharType="end"/>
        </w:r>
      </w:p>
    </w:sdtContent>
  </w:sdt>
  <w:p w14:paraId="55FEAB91" w14:textId="77777777" w:rsidR="00121BD4" w:rsidRPr="00EF1546" w:rsidRDefault="00121BD4" w:rsidP="00EF1546">
    <w:pPr>
      <w:pStyle w:val="En-tte"/>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54444C"/>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16AE679E"/>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F48E94B0"/>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14C88DC8"/>
    <w:lvl w:ilvl="0">
      <w:start w:val="1"/>
      <w:numFmt w:val="decimal"/>
      <w:pStyle w:val="Listenumros2"/>
      <w:lvlText w:val="%1."/>
      <w:lvlJc w:val="left"/>
      <w:pPr>
        <w:tabs>
          <w:tab w:val="num" w:pos="643"/>
        </w:tabs>
        <w:ind w:left="643" w:hanging="360"/>
      </w:pPr>
    </w:lvl>
  </w:abstractNum>
  <w:abstractNum w:abstractNumId="4" w15:restartNumberingAfterBreak="0">
    <w:nsid w:val="01572323"/>
    <w:multiLevelType w:val="multilevel"/>
    <w:tmpl w:val="59604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22AE8"/>
    <w:multiLevelType w:val="multilevel"/>
    <w:tmpl w:val="98880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30A44C9"/>
    <w:multiLevelType w:val="multilevel"/>
    <w:tmpl w:val="4ED24A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35B6F38"/>
    <w:multiLevelType w:val="hybridMultilevel"/>
    <w:tmpl w:val="F89059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04810A18"/>
    <w:multiLevelType w:val="hybridMultilevel"/>
    <w:tmpl w:val="A620C47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15:restartNumberingAfterBreak="0">
    <w:nsid w:val="04927453"/>
    <w:multiLevelType w:val="hybridMultilevel"/>
    <w:tmpl w:val="C81EE3B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6093A4B"/>
    <w:multiLevelType w:val="multilevel"/>
    <w:tmpl w:val="1B1C7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CD0363"/>
    <w:multiLevelType w:val="multilevel"/>
    <w:tmpl w:val="346C7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7E33958"/>
    <w:multiLevelType w:val="hybridMultilevel"/>
    <w:tmpl w:val="B052BFEE"/>
    <w:lvl w:ilvl="0" w:tplc="040C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8DE579F"/>
    <w:multiLevelType w:val="multilevel"/>
    <w:tmpl w:val="5C46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9B46EE8"/>
    <w:multiLevelType w:val="hybridMultilevel"/>
    <w:tmpl w:val="2544255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0B335F90"/>
    <w:multiLevelType w:val="multilevel"/>
    <w:tmpl w:val="A7446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BDC1A0F"/>
    <w:multiLevelType w:val="hybridMultilevel"/>
    <w:tmpl w:val="CB5645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103A3996"/>
    <w:multiLevelType w:val="multilevel"/>
    <w:tmpl w:val="5C464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1A82046"/>
    <w:multiLevelType w:val="multilevel"/>
    <w:tmpl w:val="AF6655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1E11AC2"/>
    <w:multiLevelType w:val="hybridMultilevel"/>
    <w:tmpl w:val="838AB8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17B643E9"/>
    <w:multiLevelType w:val="multilevel"/>
    <w:tmpl w:val="2858FCF6"/>
    <w:lvl w:ilvl="0">
      <w:start w:val="1"/>
      <w:numFmt w:val="decimal"/>
      <w:pStyle w:val="Listenumros"/>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1A600177"/>
    <w:multiLevelType w:val="multilevel"/>
    <w:tmpl w:val="B37C1B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1ABE2599"/>
    <w:multiLevelType w:val="hybridMultilevel"/>
    <w:tmpl w:val="1360AC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1B362F2F"/>
    <w:multiLevelType w:val="multilevel"/>
    <w:tmpl w:val="D12C3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BB5172A"/>
    <w:multiLevelType w:val="multilevel"/>
    <w:tmpl w:val="28A0D330"/>
    <w:lvl w:ilvl="0">
      <w:start w:val="1"/>
      <w:numFmt w:val="bullet"/>
      <w:lvlText w:val=""/>
      <w:lvlJc w:val="left"/>
      <w:pPr>
        <w:ind w:left="851" w:hanging="285"/>
      </w:pPr>
      <w:rPr>
        <w:rFonts w:ascii="Symbol" w:hAnsi="Symbol" w:hint="default"/>
        <w:u w:val="none"/>
      </w:rPr>
    </w:lvl>
    <w:lvl w:ilvl="1">
      <w:start w:val="1"/>
      <w:numFmt w:val="bullet"/>
      <w:lvlText w:val="○"/>
      <w:lvlJc w:val="left"/>
      <w:pPr>
        <w:ind w:left="1370" w:hanging="360"/>
      </w:pPr>
      <w:rPr>
        <w:u w:val="none"/>
      </w:rPr>
    </w:lvl>
    <w:lvl w:ilvl="2">
      <w:start w:val="1"/>
      <w:numFmt w:val="bullet"/>
      <w:lvlText w:val="■"/>
      <w:lvlJc w:val="left"/>
      <w:pPr>
        <w:ind w:left="2090" w:hanging="360"/>
      </w:pPr>
      <w:rPr>
        <w:u w:val="none"/>
      </w:rPr>
    </w:lvl>
    <w:lvl w:ilvl="3">
      <w:start w:val="1"/>
      <w:numFmt w:val="bullet"/>
      <w:lvlText w:val="●"/>
      <w:lvlJc w:val="left"/>
      <w:pPr>
        <w:ind w:left="2810" w:hanging="360"/>
      </w:pPr>
      <w:rPr>
        <w:u w:val="none"/>
      </w:rPr>
    </w:lvl>
    <w:lvl w:ilvl="4">
      <w:start w:val="1"/>
      <w:numFmt w:val="bullet"/>
      <w:lvlText w:val="○"/>
      <w:lvlJc w:val="left"/>
      <w:pPr>
        <w:ind w:left="3530" w:hanging="360"/>
      </w:pPr>
      <w:rPr>
        <w:u w:val="none"/>
      </w:rPr>
    </w:lvl>
    <w:lvl w:ilvl="5">
      <w:start w:val="1"/>
      <w:numFmt w:val="bullet"/>
      <w:lvlText w:val="■"/>
      <w:lvlJc w:val="left"/>
      <w:pPr>
        <w:ind w:left="4250" w:hanging="360"/>
      </w:pPr>
      <w:rPr>
        <w:u w:val="none"/>
      </w:rPr>
    </w:lvl>
    <w:lvl w:ilvl="6">
      <w:start w:val="1"/>
      <w:numFmt w:val="bullet"/>
      <w:lvlText w:val="●"/>
      <w:lvlJc w:val="left"/>
      <w:pPr>
        <w:ind w:left="4970" w:hanging="360"/>
      </w:pPr>
      <w:rPr>
        <w:u w:val="none"/>
      </w:rPr>
    </w:lvl>
    <w:lvl w:ilvl="7">
      <w:start w:val="1"/>
      <w:numFmt w:val="bullet"/>
      <w:lvlText w:val="○"/>
      <w:lvlJc w:val="left"/>
      <w:pPr>
        <w:ind w:left="5690" w:hanging="360"/>
      </w:pPr>
      <w:rPr>
        <w:u w:val="none"/>
      </w:rPr>
    </w:lvl>
    <w:lvl w:ilvl="8">
      <w:start w:val="1"/>
      <w:numFmt w:val="bullet"/>
      <w:lvlText w:val="■"/>
      <w:lvlJc w:val="left"/>
      <w:pPr>
        <w:ind w:left="6410" w:hanging="360"/>
      </w:pPr>
      <w:rPr>
        <w:u w:val="none"/>
      </w:rPr>
    </w:lvl>
  </w:abstractNum>
  <w:abstractNum w:abstractNumId="25" w15:restartNumberingAfterBreak="0">
    <w:nsid w:val="1D0E6108"/>
    <w:multiLevelType w:val="hybridMultilevel"/>
    <w:tmpl w:val="199E1170"/>
    <w:lvl w:ilvl="0" w:tplc="040C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1E821BCD"/>
    <w:multiLevelType w:val="hybridMultilevel"/>
    <w:tmpl w:val="F5C40D7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7" w15:restartNumberingAfterBreak="0">
    <w:nsid w:val="1FB17B82"/>
    <w:multiLevelType w:val="multilevel"/>
    <w:tmpl w:val="F2789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06E6101"/>
    <w:multiLevelType w:val="multilevel"/>
    <w:tmpl w:val="6EECD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22874B4C"/>
    <w:multiLevelType w:val="hybridMultilevel"/>
    <w:tmpl w:val="0490611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15:restartNumberingAfterBreak="0">
    <w:nsid w:val="24C964C2"/>
    <w:multiLevelType w:val="hybridMultilevel"/>
    <w:tmpl w:val="CC0C5D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24EF2296"/>
    <w:multiLevelType w:val="multilevel"/>
    <w:tmpl w:val="1E40F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682759C"/>
    <w:multiLevelType w:val="multilevel"/>
    <w:tmpl w:val="4B182D44"/>
    <w:lvl w:ilvl="0">
      <w:start w:val="1"/>
      <w:numFmt w:val="bullet"/>
      <w:pStyle w:val="Listepuces2"/>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29920516"/>
    <w:multiLevelType w:val="multilevel"/>
    <w:tmpl w:val="B9D0F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B383EB2"/>
    <w:multiLevelType w:val="multilevel"/>
    <w:tmpl w:val="C9266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C114369"/>
    <w:multiLevelType w:val="hybridMultilevel"/>
    <w:tmpl w:val="7E226D8E"/>
    <w:lvl w:ilvl="0" w:tplc="040C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2DEC7AC8"/>
    <w:multiLevelType w:val="multilevel"/>
    <w:tmpl w:val="7FB4B83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785" w:hanging="705"/>
      </w:pPr>
      <w:rPr>
        <w:rFonts w:hint="default"/>
      </w:rPr>
    </w:lvl>
    <w:lvl w:ilvl="2">
      <w:numFmt w:val="bullet"/>
      <w:lvlText w:val=""/>
      <w:lvlJc w:val="left"/>
      <w:pPr>
        <w:ind w:left="2160" w:hanging="360"/>
      </w:pPr>
      <w:rPr>
        <w:rFonts w:ascii="Wingdings" w:eastAsiaTheme="minorEastAsia" w:hAnsi="Wingdings" w:cstheme="minorBid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F190B3A"/>
    <w:multiLevelType w:val="hybridMultilevel"/>
    <w:tmpl w:val="C922B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2FAC2803"/>
    <w:multiLevelType w:val="hybridMultilevel"/>
    <w:tmpl w:val="A3CEBB6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4FB45E9"/>
    <w:multiLevelType w:val="multilevel"/>
    <w:tmpl w:val="713C89E2"/>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785" w:hanging="705"/>
      </w:pPr>
      <w:rPr>
        <w:rFonts w:ascii="Calibri" w:eastAsiaTheme="minorEastAsia"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6D12486"/>
    <w:multiLevelType w:val="hybridMultilevel"/>
    <w:tmpl w:val="BADE4BD0"/>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41" w15:restartNumberingAfterBreak="0">
    <w:nsid w:val="36E1087B"/>
    <w:multiLevelType w:val="multilevel"/>
    <w:tmpl w:val="185C0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90A66C3"/>
    <w:multiLevelType w:val="multilevel"/>
    <w:tmpl w:val="3F6C9098"/>
    <w:lvl w:ilvl="0">
      <w:start w:val="1"/>
      <w:numFmt w:val="bullet"/>
      <w:lvlText w:val="o"/>
      <w:lvlJc w:val="left"/>
      <w:pPr>
        <w:ind w:left="1421" w:hanging="285"/>
      </w:pPr>
      <w:rPr>
        <w:rFonts w:ascii="Courier New" w:hAnsi="Courier New" w:cs="Courier New" w:hint="default"/>
        <w:u w:val="none"/>
      </w:rPr>
    </w:lvl>
    <w:lvl w:ilvl="1">
      <w:start w:val="1"/>
      <w:numFmt w:val="bullet"/>
      <w:lvlText w:val="○"/>
      <w:lvlJc w:val="left"/>
      <w:pPr>
        <w:ind w:left="1940" w:hanging="360"/>
      </w:pPr>
      <w:rPr>
        <w:u w:val="none"/>
      </w:rPr>
    </w:lvl>
    <w:lvl w:ilvl="2">
      <w:start w:val="1"/>
      <w:numFmt w:val="bullet"/>
      <w:lvlText w:val="■"/>
      <w:lvlJc w:val="left"/>
      <w:pPr>
        <w:ind w:left="2660" w:hanging="360"/>
      </w:pPr>
      <w:rPr>
        <w:u w:val="none"/>
      </w:rPr>
    </w:lvl>
    <w:lvl w:ilvl="3">
      <w:start w:val="1"/>
      <w:numFmt w:val="bullet"/>
      <w:lvlText w:val="●"/>
      <w:lvlJc w:val="left"/>
      <w:pPr>
        <w:ind w:left="3380" w:hanging="360"/>
      </w:pPr>
      <w:rPr>
        <w:u w:val="none"/>
      </w:rPr>
    </w:lvl>
    <w:lvl w:ilvl="4">
      <w:start w:val="1"/>
      <w:numFmt w:val="bullet"/>
      <w:lvlText w:val="○"/>
      <w:lvlJc w:val="left"/>
      <w:pPr>
        <w:ind w:left="4100" w:hanging="360"/>
      </w:pPr>
      <w:rPr>
        <w:u w:val="none"/>
      </w:rPr>
    </w:lvl>
    <w:lvl w:ilvl="5">
      <w:start w:val="1"/>
      <w:numFmt w:val="bullet"/>
      <w:lvlText w:val="■"/>
      <w:lvlJc w:val="left"/>
      <w:pPr>
        <w:ind w:left="4820" w:hanging="360"/>
      </w:pPr>
      <w:rPr>
        <w:u w:val="none"/>
      </w:rPr>
    </w:lvl>
    <w:lvl w:ilvl="6">
      <w:start w:val="1"/>
      <w:numFmt w:val="bullet"/>
      <w:lvlText w:val="●"/>
      <w:lvlJc w:val="left"/>
      <w:pPr>
        <w:ind w:left="5540" w:hanging="360"/>
      </w:pPr>
      <w:rPr>
        <w:u w:val="none"/>
      </w:rPr>
    </w:lvl>
    <w:lvl w:ilvl="7">
      <w:start w:val="1"/>
      <w:numFmt w:val="bullet"/>
      <w:lvlText w:val="○"/>
      <w:lvlJc w:val="left"/>
      <w:pPr>
        <w:ind w:left="6260" w:hanging="360"/>
      </w:pPr>
      <w:rPr>
        <w:u w:val="none"/>
      </w:rPr>
    </w:lvl>
    <w:lvl w:ilvl="8">
      <w:start w:val="1"/>
      <w:numFmt w:val="bullet"/>
      <w:lvlText w:val="■"/>
      <w:lvlJc w:val="left"/>
      <w:pPr>
        <w:ind w:left="6980" w:hanging="360"/>
      </w:pPr>
      <w:rPr>
        <w:u w:val="none"/>
      </w:rPr>
    </w:lvl>
  </w:abstractNum>
  <w:abstractNum w:abstractNumId="43" w15:restartNumberingAfterBreak="0">
    <w:nsid w:val="395236C0"/>
    <w:multiLevelType w:val="multilevel"/>
    <w:tmpl w:val="680E3DAE"/>
    <w:lvl w:ilvl="0">
      <w:start w:val="1"/>
      <w:numFmt w:val="bullet"/>
      <w:pStyle w:val="Listepuces3"/>
      <w:lvlText w:val="●"/>
      <w:lvlJc w:val="left"/>
      <w:pPr>
        <w:ind w:left="36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39D02BE3"/>
    <w:multiLevelType w:val="hybridMultilevel"/>
    <w:tmpl w:val="D86ADA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3AEA635A"/>
    <w:multiLevelType w:val="hybridMultilevel"/>
    <w:tmpl w:val="D4A098E0"/>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6" w15:restartNumberingAfterBreak="0">
    <w:nsid w:val="3AF22591"/>
    <w:multiLevelType w:val="multilevel"/>
    <w:tmpl w:val="E6D40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3B6976EC"/>
    <w:multiLevelType w:val="multilevel"/>
    <w:tmpl w:val="F0127DA0"/>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48" w15:restartNumberingAfterBreak="0">
    <w:nsid w:val="3BAE52FE"/>
    <w:multiLevelType w:val="multilevel"/>
    <w:tmpl w:val="2AC2A5D0"/>
    <w:lvl w:ilvl="0">
      <w:start w:val="1"/>
      <w:numFmt w:val="bullet"/>
      <w:pStyle w:val="Listepuces"/>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49" w15:restartNumberingAfterBreak="0">
    <w:nsid w:val="3D147111"/>
    <w:multiLevelType w:val="hybridMultilevel"/>
    <w:tmpl w:val="AE685C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4270794C"/>
    <w:multiLevelType w:val="hybridMultilevel"/>
    <w:tmpl w:val="3664052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42D06200"/>
    <w:multiLevelType w:val="hybridMultilevel"/>
    <w:tmpl w:val="ADF2B3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42E0476C"/>
    <w:multiLevelType w:val="hybridMultilevel"/>
    <w:tmpl w:val="9E688A12"/>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3" w15:restartNumberingAfterBreak="0">
    <w:nsid w:val="43320F33"/>
    <w:multiLevelType w:val="hybridMultilevel"/>
    <w:tmpl w:val="2C2AA32C"/>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4" w15:restartNumberingAfterBreak="0">
    <w:nsid w:val="44A8208E"/>
    <w:multiLevelType w:val="hybridMultilevel"/>
    <w:tmpl w:val="5014707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459B1792"/>
    <w:multiLevelType w:val="multilevel"/>
    <w:tmpl w:val="EABA6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6ED3C37"/>
    <w:multiLevelType w:val="hybridMultilevel"/>
    <w:tmpl w:val="82A699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471411BE"/>
    <w:multiLevelType w:val="hybridMultilevel"/>
    <w:tmpl w:val="A4840C6A"/>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8" w15:restartNumberingAfterBreak="0">
    <w:nsid w:val="4BC349A6"/>
    <w:multiLevelType w:val="hybridMultilevel"/>
    <w:tmpl w:val="33AE23D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4E815E59"/>
    <w:multiLevelType w:val="multilevel"/>
    <w:tmpl w:val="6EE83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51B95A13"/>
    <w:multiLevelType w:val="multilevel"/>
    <w:tmpl w:val="C32E5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37565F1"/>
    <w:multiLevelType w:val="multilevel"/>
    <w:tmpl w:val="5C22E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6844F17"/>
    <w:multiLevelType w:val="multilevel"/>
    <w:tmpl w:val="D71A83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57732ED1"/>
    <w:multiLevelType w:val="multilevel"/>
    <w:tmpl w:val="8E28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93A5D95"/>
    <w:multiLevelType w:val="hybridMultilevel"/>
    <w:tmpl w:val="AC98B6D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5" w15:restartNumberingAfterBreak="0">
    <w:nsid w:val="5CC370B0"/>
    <w:multiLevelType w:val="hybridMultilevel"/>
    <w:tmpl w:val="A64C54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21D3394"/>
    <w:multiLevelType w:val="hybridMultilevel"/>
    <w:tmpl w:val="FE2C9E9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3877592"/>
    <w:multiLevelType w:val="multilevel"/>
    <w:tmpl w:val="80B05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646D7803"/>
    <w:multiLevelType w:val="multilevel"/>
    <w:tmpl w:val="28A0D330"/>
    <w:lvl w:ilvl="0">
      <w:start w:val="1"/>
      <w:numFmt w:val="bullet"/>
      <w:lvlText w:val=""/>
      <w:lvlJc w:val="left"/>
      <w:pPr>
        <w:ind w:left="851" w:hanging="285"/>
      </w:pPr>
      <w:rPr>
        <w:rFonts w:ascii="Symbol" w:hAnsi="Symbol" w:hint="default"/>
        <w:u w:val="none"/>
      </w:rPr>
    </w:lvl>
    <w:lvl w:ilvl="1">
      <w:start w:val="1"/>
      <w:numFmt w:val="bullet"/>
      <w:lvlText w:val="○"/>
      <w:lvlJc w:val="left"/>
      <w:pPr>
        <w:ind w:left="1370" w:hanging="360"/>
      </w:pPr>
      <w:rPr>
        <w:u w:val="none"/>
      </w:rPr>
    </w:lvl>
    <w:lvl w:ilvl="2">
      <w:start w:val="1"/>
      <w:numFmt w:val="bullet"/>
      <w:lvlText w:val="■"/>
      <w:lvlJc w:val="left"/>
      <w:pPr>
        <w:ind w:left="2090" w:hanging="360"/>
      </w:pPr>
      <w:rPr>
        <w:u w:val="none"/>
      </w:rPr>
    </w:lvl>
    <w:lvl w:ilvl="3">
      <w:start w:val="1"/>
      <w:numFmt w:val="bullet"/>
      <w:lvlText w:val="●"/>
      <w:lvlJc w:val="left"/>
      <w:pPr>
        <w:ind w:left="2810" w:hanging="360"/>
      </w:pPr>
      <w:rPr>
        <w:u w:val="none"/>
      </w:rPr>
    </w:lvl>
    <w:lvl w:ilvl="4">
      <w:start w:val="1"/>
      <w:numFmt w:val="bullet"/>
      <w:lvlText w:val="○"/>
      <w:lvlJc w:val="left"/>
      <w:pPr>
        <w:ind w:left="3530" w:hanging="360"/>
      </w:pPr>
      <w:rPr>
        <w:u w:val="none"/>
      </w:rPr>
    </w:lvl>
    <w:lvl w:ilvl="5">
      <w:start w:val="1"/>
      <w:numFmt w:val="bullet"/>
      <w:lvlText w:val="■"/>
      <w:lvlJc w:val="left"/>
      <w:pPr>
        <w:ind w:left="4250" w:hanging="360"/>
      </w:pPr>
      <w:rPr>
        <w:u w:val="none"/>
      </w:rPr>
    </w:lvl>
    <w:lvl w:ilvl="6">
      <w:start w:val="1"/>
      <w:numFmt w:val="bullet"/>
      <w:lvlText w:val="●"/>
      <w:lvlJc w:val="left"/>
      <w:pPr>
        <w:ind w:left="4970" w:hanging="360"/>
      </w:pPr>
      <w:rPr>
        <w:u w:val="none"/>
      </w:rPr>
    </w:lvl>
    <w:lvl w:ilvl="7">
      <w:start w:val="1"/>
      <w:numFmt w:val="bullet"/>
      <w:lvlText w:val="○"/>
      <w:lvlJc w:val="left"/>
      <w:pPr>
        <w:ind w:left="5690" w:hanging="360"/>
      </w:pPr>
      <w:rPr>
        <w:u w:val="none"/>
      </w:rPr>
    </w:lvl>
    <w:lvl w:ilvl="8">
      <w:start w:val="1"/>
      <w:numFmt w:val="bullet"/>
      <w:lvlText w:val="■"/>
      <w:lvlJc w:val="left"/>
      <w:pPr>
        <w:ind w:left="6410" w:hanging="360"/>
      </w:pPr>
      <w:rPr>
        <w:u w:val="none"/>
      </w:rPr>
    </w:lvl>
  </w:abstractNum>
  <w:abstractNum w:abstractNumId="69" w15:restartNumberingAfterBreak="0">
    <w:nsid w:val="66DD6CBC"/>
    <w:multiLevelType w:val="hybridMultilevel"/>
    <w:tmpl w:val="8A1AA54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0" w15:restartNumberingAfterBreak="0">
    <w:nsid w:val="67660E9B"/>
    <w:multiLevelType w:val="hybridMultilevel"/>
    <w:tmpl w:val="2B7A47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15:restartNumberingAfterBreak="0">
    <w:nsid w:val="6944123A"/>
    <w:multiLevelType w:val="hybridMultilevel"/>
    <w:tmpl w:val="FCD06686"/>
    <w:lvl w:ilvl="0" w:tplc="FFFFFFFF">
      <w:start w:val="1"/>
      <w:numFmt w:val="bullet"/>
      <w:lvlText w:val=""/>
      <w:lvlJc w:val="left"/>
      <w:pPr>
        <w:ind w:left="720" w:hanging="360"/>
      </w:pPr>
      <w:rPr>
        <w:rFonts w:ascii="Symbol" w:hAnsi="Symbol" w:hint="default"/>
      </w:rPr>
    </w:lvl>
    <w:lvl w:ilvl="1" w:tplc="040C000B">
      <w:start w:val="1"/>
      <w:numFmt w:val="bullet"/>
      <w:lvlText w:val=""/>
      <w:lvlJc w:val="left"/>
      <w:pPr>
        <w:ind w:left="36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A9A5D1F"/>
    <w:multiLevelType w:val="hybridMultilevel"/>
    <w:tmpl w:val="4CCA3148"/>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73" w15:restartNumberingAfterBreak="0">
    <w:nsid w:val="6EBB4B97"/>
    <w:multiLevelType w:val="hybridMultilevel"/>
    <w:tmpl w:val="60842988"/>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4" w15:restartNumberingAfterBreak="0">
    <w:nsid w:val="756F71D6"/>
    <w:multiLevelType w:val="hybridMultilevel"/>
    <w:tmpl w:val="CEF2BD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5" w15:restartNumberingAfterBreak="0">
    <w:nsid w:val="77B52A34"/>
    <w:multiLevelType w:val="multilevel"/>
    <w:tmpl w:val="A5343A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8DE275D"/>
    <w:multiLevelType w:val="hybridMultilevel"/>
    <w:tmpl w:val="C540AB4E"/>
    <w:lvl w:ilvl="0" w:tplc="040C000B">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7" w15:restartNumberingAfterBreak="0">
    <w:nsid w:val="78EC4E74"/>
    <w:multiLevelType w:val="multilevel"/>
    <w:tmpl w:val="D68A2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79063C74"/>
    <w:multiLevelType w:val="multilevel"/>
    <w:tmpl w:val="050871CC"/>
    <w:lvl w:ilvl="0">
      <w:start w:val="1"/>
      <w:numFmt w:val="bullet"/>
      <w:lvlText w:val=""/>
      <w:lvlJc w:val="left"/>
      <w:pPr>
        <w:ind w:left="993" w:hanging="285"/>
      </w:pPr>
      <w:rPr>
        <w:rFonts w:ascii="Symbol" w:hAnsi="Symbol" w:hint="default"/>
        <w:u w:val="none"/>
      </w:rPr>
    </w:lvl>
    <w:lvl w:ilvl="1">
      <w:start w:val="1"/>
      <w:numFmt w:val="bullet"/>
      <w:lvlText w:val="○"/>
      <w:lvlJc w:val="left"/>
      <w:pPr>
        <w:ind w:left="1512" w:hanging="360"/>
      </w:pPr>
      <w:rPr>
        <w:u w:val="none"/>
      </w:rPr>
    </w:lvl>
    <w:lvl w:ilvl="2">
      <w:start w:val="1"/>
      <w:numFmt w:val="bullet"/>
      <w:lvlText w:val="■"/>
      <w:lvlJc w:val="left"/>
      <w:pPr>
        <w:ind w:left="2232" w:hanging="360"/>
      </w:pPr>
      <w:rPr>
        <w:u w:val="none"/>
      </w:rPr>
    </w:lvl>
    <w:lvl w:ilvl="3">
      <w:start w:val="1"/>
      <w:numFmt w:val="bullet"/>
      <w:lvlText w:val="●"/>
      <w:lvlJc w:val="left"/>
      <w:pPr>
        <w:ind w:left="2952" w:hanging="360"/>
      </w:pPr>
      <w:rPr>
        <w:u w:val="none"/>
      </w:rPr>
    </w:lvl>
    <w:lvl w:ilvl="4">
      <w:start w:val="1"/>
      <w:numFmt w:val="bullet"/>
      <w:lvlText w:val="○"/>
      <w:lvlJc w:val="left"/>
      <w:pPr>
        <w:ind w:left="3672" w:hanging="360"/>
      </w:pPr>
      <w:rPr>
        <w:u w:val="none"/>
      </w:rPr>
    </w:lvl>
    <w:lvl w:ilvl="5">
      <w:start w:val="1"/>
      <w:numFmt w:val="bullet"/>
      <w:lvlText w:val="■"/>
      <w:lvlJc w:val="left"/>
      <w:pPr>
        <w:ind w:left="4392" w:hanging="360"/>
      </w:pPr>
      <w:rPr>
        <w:u w:val="none"/>
      </w:rPr>
    </w:lvl>
    <w:lvl w:ilvl="6">
      <w:start w:val="1"/>
      <w:numFmt w:val="bullet"/>
      <w:lvlText w:val="●"/>
      <w:lvlJc w:val="left"/>
      <w:pPr>
        <w:ind w:left="5112" w:hanging="360"/>
      </w:pPr>
      <w:rPr>
        <w:u w:val="none"/>
      </w:rPr>
    </w:lvl>
    <w:lvl w:ilvl="7">
      <w:start w:val="1"/>
      <w:numFmt w:val="bullet"/>
      <w:lvlText w:val="○"/>
      <w:lvlJc w:val="left"/>
      <w:pPr>
        <w:ind w:left="5832" w:hanging="360"/>
      </w:pPr>
      <w:rPr>
        <w:u w:val="none"/>
      </w:rPr>
    </w:lvl>
    <w:lvl w:ilvl="8">
      <w:start w:val="1"/>
      <w:numFmt w:val="bullet"/>
      <w:lvlText w:val="■"/>
      <w:lvlJc w:val="left"/>
      <w:pPr>
        <w:ind w:left="6552" w:hanging="360"/>
      </w:pPr>
      <w:rPr>
        <w:u w:val="none"/>
      </w:rPr>
    </w:lvl>
  </w:abstractNum>
  <w:abstractNum w:abstractNumId="79" w15:restartNumberingAfterBreak="0">
    <w:nsid w:val="79B43E29"/>
    <w:multiLevelType w:val="hybridMultilevel"/>
    <w:tmpl w:val="E22C5198"/>
    <w:lvl w:ilvl="0" w:tplc="040C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A5555E9"/>
    <w:multiLevelType w:val="multilevel"/>
    <w:tmpl w:val="0CB49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B8E5BDB"/>
    <w:multiLevelType w:val="multilevel"/>
    <w:tmpl w:val="5C4640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7CBA2DC8"/>
    <w:multiLevelType w:val="multilevel"/>
    <w:tmpl w:val="F5AEB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7E392892"/>
    <w:multiLevelType w:val="hybridMultilevel"/>
    <w:tmpl w:val="0CD252C8"/>
    <w:lvl w:ilvl="0" w:tplc="040C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726219335">
    <w:abstractNumId w:val="47"/>
  </w:num>
  <w:num w:numId="2" w16cid:durableId="1139494988">
    <w:abstractNumId w:val="21"/>
  </w:num>
  <w:num w:numId="3" w16cid:durableId="376972705">
    <w:abstractNumId w:val="20"/>
  </w:num>
  <w:num w:numId="4" w16cid:durableId="228615974">
    <w:abstractNumId w:val="32"/>
  </w:num>
  <w:num w:numId="5" w16cid:durableId="1773233737">
    <w:abstractNumId w:val="43"/>
  </w:num>
  <w:num w:numId="6" w16cid:durableId="1490946905">
    <w:abstractNumId w:val="48"/>
  </w:num>
  <w:num w:numId="7" w16cid:durableId="1953658985">
    <w:abstractNumId w:val="3"/>
  </w:num>
  <w:num w:numId="8" w16cid:durableId="1332837029">
    <w:abstractNumId w:val="2"/>
  </w:num>
  <w:num w:numId="9" w16cid:durableId="1616911424">
    <w:abstractNumId w:val="1"/>
  </w:num>
  <w:num w:numId="10" w16cid:durableId="1178889003">
    <w:abstractNumId w:val="0"/>
  </w:num>
  <w:num w:numId="11" w16cid:durableId="221913549">
    <w:abstractNumId w:val="69"/>
  </w:num>
  <w:num w:numId="12" w16cid:durableId="1429738077">
    <w:abstractNumId w:val="10"/>
  </w:num>
  <w:num w:numId="13" w16cid:durableId="349259464">
    <w:abstractNumId w:val="75"/>
  </w:num>
  <w:num w:numId="14" w16cid:durableId="1440875630">
    <w:abstractNumId w:val="33"/>
  </w:num>
  <w:num w:numId="15" w16cid:durableId="231234574">
    <w:abstractNumId w:val="23"/>
  </w:num>
  <w:num w:numId="16" w16cid:durableId="1468432293">
    <w:abstractNumId w:val="62"/>
  </w:num>
  <w:num w:numId="17" w16cid:durableId="769392872">
    <w:abstractNumId w:val="36"/>
  </w:num>
  <w:num w:numId="18" w16cid:durableId="1599947229">
    <w:abstractNumId w:val="7"/>
  </w:num>
  <w:num w:numId="19" w16cid:durableId="1258564759">
    <w:abstractNumId w:val="70"/>
  </w:num>
  <w:num w:numId="20" w16cid:durableId="1437291196">
    <w:abstractNumId w:val="49"/>
  </w:num>
  <w:num w:numId="21" w16cid:durableId="595290626">
    <w:abstractNumId w:val="30"/>
  </w:num>
  <w:num w:numId="22" w16cid:durableId="1134520393">
    <w:abstractNumId w:val="6"/>
  </w:num>
  <w:num w:numId="23" w16cid:durableId="1039428906">
    <w:abstractNumId w:val="28"/>
  </w:num>
  <w:num w:numId="24" w16cid:durableId="940381769">
    <w:abstractNumId w:val="4"/>
  </w:num>
  <w:num w:numId="25" w16cid:durableId="130103090">
    <w:abstractNumId w:val="39"/>
  </w:num>
  <w:num w:numId="26" w16cid:durableId="1287543256">
    <w:abstractNumId w:val="41"/>
  </w:num>
  <w:num w:numId="27" w16cid:durableId="160436728">
    <w:abstractNumId w:val="27"/>
  </w:num>
  <w:num w:numId="28" w16cid:durableId="688947136">
    <w:abstractNumId w:val="82"/>
  </w:num>
  <w:num w:numId="29" w16cid:durableId="1738087554">
    <w:abstractNumId w:val="66"/>
  </w:num>
  <w:num w:numId="30" w16cid:durableId="1707170389">
    <w:abstractNumId w:val="37"/>
  </w:num>
  <w:num w:numId="31" w16cid:durableId="198519693">
    <w:abstractNumId w:val="63"/>
  </w:num>
  <w:num w:numId="32" w16cid:durableId="208537916">
    <w:abstractNumId w:val="11"/>
  </w:num>
  <w:num w:numId="33" w16cid:durableId="462969609">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34" w16cid:durableId="499545424">
    <w:abstractNumId w:val="5"/>
    <w:lvlOverride w:ilvl="0">
      <w:lvl w:ilvl="0">
        <w:numFmt w:val="bullet"/>
        <w:lvlText w:val="o"/>
        <w:lvlJc w:val="left"/>
        <w:pPr>
          <w:tabs>
            <w:tab w:val="num" w:pos="720"/>
          </w:tabs>
          <w:ind w:left="720" w:hanging="360"/>
        </w:pPr>
        <w:rPr>
          <w:rFonts w:ascii="Courier New" w:hAnsi="Courier New" w:hint="default"/>
          <w:sz w:val="20"/>
        </w:rPr>
      </w:lvl>
    </w:lvlOverride>
  </w:num>
  <w:num w:numId="35" w16cid:durableId="1231847401">
    <w:abstractNumId w:val="46"/>
  </w:num>
  <w:num w:numId="36" w16cid:durableId="962539642">
    <w:abstractNumId w:val="61"/>
  </w:num>
  <w:num w:numId="37" w16cid:durableId="2113283419">
    <w:abstractNumId w:val="78"/>
  </w:num>
  <w:num w:numId="38" w16cid:durableId="1450851939">
    <w:abstractNumId w:val="24"/>
  </w:num>
  <w:num w:numId="39" w16cid:durableId="207181251">
    <w:abstractNumId w:val="68"/>
  </w:num>
  <w:num w:numId="40" w16cid:durableId="940914394">
    <w:abstractNumId w:val="25"/>
  </w:num>
  <w:num w:numId="41" w16cid:durableId="1118262585">
    <w:abstractNumId w:val="54"/>
  </w:num>
  <w:num w:numId="42" w16cid:durableId="415132745">
    <w:abstractNumId w:val="59"/>
  </w:num>
  <w:num w:numId="43" w16cid:durableId="1698383711">
    <w:abstractNumId w:val="80"/>
  </w:num>
  <w:num w:numId="44" w16cid:durableId="114448583">
    <w:abstractNumId w:val="60"/>
  </w:num>
  <w:num w:numId="45" w16cid:durableId="1714187650">
    <w:abstractNumId w:val="31"/>
  </w:num>
  <w:num w:numId="46" w16cid:durableId="1264461039">
    <w:abstractNumId w:val="67"/>
  </w:num>
  <w:num w:numId="47" w16cid:durableId="89131458">
    <w:abstractNumId w:val="18"/>
  </w:num>
  <w:num w:numId="48" w16cid:durableId="1231116381">
    <w:abstractNumId w:val="15"/>
  </w:num>
  <w:num w:numId="49" w16cid:durableId="1953396667">
    <w:abstractNumId w:val="14"/>
  </w:num>
  <w:num w:numId="50" w16cid:durableId="291330833">
    <w:abstractNumId w:val="34"/>
  </w:num>
  <w:num w:numId="51" w16cid:durableId="471214150">
    <w:abstractNumId w:val="77"/>
  </w:num>
  <w:num w:numId="52" w16cid:durableId="1781101118">
    <w:abstractNumId w:val="55"/>
  </w:num>
  <w:num w:numId="53" w16cid:durableId="765734795">
    <w:abstractNumId w:val="40"/>
  </w:num>
  <w:num w:numId="54" w16cid:durableId="284236702">
    <w:abstractNumId w:val="81"/>
  </w:num>
  <w:num w:numId="55" w16cid:durableId="1914192766">
    <w:abstractNumId w:val="13"/>
  </w:num>
  <w:num w:numId="56" w16cid:durableId="572131378">
    <w:abstractNumId w:val="17"/>
  </w:num>
  <w:num w:numId="57" w16cid:durableId="226494279">
    <w:abstractNumId w:val="65"/>
  </w:num>
  <w:num w:numId="58" w16cid:durableId="1018585594">
    <w:abstractNumId w:val="76"/>
  </w:num>
  <w:num w:numId="59" w16cid:durableId="1186821773">
    <w:abstractNumId w:val="57"/>
  </w:num>
  <w:num w:numId="60" w16cid:durableId="484978377">
    <w:abstractNumId w:val="29"/>
  </w:num>
  <w:num w:numId="61" w16cid:durableId="797454860">
    <w:abstractNumId w:val="50"/>
  </w:num>
  <w:num w:numId="62" w16cid:durableId="1015883080">
    <w:abstractNumId w:val="74"/>
  </w:num>
  <w:num w:numId="63" w16cid:durableId="7562373">
    <w:abstractNumId w:val="9"/>
  </w:num>
  <w:num w:numId="64" w16cid:durableId="434717651">
    <w:abstractNumId w:val="44"/>
  </w:num>
  <w:num w:numId="65" w16cid:durableId="1602058832">
    <w:abstractNumId w:val="19"/>
  </w:num>
  <w:num w:numId="66" w16cid:durableId="609170542">
    <w:abstractNumId w:val="16"/>
  </w:num>
  <w:num w:numId="67" w16cid:durableId="584732817">
    <w:abstractNumId w:val="42"/>
  </w:num>
  <w:num w:numId="68" w16cid:durableId="495418090">
    <w:abstractNumId w:val="38"/>
  </w:num>
  <w:num w:numId="69" w16cid:durableId="1346059278">
    <w:abstractNumId w:val="22"/>
  </w:num>
  <w:num w:numId="70" w16cid:durableId="547686609">
    <w:abstractNumId w:val="12"/>
  </w:num>
  <w:num w:numId="71" w16cid:durableId="1839881166">
    <w:abstractNumId w:val="56"/>
  </w:num>
  <w:num w:numId="72" w16cid:durableId="1824270923">
    <w:abstractNumId w:val="45"/>
  </w:num>
  <w:num w:numId="73" w16cid:durableId="920338138">
    <w:abstractNumId w:val="8"/>
  </w:num>
  <w:num w:numId="74" w16cid:durableId="1172335960">
    <w:abstractNumId w:val="26"/>
  </w:num>
  <w:num w:numId="75" w16cid:durableId="1728338605">
    <w:abstractNumId w:val="64"/>
  </w:num>
  <w:num w:numId="76" w16cid:durableId="23479653">
    <w:abstractNumId w:val="71"/>
  </w:num>
  <w:num w:numId="77" w16cid:durableId="1717511106">
    <w:abstractNumId w:val="79"/>
  </w:num>
  <w:num w:numId="78" w16cid:durableId="1450706381">
    <w:abstractNumId w:val="53"/>
  </w:num>
  <w:num w:numId="79" w16cid:durableId="2038188655">
    <w:abstractNumId w:val="58"/>
  </w:num>
  <w:num w:numId="80" w16cid:durableId="659427975">
    <w:abstractNumId w:val="83"/>
  </w:num>
  <w:num w:numId="81" w16cid:durableId="1468280586">
    <w:abstractNumId w:val="35"/>
  </w:num>
  <w:num w:numId="82" w16cid:durableId="505480918">
    <w:abstractNumId w:val="73"/>
  </w:num>
  <w:num w:numId="83" w16cid:durableId="1906841913">
    <w:abstractNumId w:val="52"/>
  </w:num>
  <w:num w:numId="84" w16cid:durableId="853617624">
    <w:abstractNumId w:val="51"/>
  </w:num>
  <w:num w:numId="85" w16cid:durableId="1681469108">
    <w:abstractNumId w:val="72"/>
  </w:num>
  <w:numIdMacAtCleanup w:val="8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firBtYMfk2FhRNNg5+mhiuXoGELr5RILHxYkocq3RSuQ73nPUIXjw/9IzwVWEzUoUB/Q7AH+4AXGKg5CAMofpg==" w:salt="IeRST2MIUGfolzxAMqiRoA=="/>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BD2E2C"/>
    <w:rsid w:val="00005161"/>
    <w:rsid w:val="000052B0"/>
    <w:rsid w:val="0000533E"/>
    <w:rsid w:val="00005BA9"/>
    <w:rsid w:val="00010689"/>
    <w:rsid w:val="0001410C"/>
    <w:rsid w:val="00014773"/>
    <w:rsid w:val="00015717"/>
    <w:rsid w:val="00016CF8"/>
    <w:rsid w:val="000175CE"/>
    <w:rsid w:val="000234FC"/>
    <w:rsid w:val="000239AF"/>
    <w:rsid w:val="00025008"/>
    <w:rsid w:val="0002672D"/>
    <w:rsid w:val="00027706"/>
    <w:rsid w:val="000302F6"/>
    <w:rsid w:val="00035459"/>
    <w:rsid w:val="00037982"/>
    <w:rsid w:val="0004314E"/>
    <w:rsid w:val="000506B8"/>
    <w:rsid w:val="00051EF9"/>
    <w:rsid w:val="00052641"/>
    <w:rsid w:val="00054D42"/>
    <w:rsid w:val="00055FAC"/>
    <w:rsid w:val="00061BBE"/>
    <w:rsid w:val="0006239A"/>
    <w:rsid w:val="000623E0"/>
    <w:rsid w:val="000637F0"/>
    <w:rsid w:val="00064021"/>
    <w:rsid w:val="00064C74"/>
    <w:rsid w:val="00066D95"/>
    <w:rsid w:val="00070BB2"/>
    <w:rsid w:val="00072B81"/>
    <w:rsid w:val="000738EC"/>
    <w:rsid w:val="000744F8"/>
    <w:rsid w:val="00074896"/>
    <w:rsid w:val="00083FA3"/>
    <w:rsid w:val="00084199"/>
    <w:rsid w:val="00085556"/>
    <w:rsid w:val="000857C3"/>
    <w:rsid w:val="00087FE7"/>
    <w:rsid w:val="00091B64"/>
    <w:rsid w:val="00091EE3"/>
    <w:rsid w:val="000937C7"/>
    <w:rsid w:val="00094B37"/>
    <w:rsid w:val="000955F2"/>
    <w:rsid w:val="000A0BF1"/>
    <w:rsid w:val="000A15FE"/>
    <w:rsid w:val="000A30D2"/>
    <w:rsid w:val="000A49BC"/>
    <w:rsid w:val="000B051F"/>
    <w:rsid w:val="000B25B9"/>
    <w:rsid w:val="000B3353"/>
    <w:rsid w:val="000B4261"/>
    <w:rsid w:val="000B6230"/>
    <w:rsid w:val="000C1652"/>
    <w:rsid w:val="000C48CF"/>
    <w:rsid w:val="000D444F"/>
    <w:rsid w:val="000E10C6"/>
    <w:rsid w:val="000E208C"/>
    <w:rsid w:val="000F0DC1"/>
    <w:rsid w:val="000F285D"/>
    <w:rsid w:val="00107E3C"/>
    <w:rsid w:val="00110AD0"/>
    <w:rsid w:val="00114A8B"/>
    <w:rsid w:val="00117FA7"/>
    <w:rsid w:val="00121BD4"/>
    <w:rsid w:val="001235AA"/>
    <w:rsid w:val="00130B8B"/>
    <w:rsid w:val="00132CD6"/>
    <w:rsid w:val="00133163"/>
    <w:rsid w:val="00134A25"/>
    <w:rsid w:val="0014054B"/>
    <w:rsid w:val="00140986"/>
    <w:rsid w:val="0014347D"/>
    <w:rsid w:val="0014496F"/>
    <w:rsid w:val="001459B6"/>
    <w:rsid w:val="00146BDE"/>
    <w:rsid w:val="00150E96"/>
    <w:rsid w:val="00153B98"/>
    <w:rsid w:val="001558B5"/>
    <w:rsid w:val="0015756F"/>
    <w:rsid w:val="00161EA2"/>
    <w:rsid w:val="00162462"/>
    <w:rsid w:val="00165DC3"/>
    <w:rsid w:val="001663B5"/>
    <w:rsid w:val="00166BA6"/>
    <w:rsid w:val="00167713"/>
    <w:rsid w:val="00170F2E"/>
    <w:rsid w:val="00174707"/>
    <w:rsid w:val="00174CC8"/>
    <w:rsid w:val="00174CE0"/>
    <w:rsid w:val="00183343"/>
    <w:rsid w:val="00186503"/>
    <w:rsid w:val="00197C9E"/>
    <w:rsid w:val="001A4E70"/>
    <w:rsid w:val="001A649B"/>
    <w:rsid w:val="001B187D"/>
    <w:rsid w:val="001B4169"/>
    <w:rsid w:val="001B5418"/>
    <w:rsid w:val="001B765D"/>
    <w:rsid w:val="001C03FB"/>
    <w:rsid w:val="001C2061"/>
    <w:rsid w:val="001C39FA"/>
    <w:rsid w:val="001C6977"/>
    <w:rsid w:val="001C77FE"/>
    <w:rsid w:val="001D0DA9"/>
    <w:rsid w:val="001D2EFC"/>
    <w:rsid w:val="001D5419"/>
    <w:rsid w:val="001D6372"/>
    <w:rsid w:val="001E1A9E"/>
    <w:rsid w:val="001E440D"/>
    <w:rsid w:val="001F15C3"/>
    <w:rsid w:val="001F2368"/>
    <w:rsid w:val="001F613A"/>
    <w:rsid w:val="00203E21"/>
    <w:rsid w:val="0020784B"/>
    <w:rsid w:val="00207C28"/>
    <w:rsid w:val="00213637"/>
    <w:rsid w:val="00213F9B"/>
    <w:rsid w:val="00222B72"/>
    <w:rsid w:val="002236EF"/>
    <w:rsid w:val="00224BC4"/>
    <w:rsid w:val="00225564"/>
    <w:rsid w:val="0022658A"/>
    <w:rsid w:val="00230C35"/>
    <w:rsid w:val="0023156F"/>
    <w:rsid w:val="00231BFF"/>
    <w:rsid w:val="00231E0A"/>
    <w:rsid w:val="002328CA"/>
    <w:rsid w:val="002329FF"/>
    <w:rsid w:val="00233A88"/>
    <w:rsid w:val="002346E1"/>
    <w:rsid w:val="00237B44"/>
    <w:rsid w:val="0024012F"/>
    <w:rsid w:val="0024028E"/>
    <w:rsid w:val="0024303C"/>
    <w:rsid w:val="00244D5E"/>
    <w:rsid w:val="00244DA6"/>
    <w:rsid w:val="00247657"/>
    <w:rsid w:val="00256315"/>
    <w:rsid w:val="0025672E"/>
    <w:rsid w:val="002621F3"/>
    <w:rsid w:val="002625E1"/>
    <w:rsid w:val="00262FAF"/>
    <w:rsid w:val="00264F48"/>
    <w:rsid w:val="002650C5"/>
    <w:rsid w:val="00265395"/>
    <w:rsid w:val="00267ED5"/>
    <w:rsid w:val="00272ECA"/>
    <w:rsid w:val="00273DFD"/>
    <w:rsid w:val="00276234"/>
    <w:rsid w:val="00291124"/>
    <w:rsid w:val="00292C8A"/>
    <w:rsid w:val="00296B57"/>
    <w:rsid w:val="002970E3"/>
    <w:rsid w:val="002A0FA0"/>
    <w:rsid w:val="002A1235"/>
    <w:rsid w:val="002A722F"/>
    <w:rsid w:val="002B1C27"/>
    <w:rsid w:val="002B324B"/>
    <w:rsid w:val="002B77F7"/>
    <w:rsid w:val="002B7B16"/>
    <w:rsid w:val="002C19CD"/>
    <w:rsid w:val="002C1CC8"/>
    <w:rsid w:val="002C250C"/>
    <w:rsid w:val="002C4736"/>
    <w:rsid w:val="002C6421"/>
    <w:rsid w:val="002C67F1"/>
    <w:rsid w:val="002D0F5B"/>
    <w:rsid w:val="002D158B"/>
    <w:rsid w:val="002D28EF"/>
    <w:rsid w:val="002D2C27"/>
    <w:rsid w:val="002D2E14"/>
    <w:rsid w:val="002D30A5"/>
    <w:rsid w:val="002E0EC2"/>
    <w:rsid w:val="002E1124"/>
    <w:rsid w:val="002E23B9"/>
    <w:rsid w:val="002E3391"/>
    <w:rsid w:val="002E33A4"/>
    <w:rsid w:val="002E4652"/>
    <w:rsid w:val="002F0DCE"/>
    <w:rsid w:val="002F2730"/>
    <w:rsid w:val="002F3E52"/>
    <w:rsid w:val="002F3E91"/>
    <w:rsid w:val="002F3E9A"/>
    <w:rsid w:val="002F4C38"/>
    <w:rsid w:val="002F6E9E"/>
    <w:rsid w:val="00304461"/>
    <w:rsid w:val="003063E5"/>
    <w:rsid w:val="003070A6"/>
    <w:rsid w:val="0031125E"/>
    <w:rsid w:val="00311E47"/>
    <w:rsid w:val="003124AA"/>
    <w:rsid w:val="00314D94"/>
    <w:rsid w:val="00315776"/>
    <w:rsid w:val="0031621F"/>
    <w:rsid w:val="003169F8"/>
    <w:rsid w:val="00320F58"/>
    <w:rsid w:val="00321791"/>
    <w:rsid w:val="00321F26"/>
    <w:rsid w:val="0032BC82"/>
    <w:rsid w:val="0033565A"/>
    <w:rsid w:val="0033608D"/>
    <w:rsid w:val="00336E71"/>
    <w:rsid w:val="00337D43"/>
    <w:rsid w:val="00347A74"/>
    <w:rsid w:val="003512EB"/>
    <w:rsid w:val="003541BA"/>
    <w:rsid w:val="00354DFA"/>
    <w:rsid w:val="00356F5D"/>
    <w:rsid w:val="003610E9"/>
    <w:rsid w:val="0036170B"/>
    <w:rsid w:val="00361F9B"/>
    <w:rsid w:val="003630AF"/>
    <w:rsid w:val="0036541B"/>
    <w:rsid w:val="0036699F"/>
    <w:rsid w:val="00366F09"/>
    <w:rsid w:val="00371C1E"/>
    <w:rsid w:val="00372232"/>
    <w:rsid w:val="003803FF"/>
    <w:rsid w:val="00387792"/>
    <w:rsid w:val="00393342"/>
    <w:rsid w:val="00394E95"/>
    <w:rsid w:val="003A0458"/>
    <w:rsid w:val="003A0DB7"/>
    <w:rsid w:val="003A3968"/>
    <w:rsid w:val="003A5A37"/>
    <w:rsid w:val="003A7BC5"/>
    <w:rsid w:val="003B1D74"/>
    <w:rsid w:val="003C0081"/>
    <w:rsid w:val="003C2B41"/>
    <w:rsid w:val="003C2E15"/>
    <w:rsid w:val="003C5E39"/>
    <w:rsid w:val="003C7944"/>
    <w:rsid w:val="003D17A2"/>
    <w:rsid w:val="003D27CD"/>
    <w:rsid w:val="003D4270"/>
    <w:rsid w:val="003D5A40"/>
    <w:rsid w:val="003D5CF1"/>
    <w:rsid w:val="003D76A3"/>
    <w:rsid w:val="003F2F53"/>
    <w:rsid w:val="00400AA2"/>
    <w:rsid w:val="00400FA2"/>
    <w:rsid w:val="00401C48"/>
    <w:rsid w:val="00402C31"/>
    <w:rsid w:val="0040528E"/>
    <w:rsid w:val="004111F2"/>
    <w:rsid w:val="004234AE"/>
    <w:rsid w:val="00424CE5"/>
    <w:rsid w:val="004266FC"/>
    <w:rsid w:val="00426E81"/>
    <w:rsid w:val="00430CC7"/>
    <w:rsid w:val="0043241E"/>
    <w:rsid w:val="00433307"/>
    <w:rsid w:val="0043359D"/>
    <w:rsid w:val="00434812"/>
    <w:rsid w:val="00441C1F"/>
    <w:rsid w:val="004420A6"/>
    <w:rsid w:val="004501B0"/>
    <w:rsid w:val="004502A1"/>
    <w:rsid w:val="00452040"/>
    <w:rsid w:val="0045CC31"/>
    <w:rsid w:val="004602C8"/>
    <w:rsid w:val="004643EC"/>
    <w:rsid w:val="00471018"/>
    <w:rsid w:val="00475B79"/>
    <w:rsid w:val="00481DA2"/>
    <w:rsid w:val="00483DC4"/>
    <w:rsid w:val="004853C0"/>
    <w:rsid w:val="00487076"/>
    <w:rsid w:val="004A059C"/>
    <w:rsid w:val="004A138B"/>
    <w:rsid w:val="004A1BEA"/>
    <w:rsid w:val="004B0B1D"/>
    <w:rsid w:val="004B0B5A"/>
    <w:rsid w:val="004B196F"/>
    <w:rsid w:val="004B1B58"/>
    <w:rsid w:val="004B1E23"/>
    <w:rsid w:val="004B3BB1"/>
    <w:rsid w:val="004B423B"/>
    <w:rsid w:val="004B4BDE"/>
    <w:rsid w:val="004B69D3"/>
    <w:rsid w:val="004B6C7E"/>
    <w:rsid w:val="004B7C86"/>
    <w:rsid w:val="004C2DE0"/>
    <w:rsid w:val="004C4D0B"/>
    <w:rsid w:val="004C66C1"/>
    <w:rsid w:val="004C7112"/>
    <w:rsid w:val="004D6D25"/>
    <w:rsid w:val="004E7EA5"/>
    <w:rsid w:val="004F31C5"/>
    <w:rsid w:val="004F7215"/>
    <w:rsid w:val="004F7D72"/>
    <w:rsid w:val="005018C5"/>
    <w:rsid w:val="005028EE"/>
    <w:rsid w:val="00502A08"/>
    <w:rsid w:val="00506D53"/>
    <w:rsid w:val="005075C8"/>
    <w:rsid w:val="00510BCA"/>
    <w:rsid w:val="00511139"/>
    <w:rsid w:val="005117C6"/>
    <w:rsid w:val="00516C24"/>
    <w:rsid w:val="00516CF5"/>
    <w:rsid w:val="00517094"/>
    <w:rsid w:val="00522ED3"/>
    <w:rsid w:val="005312E8"/>
    <w:rsid w:val="0053361D"/>
    <w:rsid w:val="00533C79"/>
    <w:rsid w:val="00537DA5"/>
    <w:rsid w:val="00543049"/>
    <w:rsid w:val="00552A2F"/>
    <w:rsid w:val="00555BB6"/>
    <w:rsid w:val="00561345"/>
    <w:rsid w:val="0056162A"/>
    <w:rsid w:val="00561941"/>
    <w:rsid w:val="005627D0"/>
    <w:rsid w:val="005670AD"/>
    <w:rsid w:val="0057195C"/>
    <w:rsid w:val="00572160"/>
    <w:rsid w:val="005765D8"/>
    <w:rsid w:val="0057739F"/>
    <w:rsid w:val="0058257E"/>
    <w:rsid w:val="005847C4"/>
    <w:rsid w:val="00585FAC"/>
    <w:rsid w:val="005A603E"/>
    <w:rsid w:val="005B1D64"/>
    <w:rsid w:val="005B2486"/>
    <w:rsid w:val="005B3A8A"/>
    <w:rsid w:val="005C4BB4"/>
    <w:rsid w:val="005C5DEE"/>
    <w:rsid w:val="005C62A7"/>
    <w:rsid w:val="005E0CF9"/>
    <w:rsid w:val="005E273F"/>
    <w:rsid w:val="005E30C1"/>
    <w:rsid w:val="005F12B6"/>
    <w:rsid w:val="005F2A64"/>
    <w:rsid w:val="005F39FA"/>
    <w:rsid w:val="005F4D41"/>
    <w:rsid w:val="005F5997"/>
    <w:rsid w:val="00600ED9"/>
    <w:rsid w:val="00602D55"/>
    <w:rsid w:val="00605612"/>
    <w:rsid w:val="0061070F"/>
    <w:rsid w:val="006112E8"/>
    <w:rsid w:val="00611CBF"/>
    <w:rsid w:val="00612F10"/>
    <w:rsid w:val="0061421B"/>
    <w:rsid w:val="006150C0"/>
    <w:rsid w:val="00621AAC"/>
    <w:rsid w:val="00621CC8"/>
    <w:rsid w:val="00623436"/>
    <w:rsid w:val="00623EB4"/>
    <w:rsid w:val="00624125"/>
    <w:rsid w:val="006245DC"/>
    <w:rsid w:val="00624B53"/>
    <w:rsid w:val="00624E7E"/>
    <w:rsid w:val="00631BAD"/>
    <w:rsid w:val="00633837"/>
    <w:rsid w:val="006372FC"/>
    <w:rsid w:val="00645E8E"/>
    <w:rsid w:val="00646CD1"/>
    <w:rsid w:val="00654972"/>
    <w:rsid w:val="00660577"/>
    <w:rsid w:val="00661E67"/>
    <w:rsid w:val="0066344B"/>
    <w:rsid w:val="00663E69"/>
    <w:rsid w:val="00666F87"/>
    <w:rsid w:val="006673CA"/>
    <w:rsid w:val="006714A5"/>
    <w:rsid w:val="006720AE"/>
    <w:rsid w:val="006723D4"/>
    <w:rsid w:val="00674573"/>
    <w:rsid w:val="00677DD3"/>
    <w:rsid w:val="00681E5D"/>
    <w:rsid w:val="006821A2"/>
    <w:rsid w:val="00685020"/>
    <w:rsid w:val="00691A3E"/>
    <w:rsid w:val="00691BAE"/>
    <w:rsid w:val="00691BED"/>
    <w:rsid w:val="00691E7E"/>
    <w:rsid w:val="00695657"/>
    <w:rsid w:val="0069716E"/>
    <w:rsid w:val="006A0726"/>
    <w:rsid w:val="006A1095"/>
    <w:rsid w:val="006A2D6E"/>
    <w:rsid w:val="006A501E"/>
    <w:rsid w:val="006A6363"/>
    <w:rsid w:val="006A7E8F"/>
    <w:rsid w:val="006B1F4D"/>
    <w:rsid w:val="006B4CB6"/>
    <w:rsid w:val="006B5EEE"/>
    <w:rsid w:val="006C1B18"/>
    <w:rsid w:val="006C3B45"/>
    <w:rsid w:val="006D498E"/>
    <w:rsid w:val="006D534C"/>
    <w:rsid w:val="006D62C7"/>
    <w:rsid w:val="006D64C7"/>
    <w:rsid w:val="006D6741"/>
    <w:rsid w:val="006E1221"/>
    <w:rsid w:val="006E20F5"/>
    <w:rsid w:val="006E75DC"/>
    <w:rsid w:val="006F165D"/>
    <w:rsid w:val="00701B8B"/>
    <w:rsid w:val="00705CA2"/>
    <w:rsid w:val="00710FC2"/>
    <w:rsid w:val="0071178A"/>
    <w:rsid w:val="00715CE6"/>
    <w:rsid w:val="00720D0F"/>
    <w:rsid w:val="00720FBC"/>
    <w:rsid w:val="00723C0F"/>
    <w:rsid w:val="007256CE"/>
    <w:rsid w:val="00725DFE"/>
    <w:rsid w:val="00726013"/>
    <w:rsid w:val="00726BC0"/>
    <w:rsid w:val="00731AD1"/>
    <w:rsid w:val="0073200E"/>
    <w:rsid w:val="00732DF8"/>
    <w:rsid w:val="00733FC9"/>
    <w:rsid w:val="00734BEF"/>
    <w:rsid w:val="007369FB"/>
    <w:rsid w:val="00740013"/>
    <w:rsid w:val="00742127"/>
    <w:rsid w:val="00743917"/>
    <w:rsid w:val="00744FAB"/>
    <w:rsid w:val="007454EF"/>
    <w:rsid w:val="007463B2"/>
    <w:rsid w:val="00747922"/>
    <w:rsid w:val="00747FCE"/>
    <w:rsid w:val="00752198"/>
    <w:rsid w:val="00752D23"/>
    <w:rsid w:val="00753226"/>
    <w:rsid w:val="00754315"/>
    <w:rsid w:val="00766AEF"/>
    <w:rsid w:val="0077061A"/>
    <w:rsid w:val="0077304C"/>
    <w:rsid w:val="00773852"/>
    <w:rsid w:val="00782984"/>
    <w:rsid w:val="00783F87"/>
    <w:rsid w:val="00786FBE"/>
    <w:rsid w:val="007877BC"/>
    <w:rsid w:val="00792F23"/>
    <w:rsid w:val="00793076"/>
    <w:rsid w:val="00793440"/>
    <w:rsid w:val="007953AC"/>
    <w:rsid w:val="00795D9E"/>
    <w:rsid w:val="007A19A7"/>
    <w:rsid w:val="007A2D60"/>
    <w:rsid w:val="007A6A35"/>
    <w:rsid w:val="007B2E61"/>
    <w:rsid w:val="007C26FD"/>
    <w:rsid w:val="007C3AC5"/>
    <w:rsid w:val="007D3430"/>
    <w:rsid w:val="007E0415"/>
    <w:rsid w:val="007E5AFF"/>
    <w:rsid w:val="007E61B0"/>
    <w:rsid w:val="00800156"/>
    <w:rsid w:val="00800C40"/>
    <w:rsid w:val="00800C72"/>
    <w:rsid w:val="00801D46"/>
    <w:rsid w:val="00802882"/>
    <w:rsid w:val="008040A2"/>
    <w:rsid w:val="00804DE1"/>
    <w:rsid w:val="008053B0"/>
    <w:rsid w:val="00807C88"/>
    <w:rsid w:val="00807EA3"/>
    <w:rsid w:val="00812998"/>
    <w:rsid w:val="008133D4"/>
    <w:rsid w:val="008143C0"/>
    <w:rsid w:val="00817CAD"/>
    <w:rsid w:val="00820334"/>
    <w:rsid w:val="008227C9"/>
    <w:rsid w:val="00827372"/>
    <w:rsid w:val="00833A8C"/>
    <w:rsid w:val="00837172"/>
    <w:rsid w:val="008377F1"/>
    <w:rsid w:val="0084477A"/>
    <w:rsid w:val="00851394"/>
    <w:rsid w:val="00852608"/>
    <w:rsid w:val="00853CF5"/>
    <w:rsid w:val="00854A5C"/>
    <w:rsid w:val="00855DDC"/>
    <w:rsid w:val="00856EF4"/>
    <w:rsid w:val="00861AC1"/>
    <w:rsid w:val="00861CFD"/>
    <w:rsid w:val="00862BE2"/>
    <w:rsid w:val="00863B53"/>
    <w:rsid w:val="00864CA2"/>
    <w:rsid w:val="00866E72"/>
    <w:rsid w:val="008674B9"/>
    <w:rsid w:val="008734FD"/>
    <w:rsid w:val="00875CEE"/>
    <w:rsid w:val="0088025E"/>
    <w:rsid w:val="00883BF7"/>
    <w:rsid w:val="008904B2"/>
    <w:rsid w:val="008A428B"/>
    <w:rsid w:val="008B039E"/>
    <w:rsid w:val="008B3F71"/>
    <w:rsid w:val="008B4152"/>
    <w:rsid w:val="008B504B"/>
    <w:rsid w:val="008B527E"/>
    <w:rsid w:val="008C5D23"/>
    <w:rsid w:val="008D0C8F"/>
    <w:rsid w:val="008D0F0D"/>
    <w:rsid w:val="008D54D8"/>
    <w:rsid w:val="008D5B04"/>
    <w:rsid w:val="008D7E35"/>
    <w:rsid w:val="008E11C6"/>
    <w:rsid w:val="008E27A3"/>
    <w:rsid w:val="008E3754"/>
    <w:rsid w:val="00910341"/>
    <w:rsid w:val="009112B7"/>
    <w:rsid w:val="00914B3B"/>
    <w:rsid w:val="00914DEC"/>
    <w:rsid w:val="00914EA7"/>
    <w:rsid w:val="009166C2"/>
    <w:rsid w:val="0092188B"/>
    <w:rsid w:val="00921E0E"/>
    <w:rsid w:val="0092554C"/>
    <w:rsid w:val="009255E1"/>
    <w:rsid w:val="00925A07"/>
    <w:rsid w:val="009329EC"/>
    <w:rsid w:val="00941A5B"/>
    <w:rsid w:val="009429F7"/>
    <w:rsid w:val="0094688E"/>
    <w:rsid w:val="009510FA"/>
    <w:rsid w:val="00953192"/>
    <w:rsid w:val="009557C3"/>
    <w:rsid w:val="00964431"/>
    <w:rsid w:val="00973CB5"/>
    <w:rsid w:val="00974956"/>
    <w:rsid w:val="00975143"/>
    <w:rsid w:val="00976940"/>
    <w:rsid w:val="0097700D"/>
    <w:rsid w:val="00977670"/>
    <w:rsid w:val="00977A3D"/>
    <w:rsid w:val="00981EEC"/>
    <w:rsid w:val="0098395F"/>
    <w:rsid w:val="00983C06"/>
    <w:rsid w:val="0098706C"/>
    <w:rsid w:val="00990EF7"/>
    <w:rsid w:val="009975DB"/>
    <w:rsid w:val="009978C2"/>
    <w:rsid w:val="009978D7"/>
    <w:rsid w:val="009A3B6A"/>
    <w:rsid w:val="009A5777"/>
    <w:rsid w:val="009A5EA7"/>
    <w:rsid w:val="009A6296"/>
    <w:rsid w:val="009A63A9"/>
    <w:rsid w:val="009B09DA"/>
    <w:rsid w:val="009B381A"/>
    <w:rsid w:val="009B41CC"/>
    <w:rsid w:val="009B48B7"/>
    <w:rsid w:val="009B795F"/>
    <w:rsid w:val="009C127B"/>
    <w:rsid w:val="009C4CC3"/>
    <w:rsid w:val="009D1CBC"/>
    <w:rsid w:val="009D1E8E"/>
    <w:rsid w:val="009D2277"/>
    <w:rsid w:val="009D67A6"/>
    <w:rsid w:val="009E703B"/>
    <w:rsid w:val="009E7DAA"/>
    <w:rsid w:val="009F5E7E"/>
    <w:rsid w:val="009F6DC2"/>
    <w:rsid w:val="009F7251"/>
    <w:rsid w:val="00A0344A"/>
    <w:rsid w:val="00A03B5C"/>
    <w:rsid w:val="00A0763A"/>
    <w:rsid w:val="00A126DB"/>
    <w:rsid w:val="00A13FDC"/>
    <w:rsid w:val="00A1428D"/>
    <w:rsid w:val="00A14735"/>
    <w:rsid w:val="00A17A21"/>
    <w:rsid w:val="00A22028"/>
    <w:rsid w:val="00A24EF5"/>
    <w:rsid w:val="00A257FD"/>
    <w:rsid w:val="00A25D43"/>
    <w:rsid w:val="00A31FAF"/>
    <w:rsid w:val="00A338D9"/>
    <w:rsid w:val="00A33BCC"/>
    <w:rsid w:val="00A4363B"/>
    <w:rsid w:val="00A44913"/>
    <w:rsid w:val="00A50238"/>
    <w:rsid w:val="00A50699"/>
    <w:rsid w:val="00A5242D"/>
    <w:rsid w:val="00A5437B"/>
    <w:rsid w:val="00A56025"/>
    <w:rsid w:val="00A56603"/>
    <w:rsid w:val="00A57F0E"/>
    <w:rsid w:val="00A61B0A"/>
    <w:rsid w:val="00A73EDB"/>
    <w:rsid w:val="00A76094"/>
    <w:rsid w:val="00A76540"/>
    <w:rsid w:val="00A77BA8"/>
    <w:rsid w:val="00A82B60"/>
    <w:rsid w:val="00A853A6"/>
    <w:rsid w:val="00A90E53"/>
    <w:rsid w:val="00A93665"/>
    <w:rsid w:val="00A948EA"/>
    <w:rsid w:val="00A963C1"/>
    <w:rsid w:val="00AA0243"/>
    <w:rsid w:val="00AA1481"/>
    <w:rsid w:val="00AA308F"/>
    <w:rsid w:val="00AA3CEA"/>
    <w:rsid w:val="00AA79E2"/>
    <w:rsid w:val="00AB1D24"/>
    <w:rsid w:val="00AB6053"/>
    <w:rsid w:val="00AB60D9"/>
    <w:rsid w:val="00AB6CD3"/>
    <w:rsid w:val="00AC31F3"/>
    <w:rsid w:val="00AC336C"/>
    <w:rsid w:val="00AC3D0F"/>
    <w:rsid w:val="00AC417B"/>
    <w:rsid w:val="00AC4BA5"/>
    <w:rsid w:val="00AC652E"/>
    <w:rsid w:val="00AC67EC"/>
    <w:rsid w:val="00AD2AAD"/>
    <w:rsid w:val="00AD3D9D"/>
    <w:rsid w:val="00AD5507"/>
    <w:rsid w:val="00AD5761"/>
    <w:rsid w:val="00AD694E"/>
    <w:rsid w:val="00AE1755"/>
    <w:rsid w:val="00AE2703"/>
    <w:rsid w:val="00AE4E37"/>
    <w:rsid w:val="00AE75A3"/>
    <w:rsid w:val="00AE7B83"/>
    <w:rsid w:val="00AF014E"/>
    <w:rsid w:val="00AF068F"/>
    <w:rsid w:val="00AF1353"/>
    <w:rsid w:val="00AF3BA8"/>
    <w:rsid w:val="00B006A7"/>
    <w:rsid w:val="00B051EB"/>
    <w:rsid w:val="00B06871"/>
    <w:rsid w:val="00B071B2"/>
    <w:rsid w:val="00B0781C"/>
    <w:rsid w:val="00B112CB"/>
    <w:rsid w:val="00B1186B"/>
    <w:rsid w:val="00B1326D"/>
    <w:rsid w:val="00B133D5"/>
    <w:rsid w:val="00B14D5C"/>
    <w:rsid w:val="00B15CD6"/>
    <w:rsid w:val="00B16EBE"/>
    <w:rsid w:val="00B2283A"/>
    <w:rsid w:val="00B23DCE"/>
    <w:rsid w:val="00B262F4"/>
    <w:rsid w:val="00B26E10"/>
    <w:rsid w:val="00B32060"/>
    <w:rsid w:val="00B32313"/>
    <w:rsid w:val="00B34D12"/>
    <w:rsid w:val="00B3680C"/>
    <w:rsid w:val="00B40D7B"/>
    <w:rsid w:val="00B40F5C"/>
    <w:rsid w:val="00B43870"/>
    <w:rsid w:val="00B461BE"/>
    <w:rsid w:val="00B47570"/>
    <w:rsid w:val="00B517DA"/>
    <w:rsid w:val="00B5346E"/>
    <w:rsid w:val="00B57B20"/>
    <w:rsid w:val="00B61483"/>
    <w:rsid w:val="00B71038"/>
    <w:rsid w:val="00B73447"/>
    <w:rsid w:val="00B7344E"/>
    <w:rsid w:val="00B736CB"/>
    <w:rsid w:val="00B7443D"/>
    <w:rsid w:val="00B813E5"/>
    <w:rsid w:val="00B82C2C"/>
    <w:rsid w:val="00B82EFD"/>
    <w:rsid w:val="00B83DBC"/>
    <w:rsid w:val="00B93F72"/>
    <w:rsid w:val="00B96002"/>
    <w:rsid w:val="00B965A0"/>
    <w:rsid w:val="00B9734A"/>
    <w:rsid w:val="00B973CA"/>
    <w:rsid w:val="00BA5811"/>
    <w:rsid w:val="00BA622E"/>
    <w:rsid w:val="00BA7E2E"/>
    <w:rsid w:val="00BA7EFA"/>
    <w:rsid w:val="00BB26E7"/>
    <w:rsid w:val="00BB6231"/>
    <w:rsid w:val="00BB7747"/>
    <w:rsid w:val="00BB7826"/>
    <w:rsid w:val="00BC098C"/>
    <w:rsid w:val="00BC5A6B"/>
    <w:rsid w:val="00BC6427"/>
    <w:rsid w:val="00BC6937"/>
    <w:rsid w:val="00BC6B82"/>
    <w:rsid w:val="00BC7739"/>
    <w:rsid w:val="00BD1003"/>
    <w:rsid w:val="00BD1AC1"/>
    <w:rsid w:val="00BD2E2C"/>
    <w:rsid w:val="00BD2E34"/>
    <w:rsid w:val="00BD45C7"/>
    <w:rsid w:val="00BD55D0"/>
    <w:rsid w:val="00BD7CB3"/>
    <w:rsid w:val="00BE145A"/>
    <w:rsid w:val="00BF3E4B"/>
    <w:rsid w:val="00BF4DAB"/>
    <w:rsid w:val="00BF71DE"/>
    <w:rsid w:val="00C04A69"/>
    <w:rsid w:val="00C04C79"/>
    <w:rsid w:val="00C056E2"/>
    <w:rsid w:val="00C057F5"/>
    <w:rsid w:val="00C10946"/>
    <w:rsid w:val="00C13707"/>
    <w:rsid w:val="00C13CA5"/>
    <w:rsid w:val="00C14C24"/>
    <w:rsid w:val="00C14F66"/>
    <w:rsid w:val="00C16A87"/>
    <w:rsid w:val="00C2078B"/>
    <w:rsid w:val="00C21ECB"/>
    <w:rsid w:val="00C234C3"/>
    <w:rsid w:val="00C23F62"/>
    <w:rsid w:val="00C25E74"/>
    <w:rsid w:val="00C26F62"/>
    <w:rsid w:val="00C300F3"/>
    <w:rsid w:val="00C312C2"/>
    <w:rsid w:val="00C31A3F"/>
    <w:rsid w:val="00C31E8A"/>
    <w:rsid w:val="00C328FA"/>
    <w:rsid w:val="00C329C0"/>
    <w:rsid w:val="00C3401B"/>
    <w:rsid w:val="00C367D9"/>
    <w:rsid w:val="00C43137"/>
    <w:rsid w:val="00C43711"/>
    <w:rsid w:val="00C4413F"/>
    <w:rsid w:val="00C4465F"/>
    <w:rsid w:val="00C465EC"/>
    <w:rsid w:val="00C468C2"/>
    <w:rsid w:val="00C55A68"/>
    <w:rsid w:val="00C56BA9"/>
    <w:rsid w:val="00C56DCA"/>
    <w:rsid w:val="00C57BF2"/>
    <w:rsid w:val="00C61359"/>
    <w:rsid w:val="00C6389F"/>
    <w:rsid w:val="00C6698B"/>
    <w:rsid w:val="00C66B7D"/>
    <w:rsid w:val="00C70366"/>
    <w:rsid w:val="00C70D0D"/>
    <w:rsid w:val="00C70F6B"/>
    <w:rsid w:val="00C75179"/>
    <w:rsid w:val="00C814C0"/>
    <w:rsid w:val="00C8198E"/>
    <w:rsid w:val="00C84469"/>
    <w:rsid w:val="00C85435"/>
    <w:rsid w:val="00C8620F"/>
    <w:rsid w:val="00C86D0A"/>
    <w:rsid w:val="00C86DBB"/>
    <w:rsid w:val="00C9036F"/>
    <w:rsid w:val="00C92F3A"/>
    <w:rsid w:val="00CA11BE"/>
    <w:rsid w:val="00CA3133"/>
    <w:rsid w:val="00CA46A4"/>
    <w:rsid w:val="00CB2A67"/>
    <w:rsid w:val="00CC1505"/>
    <w:rsid w:val="00CC3540"/>
    <w:rsid w:val="00CC4736"/>
    <w:rsid w:val="00CC480E"/>
    <w:rsid w:val="00CC4854"/>
    <w:rsid w:val="00CC6D59"/>
    <w:rsid w:val="00CD0620"/>
    <w:rsid w:val="00CD36CD"/>
    <w:rsid w:val="00CD4085"/>
    <w:rsid w:val="00CD460D"/>
    <w:rsid w:val="00CD56A2"/>
    <w:rsid w:val="00CD7F7C"/>
    <w:rsid w:val="00CE02A6"/>
    <w:rsid w:val="00CE5343"/>
    <w:rsid w:val="00CF106D"/>
    <w:rsid w:val="00CF2255"/>
    <w:rsid w:val="00CF35D6"/>
    <w:rsid w:val="00CF439F"/>
    <w:rsid w:val="00CF4493"/>
    <w:rsid w:val="00D00CEF"/>
    <w:rsid w:val="00D01265"/>
    <w:rsid w:val="00D0147B"/>
    <w:rsid w:val="00D02A83"/>
    <w:rsid w:val="00D0489F"/>
    <w:rsid w:val="00D05E6B"/>
    <w:rsid w:val="00D17A59"/>
    <w:rsid w:val="00D17A66"/>
    <w:rsid w:val="00D17B94"/>
    <w:rsid w:val="00D20EFD"/>
    <w:rsid w:val="00D235BF"/>
    <w:rsid w:val="00D2599E"/>
    <w:rsid w:val="00D27C14"/>
    <w:rsid w:val="00D327BA"/>
    <w:rsid w:val="00D35032"/>
    <w:rsid w:val="00D37CCB"/>
    <w:rsid w:val="00D405B2"/>
    <w:rsid w:val="00D424E4"/>
    <w:rsid w:val="00D44BEF"/>
    <w:rsid w:val="00D44F14"/>
    <w:rsid w:val="00D45D39"/>
    <w:rsid w:val="00D53D7D"/>
    <w:rsid w:val="00D5413D"/>
    <w:rsid w:val="00D62C23"/>
    <w:rsid w:val="00D702F6"/>
    <w:rsid w:val="00D80BCE"/>
    <w:rsid w:val="00D8291D"/>
    <w:rsid w:val="00D82AB5"/>
    <w:rsid w:val="00D83B77"/>
    <w:rsid w:val="00D84644"/>
    <w:rsid w:val="00D8491F"/>
    <w:rsid w:val="00D86426"/>
    <w:rsid w:val="00D86494"/>
    <w:rsid w:val="00D86D44"/>
    <w:rsid w:val="00D91C86"/>
    <w:rsid w:val="00D9221A"/>
    <w:rsid w:val="00D951D6"/>
    <w:rsid w:val="00D96AC2"/>
    <w:rsid w:val="00D97A9B"/>
    <w:rsid w:val="00DA2D1B"/>
    <w:rsid w:val="00DA4697"/>
    <w:rsid w:val="00DA6311"/>
    <w:rsid w:val="00DA6772"/>
    <w:rsid w:val="00DA7087"/>
    <w:rsid w:val="00DA7829"/>
    <w:rsid w:val="00DB13A7"/>
    <w:rsid w:val="00DB2111"/>
    <w:rsid w:val="00DB4751"/>
    <w:rsid w:val="00DB64FF"/>
    <w:rsid w:val="00DB75E5"/>
    <w:rsid w:val="00DC23EA"/>
    <w:rsid w:val="00DC3602"/>
    <w:rsid w:val="00DC420B"/>
    <w:rsid w:val="00DC4E9E"/>
    <w:rsid w:val="00DC6797"/>
    <w:rsid w:val="00DC68BC"/>
    <w:rsid w:val="00DC7DA7"/>
    <w:rsid w:val="00DD269E"/>
    <w:rsid w:val="00DD2D5E"/>
    <w:rsid w:val="00DD3A57"/>
    <w:rsid w:val="00DD4976"/>
    <w:rsid w:val="00DD50D0"/>
    <w:rsid w:val="00DE2433"/>
    <w:rsid w:val="00DE3AAD"/>
    <w:rsid w:val="00DE4E1C"/>
    <w:rsid w:val="00DE5262"/>
    <w:rsid w:val="00DE7E0F"/>
    <w:rsid w:val="00DF13C5"/>
    <w:rsid w:val="00DF1909"/>
    <w:rsid w:val="00DF3D8B"/>
    <w:rsid w:val="00E061EA"/>
    <w:rsid w:val="00E1568B"/>
    <w:rsid w:val="00E23040"/>
    <w:rsid w:val="00E255AF"/>
    <w:rsid w:val="00E26392"/>
    <w:rsid w:val="00E270F6"/>
    <w:rsid w:val="00E32FC6"/>
    <w:rsid w:val="00E33052"/>
    <w:rsid w:val="00E3399A"/>
    <w:rsid w:val="00E35F7F"/>
    <w:rsid w:val="00E378E0"/>
    <w:rsid w:val="00E458AB"/>
    <w:rsid w:val="00E460E1"/>
    <w:rsid w:val="00E54892"/>
    <w:rsid w:val="00E55CC5"/>
    <w:rsid w:val="00E56BDA"/>
    <w:rsid w:val="00E57E2C"/>
    <w:rsid w:val="00E57FE5"/>
    <w:rsid w:val="00E612AC"/>
    <w:rsid w:val="00E62590"/>
    <w:rsid w:val="00E644FE"/>
    <w:rsid w:val="00E65801"/>
    <w:rsid w:val="00E66311"/>
    <w:rsid w:val="00E66E47"/>
    <w:rsid w:val="00E717B1"/>
    <w:rsid w:val="00E7264B"/>
    <w:rsid w:val="00E732C2"/>
    <w:rsid w:val="00E74098"/>
    <w:rsid w:val="00E76792"/>
    <w:rsid w:val="00E937A5"/>
    <w:rsid w:val="00E956A5"/>
    <w:rsid w:val="00E964BD"/>
    <w:rsid w:val="00EA1052"/>
    <w:rsid w:val="00EA2E36"/>
    <w:rsid w:val="00EA3D15"/>
    <w:rsid w:val="00EA4EF4"/>
    <w:rsid w:val="00EA7818"/>
    <w:rsid w:val="00EB09F3"/>
    <w:rsid w:val="00EB4E3A"/>
    <w:rsid w:val="00EB4E49"/>
    <w:rsid w:val="00EC1900"/>
    <w:rsid w:val="00EC266E"/>
    <w:rsid w:val="00EC6596"/>
    <w:rsid w:val="00EC7D1C"/>
    <w:rsid w:val="00ED048A"/>
    <w:rsid w:val="00ED0CB6"/>
    <w:rsid w:val="00ED2BEC"/>
    <w:rsid w:val="00ED535C"/>
    <w:rsid w:val="00EE35C7"/>
    <w:rsid w:val="00EE538E"/>
    <w:rsid w:val="00EF07F7"/>
    <w:rsid w:val="00EF1546"/>
    <w:rsid w:val="00EF5EA7"/>
    <w:rsid w:val="00EF647C"/>
    <w:rsid w:val="00F003E8"/>
    <w:rsid w:val="00F05710"/>
    <w:rsid w:val="00F05F6B"/>
    <w:rsid w:val="00F114F5"/>
    <w:rsid w:val="00F12632"/>
    <w:rsid w:val="00F15ECC"/>
    <w:rsid w:val="00F1649B"/>
    <w:rsid w:val="00F1730F"/>
    <w:rsid w:val="00F234C7"/>
    <w:rsid w:val="00F2531B"/>
    <w:rsid w:val="00F25788"/>
    <w:rsid w:val="00F31C02"/>
    <w:rsid w:val="00F3357B"/>
    <w:rsid w:val="00F36AF2"/>
    <w:rsid w:val="00F36B19"/>
    <w:rsid w:val="00F4211E"/>
    <w:rsid w:val="00F4758C"/>
    <w:rsid w:val="00F500CC"/>
    <w:rsid w:val="00F51822"/>
    <w:rsid w:val="00F55A8D"/>
    <w:rsid w:val="00F55C9A"/>
    <w:rsid w:val="00F601B9"/>
    <w:rsid w:val="00F64B9B"/>
    <w:rsid w:val="00F64BAD"/>
    <w:rsid w:val="00F671A3"/>
    <w:rsid w:val="00F67D50"/>
    <w:rsid w:val="00F700FD"/>
    <w:rsid w:val="00F70BA7"/>
    <w:rsid w:val="00F72773"/>
    <w:rsid w:val="00F755EB"/>
    <w:rsid w:val="00F7663F"/>
    <w:rsid w:val="00F805F6"/>
    <w:rsid w:val="00F82842"/>
    <w:rsid w:val="00F8302B"/>
    <w:rsid w:val="00F84313"/>
    <w:rsid w:val="00F86362"/>
    <w:rsid w:val="00F86DF4"/>
    <w:rsid w:val="00F900B8"/>
    <w:rsid w:val="00F91F85"/>
    <w:rsid w:val="00F9394E"/>
    <w:rsid w:val="00F93D15"/>
    <w:rsid w:val="00F94B26"/>
    <w:rsid w:val="00FA17D5"/>
    <w:rsid w:val="00FA3BA0"/>
    <w:rsid w:val="00FA3BFF"/>
    <w:rsid w:val="00FA54AA"/>
    <w:rsid w:val="00FA68AD"/>
    <w:rsid w:val="00FB1515"/>
    <w:rsid w:val="00FB296D"/>
    <w:rsid w:val="00FB32F4"/>
    <w:rsid w:val="00FB48BD"/>
    <w:rsid w:val="00FB4EBF"/>
    <w:rsid w:val="00FB64E5"/>
    <w:rsid w:val="00FC093D"/>
    <w:rsid w:val="00FC2985"/>
    <w:rsid w:val="00FC6632"/>
    <w:rsid w:val="00FD0CC8"/>
    <w:rsid w:val="00FD0EFD"/>
    <w:rsid w:val="00FD1F41"/>
    <w:rsid w:val="00FD4B42"/>
    <w:rsid w:val="00FD5817"/>
    <w:rsid w:val="00FE2789"/>
    <w:rsid w:val="00FF2121"/>
    <w:rsid w:val="00FF65F3"/>
    <w:rsid w:val="0104538C"/>
    <w:rsid w:val="014C7C41"/>
    <w:rsid w:val="016EA373"/>
    <w:rsid w:val="01C0A913"/>
    <w:rsid w:val="01FE2D0A"/>
    <w:rsid w:val="021BFA45"/>
    <w:rsid w:val="021EFE3F"/>
    <w:rsid w:val="0375B6E2"/>
    <w:rsid w:val="03C9057D"/>
    <w:rsid w:val="04165931"/>
    <w:rsid w:val="0420C627"/>
    <w:rsid w:val="048240C5"/>
    <w:rsid w:val="04AD6772"/>
    <w:rsid w:val="04ADA497"/>
    <w:rsid w:val="04BDBEFA"/>
    <w:rsid w:val="05793002"/>
    <w:rsid w:val="05DC2CBB"/>
    <w:rsid w:val="05F849CD"/>
    <w:rsid w:val="0624AE7B"/>
    <w:rsid w:val="069A7FE1"/>
    <w:rsid w:val="06CFE858"/>
    <w:rsid w:val="071354F0"/>
    <w:rsid w:val="07894BE0"/>
    <w:rsid w:val="086BEA8F"/>
    <w:rsid w:val="088A1F83"/>
    <w:rsid w:val="08B81C43"/>
    <w:rsid w:val="0913C627"/>
    <w:rsid w:val="092125B2"/>
    <w:rsid w:val="0B2A0A7C"/>
    <w:rsid w:val="0B372686"/>
    <w:rsid w:val="0B86393D"/>
    <w:rsid w:val="0BFD991C"/>
    <w:rsid w:val="0C8449C9"/>
    <w:rsid w:val="0C8F2EE8"/>
    <w:rsid w:val="0CA9AB15"/>
    <w:rsid w:val="0D220B02"/>
    <w:rsid w:val="0D68082E"/>
    <w:rsid w:val="0D6E336C"/>
    <w:rsid w:val="0DED2FF7"/>
    <w:rsid w:val="0E3893EB"/>
    <w:rsid w:val="0E5B6162"/>
    <w:rsid w:val="0E9637DE"/>
    <w:rsid w:val="0F49DCB0"/>
    <w:rsid w:val="0FE0CBED"/>
    <w:rsid w:val="0FFAE3C4"/>
    <w:rsid w:val="1002ABD1"/>
    <w:rsid w:val="1013967E"/>
    <w:rsid w:val="10556A05"/>
    <w:rsid w:val="10781E6E"/>
    <w:rsid w:val="108E94A3"/>
    <w:rsid w:val="10A9EF3E"/>
    <w:rsid w:val="10CF2FDC"/>
    <w:rsid w:val="114F95F3"/>
    <w:rsid w:val="11B4B043"/>
    <w:rsid w:val="124B03A8"/>
    <w:rsid w:val="127B5FF8"/>
    <w:rsid w:val="129482B4"/>
    <w:rsid w:val="12F353DA"/>
    <w:rsid w:val="13065203"/>
    <w:rsid w:val="13186CAF"/>
    <w:rsid w:val="1322B3A8"/>
    <w:rsid w:val="1325E102"/>
    <w:rsid w:val="14025571"/>
    <w:rsid w:val="14A05F12"/>
    <w:rsid w:val="14A26029"/>
    <w:rsid w:val="14C010F5"/>
    <w:rsid w:val="1557847C"/>
    <w:rsid w:val="15BE65D9"/>
    <w:rsid w:val="15C5E916"/>
    <w:rsid w:val="166DFFE6"/>
    <w:rsid w:val="16C1E53F"/>
    <w:rsid w:val="1729D421"/>
    <w:rsid w:val="174AF560"/>
    <w:rsid w:val="17ABBF48"/>
    <w:rsid w:val="180CF574"/>
    <w:rsid w:val="180F193A"/>
    <w:rsid w:val="1813B150"/>
    <w:rsid w:val="187D7BCD"/>
    <w:rsid w:val="188BA229"/>
    <w:rsid w:val="1923CA27"/>
    <w:rsid w:val="192806D9"/>
    <w:rsid w:val="197BFA29"/>
    <w:rsid w:val="19A784AA"/>
    <w:rsid w:val="1A194C2E"/>
    <w:rsid w:val="1A640CEC"/>
    <w:rsid w:val="1A92E58E"/>
    <w:rsid w:val="1AB66E23"/>
    <w:rsid w:val="1AC3CE6B"/>
    <w:rsid w:val="1B235B7C"/>
    <w:rsid w:val="1B3A4038"/>
    <w:rsid w:val="1B41D1F0"/>
    <w:rsid w:val="1BBAD115"/>
    <w:rsid w:val="1C0B8D7D"/>
    <w:rsid w:val="1C4C546B"/>
    <w:rsid w:val="1CA2F78C"/>
    <w:rsid w:val="1CDDFE1F"/>
    <w:rsid w:val="1CF7A63D"/>
    <w:rsid w:val="1D0AC001"/>
    <w:rsid w:val="1D5F54D8"/>
    <w:rsid w:val="1DA3B953"/>
    <w:rsid w:val="1F1BBDA9"/>
    <w:rsid w:val="1F3E51C0"/>
    <w:rsid w:val="203FFB3B"/>
    <w:rsid w:val="206F6555"/>
    <w:rsid w:val="208E4238"/>
    <w:rsid w:val="20C88B49"/>
    <w:rsid w:val="20D0A7A0"/>
    <w:rsid w:val="211CDB8D"/>
    <w:rsid w:val="2209ABFF"/>
    <w:rsid w:val="221783F2"/>
    <w:rsid w:val="22249B7C"/>
    <w:rsid w:val="222EB8AD"/>
    <w:rsid w:val="22F82718"/>
    <w:rsid w:val="23574370"/>
    <w:rsid w:val="23BB4DEE"/>
    <w:rsid w:val="247D2E5C"/>
    <w:rsid w:val="252A8B06"/>
    <w:rsid w:val="25750F9B"/>
    <w:rsid w:val="257FE29B"/>
    <w:rsid w:val="2597495C"/>
    <w:rsid w:val="25A7171E"/>
    <w:rsid w:val="25F97273"/>
    <w:rsid w:val="2628D570"/>
    <w:rsid w:val="262C04A1"/>
    <w:rsid w:val="2655764E"/>
    <w:rsid w:val="2672BC94"/>
    <w:rsid w:val="26741524"/>
    <w:rsid w:val="2736F1A0"/>
    <w:rsid w:val="27A0620E"/>
    <w:rsid w:val="2843DCF0"/>
    <w:rsid w:val="28995ECE"/>
    <w:rsid w:val="28D0E828"/>
    <w:rsid w:val="28FEDA7B"/>
    <w:rsid w:val="29FA92CB"/>
    <w:rsid w:val="2AE992D1"/>
    <w:rsid w:val="2B0E6B44"/>
    <w:rsid w:val="2B3D9640"/>
    <w:rsid w:val="2BC15614"/>
    <w:rsid w:val="2BE905DA"/>
    <w:rsid w:val="2C3A68B0"/>
    <w:rsid w:val="2CB4A024"/>
    <w:rsid w:val="2CC8F2AD"/>
    <w:rsid w:val="2CE00322"/>
    <w:rsid w:val="2D03C956"/>
    <w:rsid w:val="2D489F0E"/>
    <w:rsid w:val="2D975F29"/>
    <w:rsid w:val="2DA89104"/>
    <w:rsid w:val="2DCEF44C"/>
    <w:rsid w:val="2E107EFF"/>
    <w:rsid w:val="2E4E2B62"/>
    <w:rsid w:val="2E7EBC0F"/>
    <w:rsid w:val="2E8FF24A"/>
    <w:rsid w:val="2EDFBDED"/>
    <w:rsid w:val="2FC4F51C"/>
    <w:rsid w:val="2FEF07E3"/>
    <w:rsid w:val="2FFA02C4"/>
    <w:rsid w:val="3043CEB9"/>
    <w:rsid w:val="30ABA387"/>
    <w:rsid w:val="31A119A9"/>
    <w:rsid w:val="31B4BBE0"/>
    <w:rsid w:val="31E1CE40"/>
    <w:rsid w:val="324DF4AB"/>
    <w:rsid w:val="325D4E69"/>
    <w:rsid w:val="3304B005"/>
    <w:rsid w:val="33075B63"/>
    <w:rsid w:val="33142DCC"/>
    <w:rsid w:val="332F734E"/>
    <w:rsid w:val="337A33E6"/>
    <w:rsid w:val="339A2BE8"/>
    <w:rsid w:val="33C042D0"/>
    <w:rsid w:val="3406A666"/>
    <w:rsid w:val="3407363E"/>
    <w:rsid w:val="34692906"/>
    <w:rsid w:val="34C9041A"/>
    <w:rsid w:val="350B5E22"/>
    <w:rsid w:val="35546A61"/>
    <w:rsid w:val="363FE314"/>
    <w:rsid w:val="3649EDC9"/>
    <w:rsid w:val="37CF6539"/>
    <w:rsid w:val="37DC8B20"/>
    <w:rsid w:val="37E883FE"/>
    <w:rsid w:val="37EA9326"/>
    <w:rsid w:val="380CBAB4"/>
    <w:rsid w:val="382599B9"/>
    <w:rsid w:val="38541EE1"/>
    <w:rsid w:val="385F55E4"/>
    <w:rsid w:val="3872ED6D"/>
    <w:rsid w:val="387F602D"/>
    <w:rsid w:val="38C3E4CD"/>
    <w:rsid w:val="39459A7D"/>
    <w:rsid w:val="398D5831"/>
    <w:rsid w:val="3AF30544"/>
    <w:rsid w:val="3B9914F4"/>
    <w:rsid w:val="3BB7AD95"/>
    <w:rsid w:val="3C0D71DD"/>
    <w:rsid w:val="3C29C96F"/>
    <w:rsid w:val="3C83E8CA"/>
    <w:rsid w:val="3C9FC277"/>
    <w:rsid w:val="3D87A0B0"/>
    <w:rsid w:val="3EA61614"/>
    <w:rsid w:val="3ED903F6"/>
    <w:rsid w:val="3EF58539"/>
    <w:rsid w:val="3F3C60C9"/>
    <w:rsid w:val="3F5E3AFC"/>
    <w:rsid w:val="3F8AB477"/>
    <w:rsid w:val="3FFD6B23"/>
    <w:rsid w:val="40080C85"/>
    <w:rsid w:val="40178341"/>
    <w:rsid w:val="402DF18A"/>
    <w:rsid w:val="40344991"/>
    <w:rsid w:val="4041E675"/>
    <w:rsid w:val="4053D7C8"/>
    <w:rsid w:val="408F9BE1"/>
    <w:rsid w:val="40CD2502"/>
    <w:rsid w:val="4104F9FC"/>
    <w:rsid w:val="411C253D"/>
    <w:rsid w:val="4122667E"/>
    <w:rsid w:val="415899E8"/>
    <w:rsid w:val="41E0D9E7"/>
    <w:rsid w:val="42264273"/>
    <w:rsid w:val="42342B2A"/>
    <w:rsid w:val="43042005"/>
    <w:rsid w:val="431E661C"/>
    <w:rsid w:val="439F10A9"/>
    <w:rsid w:val="43A1D4D4"/>
    <w:rsid w:val="43D3D315"/>
    <w:rsid w:val="4424B7B6"/>
    <w:rsid w:val="44539AA4"/>
    <w:rsid w:val="44E3580B"/>
    <w:rsid w:val="45058C0B"/>
    <w:rsid w:val="4514D2F6"/>
    <w:rsid w:val="452EF322"/>
    <w:rsid w:val="456C87E4"/>
    <w:rsid w:val="456FA376"/>
    <w:rsid w:val="463B7DBB"/>
    <w:rsid w:val="46A46CB1"/>
    <w:rsid w:val="46E35953"/>
    <w:rsid w:val="4743301B"/>
    <w:rsid w:val="4751B46B"/>
    <w:rsid w:val="476355DA"/>
    <w:rsid w:val="48665D25"/>
    <w:rsid w:val="486D9E61"/>
    <w:rsid w:val="48740852"/>
    <w:rsid w:val="48B58ECF"/>
    <w:rsid w:val="4934EE0A"/>
    <w:rsid w:val="497F8340"/>
    <w:rsid w:val="4993C8D2"/>
    <w:rsid w:val="49A144D2"/>
    <w:rsid w:val="49AA0A9B"/>
    <w:rsid w:val="49B84742"/>
    <w:rsid w:val="49BFC34B"/>
    <w:rsid w:val="49CAF477"/>
    <w:rsid w:val="49E191B1"/>
    <w:rsid w:val="4A2D0F1E"/>
    <w:rsid w:val="4A4D9D1A"/>
    <w:rsid w:val="4A54CD78"/>
    <w:rsid w:val="4A819C69"/>
    <w:rsid w:val="4AA28BD2"/>
    <w:rsid w:val="4AA9DF26"/>
    <w:rsid w:val="4AF5F079"/>
    <w:rsid w:val="4B31E6E5"/>
    <w:rsid w:val="4B67AD48"/>
    <w:rsid w:val="4B961E52"/>
    <w:rsid w:val="4BD1D111"/>
    <w:rsid w:val="4C0E9298"/>
    <w:rsid w:val="4C808603"/>
    <w:rsid w:val="4CA7BF4F"/>
    <w:rsid w:val="4D801A83"/>
    <w:rsid w:val="4E00240C"/>
    <w:rsid w:val="4EBE1B69"/>
    <w:rsid w:val="4F8D4B54"/>
    <w:rsid w:val="4FC11848"/>
    <w:rsid w:val="51162C60"/>
    <w:rsid w:val="51AB3734"/>
    <w:rsid w:val="51C48AD1"/>
    <w:rsid w:val="522AB281"/>
    <w:rsid w:val="526080D0"/>
    <w:rsid w:val="5273541B"/>
    <w:rsid w:val="52C7B313"/>
    <w:rsid w:val="538D3E75"/>
    <w:rsid w:val="54369512"/>
    <w:rsid w:val="545EBFA1"/>
    <w:rsid w:val="548B97E8"/>
    <w:rsid w:val="54B4B5FF"/>
    <w:rsid w:val="55188458"/>
    <w:rsid w:val="55593E15"/>
    <w:rsid w:val="55952DFD"/>
    <w:rsid w:val="567EF98C"/>
    <w:rsid w:val="567F2ED4"/>
    <w:rsid w:val="56C27299"/>
    <w:rsid w:val="56F11AD8"/>
    <w:rsid w:val="56F834E9"/>
    <w:rsid w:val="5771F458"/>
    <w:rsid w:val="5792E915"/>
    <w:rsid w:val="5873339E"/>
    <w:rsid w:val="58C80A93"/>
    <w:rsid w:val="59243549"/>
    <w:rsid w:val="59998408"/>
    <w:rsid w:val="5A5BA39A"/>
    <w:rsid w:val="5A9E5845"/>
    <w:rsid w:val="5AFC779B"/>
    <w:rsid w:val="5B9AB51B"/>
    <w:rsid w:val="5B9ED2E9"/>
    <w:rsid w:val="5BEB3D24"/>
    <w:rsid w:val="5C0C4E22"/>
    <w:rsid w:val="5C4314B3"/>
    <w:rsid w:val="5C802592"/>
    <w:rsid w:val="5CDDAB3C"/>
    <w:rsid w:val="5DD74E7B"/>
    <w:rsid w:val="5E10FAA3"/>
    <w:rsid w:val="5E9A6A05"/>
    <w:rsid w:val="5EDA520B"/>
    <w:rsid w:val="5EEE0C86"/>
    <w:rsid w:val="5F0CB2F3"/>
    <w:rsid w:val="5F8DA0F8"/>
    <w:rsid w:val="5FBDADF5"/>
    <w:rsid w:val="6009CBF4"/>
    <w:rsid w:val="603DAC90"/>
    <w:rsid w:val="6065DE3A"/>
    <w:rsid w:val="610EEF3D"/>
    <w:rsid w:val="61419195"/>
    <w:rsid w:val="61E0F3C2"/>
    <w:rsid w:val="62028BB6"/>
    <w:rsid w:val="6263CAFE"/>
    <w:rsid w:val="62E03FFF"/>
    <w:rsid w:val="62FD291E"/>
    <w:rsid w:val="6316A0E3"/>
    <w:rsid w:val="632FE968"/>
    <w:rsid w:val="63EAC01D"/>
    <w:rsid w:val="64BCFA56"/>
    <w:rsid w:val="64CAFA8E"/>
    <w:rsid w:val="65173BF8"/>
    <w:rsid w:val="65319882"/>
    <w:rsid w:val="6560EAED"/>
    <w:rsid w:val="65CC5272"/>
    <w:rsid w:val="65FE49D8"/>
    <w:rsid w:val="67644709"/>
    <w:rsid w:val="67907928"/>
    <w:rsid w:val="686ED9B4"/>
    <w:rsid w:val="68E7E5F3"/>
    <w:rsid w:val="694CA37A"/>
    <w:rsid w:val="6A03B8D2"/>
    <w:rsid w:val="6A485EF5"/>
    <w:rsid w:val="6A9C009B"/>
    <w:rsid w:val="6AAF05F7"/>
    <w:rsid w:val="6ABB4D9B"/>
    <w:rsid w:val="6B54FC30"/>
    <w:rsid w:val="6B7349B4"/>
    <w:rsid w:val="6B8E6B02"/>
    <w:rsid w:val="6B9694F6"/>
    <w:rsid w:val="6BC22EF8"/>
    <w:rsid w:val="6BC88347"/>
    <w:rsid w:val="6BD31455"/>
    <w:rsid w:val="6C7C4186"/>
    <w:rsid w:val="6C826A63"/>
    <w:rsid w:val="6CC9B72D"/>
    <w:rsid w:val="6CCDF3BE"/>
    <w:rsid w:val="6D3FA28F"/>
    <w:rsid w:val="6D55925E"/>
    <w:rsid w:val="6DE86E9B"/>
    <w:rsid w:val="6E1DF40C"/>
    <w:rsid w:val="6E6AF700"/>
    <w:rsid w:val="6EA6C522"/>
    <w:rsid w:val="6EBFED7F"/>
    <w:rsid w:val="6EDB666A"/>
    <w:rsid w:val="6F09D3C3"/>
    <w:rsid w:val="6F2A7F9D"/>
    <w:rsid w:val="6F5CD519"/>
    <w:rsid w:val="6F63ECCB"/>
    <w:rsid w:val="70232A2B"/>
    <w:rsid w:val="702744D1"/>
    <w:rsid w:val="702D4F95"/>
    <w:rsid w:val="70429583"/>
    <w:rsid w:val="70575D2A"/>
    <w:rsid w:val="71234E5E"/>
    <w:rsid w:val="715A133F"/>
    <w:rsid w:val="71B6DC17"/>
    <w:rsid w:val="71D9E018"/>
    <w:rsid w:val="72FF4772"/>
    <w:rsid w:val="730C7273"/>
    <w:rsid w:val="730D35E0"/>
    <w:rsid w:val="744E4522"/>
    <w:rsid w:val="7474177D"/>
    <w:rsid w:val="747D3BD1"/>
    <w:rsid w:val="74F73048"/>
    <w:rsid w:val="74F8C68F"/>
    <w:rsid w:val="76294CA9"/>
    <w:rsid w:val="762BC26D"/>
    <w:rsid w:val="763A3CDC"/>
    <w:rsid w:val="76AD7651"/>
    <w:rsid w:val="7734CC88"/>
    <w:rsid w:val="7880CC08"/>
    <w:rsid w:val="7895A269"/>
    <w:rsid w:val="78B39699"/>
    <w:rsid w:val="79295960"/>
    <w:rsid w:val="7970FAE7"/>
    <w:rsid w:val="7994DC54"/>
    <w:rsid w:val="7A30E533"/>
    <w:rsid w:val="7A76CA3E"/>
    <w:rsid w:val="7AF6AC19"/>
    <w:rsid w:val="7B4085CB"/>
    <w:rsid w:val="7B5B4C57"/>
    <w:rsid w:val="7B6C013F"/>
    <w:rsid w:val="7B8D35B0"/>
    <w:rsid w:val="7B9F77B8"/>
    <w:rsid w:val="7BFEE928"/>
    <w:rsid w:val="7C30E268"/>
    <w:rsid w:val="7C3448BE"/>
    <w:rsid w:val="7CA2558C"/>
    <w:rsid w:val="7CF51C22"/>
    <w:rsid w:val="7D1CB7D5"/>
    <w:rsid w:val="7D4A1130"/>
    <w:rsid w:val="7D543D2B"/>
    <w:rsid w:val="7DEA4833"/>
    <w:rsid w:val="7E1F6DEA"/>
    <w:rsid w:val="7E8FEE24"/>
    <w:rsid w:val="7EB16B75"/>
    <w:rsid w:val="7EBE3CBC"/>
    <w:rsid w:val="7EE2BB7E"/>
    <w:rsid w:val="7F22EABE"/>
    <w:rsid w:val="7F6DC359"/>
    <w:rsid w:val="7FBE3B2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F6B281"/>
  <w15:chartTrackingRefBased/>
  <w15:docId w15:val="{8280DAB4-1324-4F95-8457-E11F2CE4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12F"/>
    <w:pPr>
      <w:spacing w:after="120" w:line="288" w:lineRule="auto"/>
      <w:jc w:val="both"/>
    </w:pPr>
    <w:rPr>
      <w:color w:val="262626" w:themeColor="text1" w:themeTint="D9"/>
    </w:rPr>
  </w:style>
  <w:style w:type="paragraph" w:styleId="Titre1">
    <w:name w:val="heading 1"/>
    <w:basedOn w:val="Normal"/>
    <w:next w:val="Normal"/>
    <w:link w:val="Titre1Car"/>
    <w:uiPriority w:val="9"/>
    <w:qFormat/>
    <w:rsid w:val="00A963C1"/>
    <w:pPr>
      <w:keepNext/>
      <w:keepLines/>
      <w:pageBreakBefore/>
      <w:numPr>
        <w:numId w:val="1"/>
      </w:numPr>
      <w:pBdr>
        <w:top w:val="single" w:sz="48" w:space="1" w:color="155E48"/>
        <w:left w:val="single" w:sz="48" w:space="4" w:color="155E48"/>
        <w:bottom w:val="single" w:sz="48" w:space="1" w:color="155E48"/>
        <w:right w:val="single" w:sz="48" w:space="4" w:color="155E48"/>
      </w:pBdr>
      <w:shd w:val="clear" w:color="auto" w:fill="155E48"/>
      <w:spacing w:before="480" w:after="480" w:line="240" w:lineRule="auto"/>
      <w:jc w:val="left"/>
      <w:outlineLvl w:val="0"/>
    </w:pPr>
    <w:rPr>
      <w:rFonts w:eastAsia="Times New Roman" w:cstheme="majorBidi"/>
      <w:b/>
      <w:bCs/>
      <w:iCs/>
      <w:caps/>
      <w:color w:val="FFFFFF" w:themeColor="background1"/>
      <w:sz w:val="28"/>
      <w:szCs w:val="24"/>
      <w:lang w:eastAsia="fr-FR"/>
    </w:rPr>
  </w:style>
  <w:style w:type="paragraph" w:styleId="Titre2">
    <w:name w:val="heading 2"/>
    <w:next w:val="Normal"/>
    <w:link w:val="Titre2Car"/>
    <w:uiPriority w:val="9"/>
    <w:unhideWhenUsed/>
    <w:qFormat/>
    <w:rsid w:val="00A50238"/>
    <w:pPr>
      <w:keepNext/>
      <w:keepLines/>
      <w:numPr>
        <w:ilvl w:val="1"/>
        <w:numId w:val="1"/>
      </w:numPr>
      <w:pBdr>
        <w:bottom w:val="single" w:sz="8" w:space="1" w:color="auto"/>
        <w:between w:val="single" w:sz="48" w:space="1" w:color="4A89AA"/>
      </w:pBdr>
      <w:spacing w:before="360" w:after="360" w:line="240" w:lineRule="auto"/>
      <w:outlineLvl w:val="1"/>
    </w:pPr>
    <w:rPr>
      <w:rFonts w:eastAsia="Times New Roman" w:cstheme="majorBidi"/>
      <w:b/>
      <w:bCs/>
      <w:iCs/>
      <w:caps/>
      <w:smallCaps/>
      <w:color w:val="307A55"/>
      <w:sz w:val="28"/>
      <w:szCs w:val="24"/>
      <w:lang w:val="en-US" w:eastAsia="fr-FR"/>
    </w:rPr>
  </w:style>
  <w:style w:type="paragraph" w:styleId="Titre3">
    <w:name w:val="heading 3"/>
    <w:next w:val="Normal"/>
    <w:link w:val="Titre3Car"/>
    <w:uiPriority w:val="9"/>
    <w:unhideWhenUsed/>
    <w:qFormat/>
    <w:rsid w:val="00DA4697"/>
    <w:pPr>
      <w:keepNext/>
      <w:keepLines/>
      <w:numPr>
        <w:ilvl w:val="2"/>
        <w:numId w:val="1"/>
      </w:numPr>
      <w:spacing w:before="240" w:after="240" w:line="240" w:lineRule="auto"/>
      <w:outlineLvl w:val="2"/>
    </w:pPr>
    <w:rPr>
      <w:rFonts w:eastAsia="Times New Roman" w:cs="Times New Roman"/>
      <w:b/>
      <w:bCs/>
      <w:iCs/>
      <w:caps/>
      <w:smallCaps/>
      <w:color w:val="4B5943"/>
      <w:sz w:val="24"/>
      <w:szCs w:val="24"/>
      <w:lang w:val="en-US" w:eastAsia="fr-FR"/>
    </w:rPr>
  </w:style>
  <w:style w:type="paragraph" w:styleId="Titre4">
    <w:name w:val="heading 4"/>
    <w:basedOn w:val="Normal"/>
    <w:next w:val="Normal"/>
    <w:link w:val="Titre4Car"/>
    <w:uiPriority w:val="9"/>
    <w:unhideWhenUsed/>
    <w:qFormat/>
    <w:rsid w:val="00DA4697"/>
    <w:pPr>
      <w:keepNext/>
      <w:keepLines/>
      <w:numPr>
        <w:ilvl w:val="3"/>
        <w:numId w:val="1"/>
      </w:numPr>
      <w:spacing w:before="240" w:after="240" w:line="240" w:lineRule="auto"/>
      <w:jc w:val="left"/>
      <w:outlineLvl w:val="3"/>
    </w:pPr>
    <w:rPr>
      <w:rFonts w:asciiTheme="majorHAnsi" w:eastAsiaTheme="majorEastAsia" w:hAnsiTheme="majorHAnsi" w:cstheme="majorBidi"/>
      <w:b/>
      <w:bCs/>
      <w:i/>
      <w:iCs/>
      <w:color w:val="4B5943"/>
    </w:rPr>
  </w:style>
  <w:style w:type="paragraph" w:styleId="Titre5">
    <w:name w:val="heading 5"/>
    <w:basedOn w:val="Normal"/>
    <w:next w:val="Normal"/>
    <w:link w:val="Titre5Car"/>
    <w:uiPriority w:val="9"/>
    <w:unhideWhenUsed/>
    <w:rsid w:val="00D86D44"/>
    <w:pPr>
      <w:keepNext/>
      <w:keepLines/>
      <w:numPr>
        <w:ilvl w:val="4"/>
        <w:numId w:val="1"/>
      </w:numPr>
      <w:spacing w:before="200" w:after="0"/>
      <w:outlineLvl w:val="4"/>
    </w:pPr>
    <w:rPr>
      <w:rFonts w:asciiTheme="majorHAnsi" w:eastAsiaTheme="majorEastAsia" w:hAnsiTheme="majorHAnsi" w:cstheme="majorBidi"/>
      <w:color w:val="323E4F" w:themeColor="text2" w:themeShade="BF"/>
    </w:rPr>
  </w:style>
  <w:style w:type="paragraph" w:styleId="Titre6">
    <w:name w:val="heading 6"/>
    <w:basedOn w:val="Normal"/>
    <w:next w:val="Normal"/>
    <w:link w:val="Titre6Car"/>
    <w:uiPriority w:val="9"/>
    <w:unhideWhenUsed/>
    <w:rsid w:val="00D86D44"/>
    <w:pPr>
      <w:keepNext/>
      <w:keepLines/>
      <w:numPr>
        <w:ilvl w:val="5"/>
        <w:numId w:val="1"/>
      </w:numPr>
      <w:spacing w:before="200" w:after="0"/>
      <w:outlineLvl w:val="5"/>
    </w:pPr>
    <w:rPr>
      <w:rFonts w:asciiTheme="majorHAnsi" w:eastAsiaTheme="majorEastAsia" w:hAnsiTheme="majorHAnsi" w:cstheme="majorBidi"/>
      <w:i/>
      <w:iCs/>
      <w:color w:val="323E4F" w:themeColor="text2" w:themeShade="BF"/>
    </w:rPr>
  </w:style>
  <w:style w:type="paragraph" w:styleId="Titre7">
    <w:name w:val="heading 7"/>
    <w:basedOn w:val="Normal"/>
    <w:next w:val="Normal"/>
    <w:link w:val="Titre7Car"/>
    <w:uiPriority w:val="9"/>
    <w:semiHidden/>
    <w:unhideWhenUsed/>
    <w:rsid w:val="00D86D44"/>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D86D44"/>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itre9">
    <w:name w:val="heading 9"/>
    <w:basedOn w:val="Normal"/>
    <w:next w:val="Normal"/>
    <w:link w:val="Titre9Car"/>
    <w:uiPriority w:val="9"/>
    <w:semiHidden/>
    <w:unhideWhenUsed/>
    <w:qFormat/>
    <w:rsid w:val="00D86D44"/>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Image">
    <w:name w:val="Image"/>
    <w:basedOn w:val="Normal"/>
    <w:rsid w:val="00DA4697"/>
    <w:pPr>
      <w:keepNext/>
      <w:keepLines/>
      <w:tabs>
        <w:tab w:val="left" w:pos="6285"/>
      </w:tabs>
      <w:spacing w:before="480" w:line="240" w:lineRule="auto"/>
      <w:jc w:val="center"/>
    </w:pPr>
    <w:rPr>
      <w:rFonts w:eastAsia="Times New Roman" w:cs="Times New Roman"/>
      <w:color w:val="21374B"/>
      <w:sz w:val="20"/>
      <w:szCs w:val="20"/>
      <w:lang w:eastAsia="fr-FR"/>
    </w:rPr>
  </w:style>
  <w:style w:type="paragraph" w:styleId="Tabledesillustrations">
    <w:name w:val="table of figures"/>
    <w:basedOn w:val="TM1"/>
    <w:next w:val="Normal"/>
    <w:uiPriority w:val="99"/>
    <w:unhideWhenUsed/>
    <w:qFormat/>
    <w:rsid w:val="0073200E"/>
    <w:rPr>
      <w:caps w:val="0"/>
    </w:rPr>
  </w:style>
  <w:style w:type="character" w:customStyle="1" w:styleId="comment">
    <w:name w:val="comment"/>
    <w:basedOn w:val="Policepardfaut"/>
    <w:rsid w:val="00C329C0"/>
  </w:style>
  <w:style w:type="paragraph" w:styleId="Paragraphedeliste">
    <w:name w:val="List Paragraph"/>
    <w:aliases w:val="Bullet List,FooterText,List Paragraph1,numbered,Paragraphe de liste1,Bulletr List Paragraph"/>
    <w:basedOn w:val="Normal"/>
    <w:link w:val="ParagraphedelisteCar"/>
    <w:uiPriority w:val="34"/>
    <w:qFormat/>
    <w:rsid w:val="00C329C0"/>
    <w:pPr>
      <w:ind w:left="720"/>
      <w:contextualSpacing/>
    </w:pPr>
  </w:style>
  <w:style w:type="paragraph" w:styleId="Textedebulles">
    <w:name w:val="Balloon Text"/>
    <w:basedOn w:val="Normal"/>
    <w:link w:val="TextedebullesCar"/>
    <w:uiPriority w:val="99"/>
    <w:semiHidden/>
    <w:unhideWhenUsed/>
    <w:rsid w:val="002C6421"/>
    <w:pPr>
      <w:spacing w:after="0" w:line="240" w:lineRule="auto"/>
    </w:pPr>
    <w:rPr>
      <w:rFonts w:ascii="Segoe UI" w:hAnsi="Segoe UI" w:cs="Segoe UI"/>
      <w:szCs w:val="18"/>
    </w:rPr>
  </w:style>
  <w:style w:type="character" w:customStyle="1" w:styleId="TextedebullesCar">
    <w:name w:val="Texte de bulles Car"/>
    <w:basedOn w:val="Policepardfaut"/>
    <w:link w:val="Textedebulles"/>
    <w:uiPriority w:val="99"/>
    <w:semiHidden/>
    <w:rsid w:val="002C6421"/>
    <w:rPr>
      <w:rFonts w:ascii="Segoe UI" w:hAnsi="Segoe UI" w:cs="Segoe UI"/>
      <w:sz w:val="18"/>
      <w:szCs w:val="18"/>
    </w:rPr>
  </w:style>
  <w:style w:type="paragraph" w:styleId="En-tte">
    <w:name w:val="header"/>
    <w:basedOn w:val="Normal"/>
    <w:link w:val="En-tteCar"/>
    <w:unhideWhenUsed/>
    <w:rsid w:val="00336E71"/>
    <w:pPr>
      <w:tabs>
        <w:tab w:val="center" w:pos="4680"/>
        <w:tab w:val="right" w:pos="9360"/>
      </w:tabs>
      <w:spacing w:after="0" w:line="240" w:lineRule="auto"/>
    </w:pPr>
  </w:style>
  <w:style w:type="character" w:customStyle="1" w:styleId="En-tteCar">
    <w:name w:val="En-tête Car"/>
    <w:basedOn w:val="Policepardfaut"/>
    <w:link w:val="En-tte"/>
    <w:rsid w:val="00336E71"/>
  </w:style>
  <w:style w:type="paragraph" w:styleId="Pieddepage">
    <w:name w:val="footer"/>
    <w:basedOn w:val="Normal"/>
    <w:link w:val="PieddepageCar"/>
    <w:uiPriority w:val="99"/>
    <w:unhideWhenUsed/>
    <w:rsid w:val="00336E71"/>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36E71"/>
  </w:style>
  <w:style w:type="character" w:styleId="Lienhypertexte">
    <w:name w:val="Hyperlink"/>
    <w:basedOn w:val="Policepardfaut"/>
    <w:uiPriority w:val="99"/>
    <w:unhideWhenUsed/>
    <w:rPr>
      <w:color w:val="0563C1" w:themeColor="hyperlink"/>
      <w:u w:val="single"/>
    </w:rPr>
  </w:style>
  <w:style w:type="character" w:customStyle="1" w:styleId="Titre1Car">
    <w:name w:val="Titre 1 Car"/>
    <w:basedOn w:val="Policepardfaut"/>
    <w:link w:val="Titre1"/>
    <w:uiPriority w:val="9"/>
    <w:rsid w:val="00A963C1"/>
    <w:rPr>
      <w:rFonts w:eastAsia="Times New Roman" w:cstheme="majorBidi"/>
      <w:b/>
      <w:bCs/>
      <w:iCs/>
      <w:caps/>
      <w:color w:val="FFFFFF" w:themeColor="background1"/>
      <w:sz w:val="28"/>
      <w:szCs w:val="24"/>
      <w:shd w:val="clear" w:color="auto" w:fill="155E48"/>
      <w:lang w:eastAsia="fr-FR"/>
    </w:rPr>
  </w:style>
  <w:style w:type="character" w:customStyle="1" w:styleId="Titre2Car">
    <w:name w:val="Titre 2 Car"/>
    <w:basedOn w:val="Policepardfaut"/>
    <w:link w:val="Titre2"/>
    <w:uiPriority w:val="9"/>
    <w:rsid w:val="00A50238"/>
    <w:rPr>
      <w:rFonts w:eastAsia="Times New Roman" w:cstheme="majorBidi"/>
      <w:b/>
      <w:bCs/>
      <w:iCs/>
      <w:caps/>
      <w:smallCaps/>
      <w:color w:val="307A55"/>
      <w:sz w:val="28"/>
      <w:szCs w:val="24"/>
      <w:lang w:val="en-US" w:eastAsia="fr-FR"/>
    </w:rPr>
  </w:style>
  <w:style w:type="character" w:styleId="Marquedecommentaire">
    <w:name w:val="annotation reference"/>
    <w:basedOn w:val="Policepardfaut"/>
    <w:uiPriority w:val="99"/>
    <w:semiHidden/>
    <w:unhideWhenUsed/>
    <w:rsid w:val="00D5413D"/>
    <w:rPr>
      <w:sz w:val="16"/>
      <w:szCs w:val="16"/>
    </w:rPr>
  </w:style>
  <w:style w:type="paragraph" w:styleId="Commentaire">
    <w:name w:val="annotation text"/>
    <w:basedOn w:val="Normal"/>
    <w:link w:val="CommentaireCar"/>
    <w:uiPriority w:val="99"/>
    <w:unhideWhenUsed/>
    <w:rsid w:val="00D5413D"/>
    <w:pPr>
      <w:spacing w:line="240" w:lineRule="auto"/>
    </w:pPr>
    <w:rPr>
      <w:sz w:val="20"/>
      <w:szCs w:val="20"/>
    </w:rPr>
  </w:style>
  <w:style w:type="character" w:customStyle="1" w:styleId="CommentaireCar">
    <w:name w:val="Commentaire Car"/>
    <w:basedOn w:val="Policepardfaut"/>
    <w:link w:val="Commentaire"/>
    <w:uiPriority w:val="99"/>
    <w:rsid w:val="00D5413D"/>
    <w:rPr>
      <w:sz w:val="20"/>
      <w:szCs w:val="20"/>
    </w:rPr>
  </w:style>
  <w:style w:type="paragraph" w:styleId="Objetducommentaire">
    <w:name w:val="annotation subject"/>
    <w:basedOn w:val="Commentaire"/>
    <w:next w:val="Commentaire"/>
    <w:link w:val="ObjetducommentaireCar"/>
    <w:uiPriority w:val="99"/>
    <w:semiHidden/>
    <w:unhideWhenUsed/>
    <w:rsid w:val="00D5413D"/>
    <w:rPr>
      <w:b/>
      <w:bCs/>
    </w:rPr>
  </w:style>
  <w:style w:type="character" w:customStyle="1" w:styleId="ObjetducommentaireCar">
    <w:name w:val="Objet du commentaire Car"/>
    <w:basedOn w:val="CommentaireCar"/>
    <w:link w:val="Objetducommentaire"/>
    <w:uiPriority w:val="99"/>
    <w:semiHidden/>
    <w:rsid w:val="00D5413D"/>
    <w:rPr>
      <w:b/>
      <w:bCs/>
      <w:sz w:val="20"/>
      <w:szCs w:val="20"/>
    </w:rPr>
  </w:style>
  <w:style w:type="character" w:customStyle="1" w:styleId="Titre3Car">
    <w:name w:val="Titre 3 Car"/>
    <w:basedOn w:val="Policepardfaut"/>
    <w:link w:val="Titre3"/>
    <w:uiPriority w:val="9"/>
    <w:rsid w:val="00DA4697"/>
    <w:rPr>
      <w:rFonts w:eastAsia="Times New Roman" w:cs="Times New Roman"/>
      <w:b/>
      <w:bCs/>
      <w:iCs/>
      <w:caps/>
      <w:smallCaps/>
      <w:color w:val="4B5943"/>
      <w:sz w:val="24"/>
      <w:szCs w:val="24"/>
      <w:lang w:val="en-US" w:eastAsia="fr-FR"/>
    </w:rPr>
  </w:style>
  <w:style w:type="character" w:customStyle="1" w:styleId="Titre4Car">
    <w:name w:val="Titre 4 Car"/>
    <w:basedOn w:val="Policepardfaut"/>
    <w:link w:val="Titre4"/>
    <w:uiPriority w:val="9"/>
    <w:rsid w:val="00DA4697"/>
    <w:rPr>
      <w:rFonts w:asciiTheme="majorHAnsi" w:eastAsiaTheme="majorEastAsia" w:hAnsiTheme="majorHAnsi" w:cstheme="majorBidi"/>
      <w:b/>
      <w:bCs/>
      <w:i/>
      <w:iCs/>
      <w:color w:val="4B5943"/>
    </w:rPr>
  </w:style>
  <w:style w:type="character" w:customStyle="1" w:styleId="Titre5Car">
    <w:name w:val="Titre 5 Car"/>
    <w:basedOn w:val="Policepardfaut"/>
    <w:link w:val="Titre5"/>
    <w:uiPriority w:val="9"/>
    <w:rsid w:val="00D86D44"/>
    <w:rPr>
      <w:rFonts w:asciiTheme="majorHAnsi" w:eastAsiaTheme="majorEastAsia" w:hAnsiTheme="majorHAnsi" w:cstheme="majorBidi"/>
      <w:color w:val="323E4F" w:themeColor="text2" w:themeShade="BF"/>
    </w:rPr>
  </w:style>
  <w:style w:type="character" w:customStyle="1" w:styleId="Titre6Car">
    <w:name w:val="Titre 6 Car"/>
    <w:basedOn w:val="Policepardfaut"/>
    <w:link w:val="Titre6"/>
    <w:uiPriority w:val="9"/>
    <w:rsid w:val="00D86D44"/>
    <w:rPr>
      <w:rFonts w:asciiTheme="majorHAnsi" w:eastAsiaTheme="majorEastAsia" w:hAnsiTheme="majorHAnsi" w:cstheme="majorBidi"/>
      <w:i/>
      <w:iCs/>
      <w:color w:val="323E4F" w:themeColor="text2" w:themeShade="BF"/>
    </w:rPr>
  </w:style>
  <w:style w:type="character" w:customStyle="1" w:styleId="Titre7Car">
    <w:name w:val="Titre 7 Car"/>
    <w:basedOn w:val="Policepardfaut"/>
    <w:link w:val="Titre7"/>
    <w:uiPriority w:val="9"/>
    <w:semiHidden/>
    <w:rsid w:val="00D86D44"/>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D86D44"/>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D86D44"/>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unhideWhenUsed/>
    <w:qFormat/>
    <w:rsid w:val="00623EB4"/>
    <w:pPr>
      <w:spacing w:before="120" w:after="240" w:line="240" w:lineRule="auto"/>
      <w:jc w:val="center"/>
    </w:pPr>
    <w:rPr>
      <w:i/>
      <w:iCs/>
      <w:szCs w:val="18"/>
    </w:rPr>
  </w:style>
  <w:style w:type="paragraph" w:styleId="Titre">
    <w:name w:val="Title"/>
    <w:basedOn w:val="Normal"/>
    <w:next w:val="Normal"/>
    <w:link w:val="TitreCar"/>
    <w:uiPriority w:val="10"/>
    <w:rsid w:val="00321791"/>
    <w:pPr>
      <w:spacing w:after="0" w:line="360" w:lineRule="auto"/>
      <w:jc w:val="right"/>
    </w:pPr>
    <w:rPr>
      <w:b/>
      <w:bCs/>
      <w:color w:val="4A89AA"/>
      <w:sz w:val="56"/>
      <w:szCs w:val="56"/>
    </w:rPr>
  </w:style>
  <w:style w:type="character" w:customStyle="1" w:styleId="TitreCar">
    <w:name w:val="Titre Car"/>
    <w:basedOn w:val="Policepardfaut"/>
    <w:link w:val="Titre"/>
    <w:uiPriority w:val="10"/>
    <w:rsid w:val="00321791"/>
    <w:rPr>
      <w:b/>
      <w:bCs/>
      <w:color w:val="4A89AA"/>
      <w:sz w:val="56"/>
      <w:szCs w:val="56"/>
    </w:rPr>
  </w:style>
  <w:style w:type="paragraph" w:styleId="Sous-titre">
    <w:name w:val="Subtitle"/>
    <w:basedOn w:val="Version"/>
    <w:next w:val="Normal"/>
    <w:link w:val="Sous-titreCar"/>
    <w:uiPriority w:val="11"/>
    <w:rsid w:val="00744FAB"/>
    <w:pPr>
      <w:spacing w:line="240" w:lineRule="auto"/>
    </w:pPr>
    <w:rPr>
      <w:sz w:val="48"/>
      <w:szCs w:val="48"/>
    </w:rPr>
  </w:style>
  <w:style w:type="character" w:customStyle="1" w:styleId="Sous-titreCar">
    <w:name w:val="Sous-titre Car"/>
    <w:basedOn w:val="Policepardfaut"/>
    <w:link w:val="Sous-titre"/>
    <w:uiPriority w:val="11"/>
    <w:rsid w:val="00744FAB"/>
    <w:rPr>
      <w:i/>
      <w:iCs/>
      <w:color w:val="4B5943"/>
      <w:sz w:val="48"/>
      <w:szCs w:val="48"/>
    </w:rPr>
  </w:style>
  <w:style w:type="character" w:styleId="lev">
    <w:name w:val="Strong"/>
    <w:basedOn w:val="Policepardfaut"/>
    <w:uiPriority w:val="22"/>
    <w:qFormat/>
    <w:rsid w:val="00D86D44"/>
    <w:rPr>
      <w:b/>
      <w:bCs/>
      <w:color w:val="000000" w:themeColor="text1"/>
    </w:rPr>
  </w:style>
  <w:style w:type="character" w:styleId="Accentuation">
    <w:name w:val="Emphasis"/>
    <w:basedOn w:val="Policepardfaut"/>
    <w:uiPriority w:val="20"/>
    <w:rsid w:val="00D86D44"/>
    <w:rPr>
      <w:i/>
      <w:iCs/>
      <w:color w:val="auto"/>
    </w:rPr>
  </w:style>
  <w:style w:type="paragraph" w:styleId="Sansinterligne">
    <w:name w:val="No Spacing"/>
    <w:uiPriority w:val="1"/>
    <w:rsid w:val="00D86D44"/>
    <w:pPr>
      <w:spacing w:after="0" w:line="240" w:lineRule="auto"/>
    </w:pPr>
  </w:style>
  <w:style w:type="paragraph" w:styleId="Citation">
    <w:name w:val="Quote"/>
    <w:basedOn w:val="Normal"/>
    <w:next w:val="Normal"/>
    <w:link w:val="CitationCar"/>
    <w:uiPriority w:val="29"/>
    <w:rsid w:val="00D86D44"/>
    <w:pPr>
      <w:spacing w:before="160"/>
      <w:ind w:left="720" w:right="720"/>
    </w:pPr>
    <w:rPr>
      <w:i/>
      <w:iCs/>
      <w:color w:val="000000" w:themeColor="text1"/>
    </w:rPr>
  </w:style>
  <w:style w:type="character" w:customStyle="1" w:styleId="CitationCar">
    <w:name w:val="Citation Car"/>
    <w:basedOn w:val="Policepardfaut"/>
    <w:link w:val="Citation"/>
    <w:uiPriority w:val="29"/>
    <w:rsid w:val="00D86D44"/>
    <w:rPr>
      <w:i/>
      <w:iCs/>
      <w:color w:val="000000" w:themeColor="text1"/>
    </w:rPr>
  </w:style>
  <w:style w:type="paragraph" w:styleId="Citationintense">
    <w:name w:val="Intense Quote"/>
    <w:basedOn w:val="Normal"/>
    <w:next w:val="Normal"/>
    <w:link w:val="CitationintenseCar"/>
    <w:uiPriority w:val="30"/>
    <w:rsid w:val="00D86D44"/>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CitationintenseCar">
    <w:name w:val="Citation intense Car"/>
    <w:basedOn w:val="Policepardfaut"/>
    <w:link w:val="Citationintense"/>
    <w:uiPriority w:val="30"/>
    <w:rsid w:val="00D86D44"/>
    <w:rPr>
      <w:color w:val="000000" w:themeColor="text1"/>
      <w:shd w:val="clear" w:color="auto" w:fill="F2F2F2" w:themeFill="background1" w:themeFillShade="F2"/>
    </w:rPr>
  </w:style>
  <w:style w:type="character" w:styleId="Accentuationlgre">
    <w:name w:val="Subtle Emphasis"/>
    <w:basedOn w:val="Policepardfaut"/>
    <w:uiPriority w:val="19"/>
    <w:rsid w:val="00D86D44"/>
    <w:rPr>
      <w:i/>
      <w:iCs/>
      <w:color w:val="404040" w:themeColor="text1" w:themeTint="BF"/>
    </w:rPr>
  </w:style>
  <w:style w:type="character" w:styleId="Accentuationintense">
    <w:name w:val="Intense Emphasis"/>
    <w:basedOn w:val="Policepardfaut"/>
    <w:uiPriority w:val="21"/>
    <w:rsid w:val="00D86D44"/>
    <w:rPr>
      <w:b/>
      <w:bCs/>
      <w:i/>
      <w:iCs/>
      <w:caps/>
    </w:rPr>
  </w:style>
  <w:style w:type="character" w:styleId="Rfrencelgre">
    <w:name w:val="Subtle Reference"/>
    <w:basedOn w:val="Policepardfaut"/>
    <w:uiPriority w:val="31"/>
    <w:rsid w:val="00D86D44"/>
    <w:rPr>
      <w:smallCaps/>
      <w:color w:val="404040" w:themeColor="text1" w:themeTint="BF"/>
      <w:u w:val="single" w:color="7F7F7F" w:themeColor="text1" w:themeTint="80"/>
    </w:rPr>
  </w:style>
  <w:style w:type="character" w:styleId="Rfrenceintense">
    <w:name w:val="Intense Reference"/>
    <w:basedOn w:val="Policepardfaut"/>
    <w:uiPriority w:val="32"/>
    <w:rsid w:val="00D86D44"/>
    <w:rPr>
      <w:b/>
      <w:bCs/>
      <w:smallCaps/>
      <w:u w:val="single"/>
    </w:rPr>
  </w:style>
  <w:style w:type="character" w:styleId="Titredulivre">
    <w:name w:val="Book Title"/>
    <w:basedOn w:val="Policepardfaut"/>
    <w:uiPriority w:val="33"/>
    <w:rsid w:val="00D86D44"/>
    <w:rPr>
      <w:b w:val="0"/>
      <w:bCs w:val="0"/>
      <w:smallCaps/>
      <w:spacing w:val="5"/>
    </w:rPr>
  </w:style>
  <w:style w:type="paragraph" w:styleId="En-ttedetabledesmatires">
    <w:name w:val="TOC Heading"/>
    <w:aliases w:val="SYNTHÈSE / REMERCIEMENTS / ÉDITO"/>
    <w:basedOn w:val="Titre1"/>
    <w:next w:val="Normal"/>
    <w:uiPriority w:val="39"/>
    <w:unhideWhenUsed/>
    <w:qFormat/>
    <w:rsid w:val="00A963C1"/>
    <w:pPr>
      <w:pageBreakBefore w:val="0"/>
      <w:numPr>
        <w:numId w:val="0"/>
      </w:num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FFFFFF" w:themeFill="background1"/>
      <w:outlineLvl w:val="9"/>
    </w:pPr>
    <w:rPr>
      <w:color w:val="155E48"/>
    </w:rPr>
  </w:style>
  <w:style w:type="paragraph" w:styleId="TM2">
    <w:name w:val="toc 2"/>
    <w:basedOn w:val="Normal"/>
    <w:next w:val="Normal"/>
    <w:autoRedefine/>
    <w:uiPriority w:val="39"/>
    <w:unhideWhenUsed/>
    <w:rsid w:val="004B1E23"/>
    <w:pPr>
      <w:tabs>
        <w:tab w:val="left" w:pos="567"/>
        <w:tab w:val="right" w:leader="dot" w:pos="9072"/>
      </w:tabs>
      <w:spacing w:after="100" w:line="240" w:lineRule="auto"/>
      <w:ind w:left="567" w:hanging="425"/>
      <w:jc w:val="left"/>
    </w:pPr>
    <w:rPr>
      <w:rFonts w:cs="Times New Roman"/>
      <w:noProof/>
      <w:lang w:eastAsia="fr-FR"/>
    </w:rPr>
  </w:style>
  <w:style w:type="paragraph" w:styleId="TM1">
    <w:name w:val="toc 1"/>
    <w:basedOn w:val="Normal"/>
    <w:next w:val="Normal"/>
    <w:autoRedefine/>
    <w:uiPriority w:val="39"/>
    <w:unhideWhenUsed/>
    <w:rsid w:val="00CF2255"/>
    <w:pPr>
      <w:keepNext/>
      <w:tabs>
        <w:tab w:val="right" w:leader="dot" w:pos="9072"/>
      </w:tabs>
      <w:spacing w:before="240" w:line="240" w:lineRule="auto"/>
      <w:ind w:left="238" w:hanging="238"/>
      <w:jc w:val="left"/>
    </w:pPr>
    <w:rPr>
      <w:rFonts w:eastAsia="SimSun"/>
      <w:b/>
      <w:caps/>
      <w:noProof/>
      <w:color w:val="4B5943"/>
      <w:lang w:val="en-US"/>
    </w:rPr>
  </w:style>
  <w:style w:type="paragraph" w:styleId="TM3">
    <w:name w:val="toc 3"/>
    <w:basedOn w:val="Normal"/>
    <w:next w:val="Normal"/>
    <w:autoRedefine/>
    <w:uiPriority w:val="39"/>
    <w:unhideWhenUsed/>
    <w:rsid w:val="004B1E23"/>
    <w:pPr>
      <w:tabs>
        <w:tab w:val="left" w:pos="851"/>
        <w:tab w:val="right" w:leader="dot" w:pos="9072"/>
      </w:tabs>
      <w:spacing w:after="100" w:line="240" w:lineRule="auto"/>
      <w:ind w:left="851" w:right="-2" w:hanging="553"/>
      <w:jc w:val="left"/>
    </w:pPr>
    <w:rPr>
      <w:rFonts w:cs="Times New Roman"/>
      <w:noProof/>
      <w:lang w:eastAsia="fr-FR"/>
    </w:rPr>
  </w:style>
  <w:style w:type="paragraph" w:customStyle="1" w:styleId="Version">
    <w:name w:val="Version"/>
    <w:basedOn w:val="Normal"/>
    <w:rsid w:val="00F86DF4"/>
    <w:pPr>
      <w:spacing w:after="0" w:line="360" w:lineRule="auto"/>
      <w:jc w:val="right"/>
    </w:pPr>
    <w:rPr>
      <w:i/>
      <w:iCs/>
      <w:color w:val="4B5943"/>
      <w:sz w:val="28"/>
      <w:szCs w:val="28"/>
    </w:rPr>
  </w:style>
  <w:style w:type="table" w:styleId="Grilledutableau">
    <w:name w:val="Table Grid"/>
    <w:basedOn w:val="TableauNormal"/>
    <w:uiPriority w:val="39"/>
    <w:rsid w:val="006A50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reEncart">
    <w:name w:val="Titre Encart"/>
    <w:basedOn w:val="Normal"/>
    <w:link w:val="TitreEncartCar"/>
    <w:qFormat/>
    <w:rsid w:val="00DA4697"/>
    <w:pPr>
      <w:keepNext/>
      <w:keepLines/>
      <w:pBdr>
        <w:top w:val="nil"/>
        <w:left w:val="nil"/>
        <w:bottom w:val="nil"/>
        <w:right w:val="nil"/>
        <w:between w:val="nil"/>
      </w:pBdr>
      <w:spacing w:before="120" w:after="240"/>
      <w:ind w:left="284" w:right="284"/>
      <w:jc w:val="center"/>
    </w:pPr>
    <w:rPr>
      <w:b/>
      <w:color w:val="4B5943"/>
    </w:rPr>
  </w:style>
  <w:style w:type="paragraph" w:styleId="Notedebasdepage">
    <w:name w:val="footnote text"/>
    <w:basedOn w:val="Normal"/>
    <w:link w:val="NotedebasdepageCar"/>
    <w:uiPriority w:val="99"/>
    <w:unhideWhenUsed/>
    <w:qFormat/>
    <w:rsid w:val="00941A5B"/>
    <w:pPr>
      <w:spacing w:after="60" w:line="240" w:lineRule="auto"/>
      <w:jc w:val="left"/>
    </w:pPr>
    <w:rPr>
      <w:sz w:val="16"/>
      <w:szCs w:val="20"/>
    </w:rPr>
  </w:style>
  <w:style w:type="character" w:customStyle="1" w:styleId="NotedebasdepageCar">
    <w:name w:val="Note de bas de page Car"/>
    <w:basedOn w:val="Policepardfaut"/>
    <w:link w:val="Notedebasdepage"/>
    <w:uiPriority w:val="99"/>
    <w:rsid w:val="00941A5B"/>
    <w:rPr>
      <w:color w:val="262626" w:themeColor="text1" w:themeTint="D9"/>
      <w:sz w:val="16"/>
      <w:szCs w:val="20"/>
    </w:rPr>
  </w:style>
  <w:style w:type="character" w:styleId="Appelnotedebasdep">
    <w:name w:val="footnote reference"/>
    <w:basedOn w:val="Policepardfaut"/>
    <w:uiPriority w:val="99"/>
    <w:semiHidden/>
    <w:unhideWhenUsed/>
    <w:rsid w:val="00782984"/>
    <w:rPr>
      <w:vertAlign w:val="superscript"/>
    </w:rPr>
  </w:style>
  <w:style w:type="character" w:styleId="Mentionnonrsolue">
    <w:name w:val="Unresolved Mention"/>
    <w:basedOn w:val="Policepardfaut"/>
    <w:uiPriority w:val="99"/>
    <w:semiHidden/>
    <w:unhideWhenUsed/>
    <w:rsid w:val="00914B3B"/>
    <w:rPr>
      <w:color w:val="605E5C"/>
      <w:shd w:val="clear" w:color="auto" w:fill="E1DFDD"/>
    </w:rPr>
  </w:style>
  <w:style w:type="paragraph" w:styleId="Listenumros">
    <w:name w:val="List Number"/>
    <w:basedOn w:val="Normal"/>
    <w:uiPriority w:val="99"/>
    <w:unhideWhenUsed/>
    <w:rsid w:val="00914B3B"/>
    <w:pPr>
      <w:numPr>
        <w:numId w:val="3"/>
      </w:numPr>
      <w:contextualSpacing/>
    </w:pPr>
    <w:rPr>
      <w:rFonts w:ascii="Calibri" w:eastAsia="Calibri" w:hAnsi="Calibri" w:cs="Calibri"/>
      <w:color w:val="171717" w:themeColor="background2" w:themeShade="1A"/>
      <w:lang w:val="en-GB" w:eastAsia="fr-FR"/>
    </w:rPr>
  </w:style>
  <w:style w:type="character" w:customStyle="1" w:styleId="ParagraphedelisteCar">
    <w:name w:val="Paragraphe de liste Car"/>
    <w:aliases w:val="Bullet List Car,FooterText Car,List Paragraph1 Car,numbered Car,Paragraphe de liste1 Car,Bulletr List Paragraph Car"/>
    <w:basedOn w:val="Policepardfaut"/>
    <w:link w:val="Paragraphedeliste"/>
    <w:uiPriority w:val="34"/>
    <w:rsid w:val="008B039E"/>
    <w:rPr>
      <w:color w:val="262626" w:themeColor="text1" w:themeTint="D9"/>
    </w:rPr>
  </w:style>
  <w:style w:type="paragraph" w:styleId="Listepuces2">
    <w:name w:val="List Bullet 2"/>
    <w:basedOn w:val="Normal"/>
    <w:uiPriority w:val="99"/>
    <w:unhideWhenUsed/>
    <w:rsid w:val="008B039E"/>
    <w:pPr>
      <w:numPr>
        <w:numId w:val="4"/>
      </w:numPr>
      <w:contextualSpacing/>
    </w:pPr>
    <w:rPr>
      <w:rFonts w:ascii="Calibri" w:eastAsia="Calibri" w:hAnsi="Calibri" w:cs="Calibri"/>
      <w:color w:val="171717" w:themeColor="background2" w:themeShade="1A"/>
      <w:lang w:eastAsia="fr-FR"/>
    </w:rPr>
  </w:style>
  <w:style w:type="paragraph" w:styleId="Listepuces3">
    <w:name w:val="List Bullet 3"/>
    <w:basedOn w:val="Normal"/>
    <w:uiPriority w:val="99"/>
    <w:unhideWhenUsed/>
    <w:rsid w:val="008B039E"/>
    <w:pPr>
      <w:numPr>
        <w:numId w:val="5"/>
      </w:numPr>
      <w:contextualSpacing/>
    </w:pPr>
    <w:rPr>
      <w:rFonts w:ascii="Calibri" w:eastAsia="Calibri" w:hAnsi="Calibri" w:cs="Calibri"/>
      <w:color w:val="171717" w:themeColor="background2" w:themeShade="1A"/>
      <w:lang w:eastAsia="fr-FR"/>
    </w:rPr>
  </w:style>
  <w:style w:type="paragraph" w:styleId="Listepuces">
    <w:name w:val="List Bullet"/>
    <w:basedOn w:val="Normal"/>
    <w:uiPriority w:val="99"/>
    <w:unhideWhenUsed/>
    <w:rsid w:val="008B039E"/>
    <w:pPr>
      <w:numPr>
        <w:numId w:val="6"/>
      </w:numPr>
      <w:contextualSpacing/>
    </w:pPr>
    <w:rPr>
      <w:rFonts w:ascii="Calibri" w:eastAsia="Calibri" w:hAnsi="Calibri" w:cs="Calibri"/>
      <w:color w:val="171717" w:themeColor="background2" w:themeShade="1A"/>
      <w:lang w:val="en-GB" w:eastAsia="fr-FR"/>
    </w:rPr>
  </w:style>
  <w:style w:type="character" w:styleId="Lienhypertextesuivivisit">
    <w:name w:val="FollowedHyperlink"/>
    <w:basedOn w:val="Policepardfaut"/>
    <w:uiPriority w:val="99"/>
    <w:semiHidden/>
    <w:unhideWhenUsed/>
    <w:rsid w:val="00AC417B"/>
    <w:rPr>
      <w:color w:val="954F72" w:themeColor="followedHyperlink"/>
      <w:u w:val="single"/>
    </w:rPr>
  </w:style>
  <w:style w:type="paragraph" w:styleId="TM4">
    <w:name w:val="toc 4"/>
    <w:basedOn w:val="Normal"/>
    <w:next w:val="Normal"/>
    <w:autoRedefine/>
    <w:uiPriority w:val="39"/>
    <w:unhideWhenUsed/>
    <w:rsid w:val="00DA4697"/>
    <w:pPr>
      <w:tabs>
        <w:tab w:val="left" w:pos="1540"/>
        <w:tab w:val="right" w:leader="dot" w:pos="9070"/>
      </w:tabs>
      <w:spacing w:after="100" w:line="240" w:lineRule="auto"/>
      <w:ind w:left="660"/>
      <w:jc w:val="left"/>
    </w:pPr>
    <w:rPr>
      <w:noProof/>
    </w:rPr>
  </w:style>
  <w:style w:type="paragraph" w:styleId="Listenumros2">
    <w:name w:val="List Number 2"/>
    <w:basedOn w:val="Normal"/>
    <w:uiPriority w:val="99"/>
    <w:unhideWhenUsed/>
    <w:rsid w:val="004502A1"/>
    <w:pPr>
      <w:numPr>
        <w:numId w:val="7"/>
      </w:numPr>
      <w:contextualSpacing/>
    </w:pPr>
  </w:style>
  <w:style w:type="paragraph" w:styleId="Listenumros3">
    <w:name w:val="List Number 3"/>
    <w:basedOn w:val="Normal"/>
    <w:uiPriority w:val="99"/>
    <w:unhideWhenUsed/>
    <w:rsid w:val="004502A1"/>
    <w:pPr>
      <w:numPr>
        <w:numId w:val="8"/>
      </w:numPr>
      <w:contextualSpacing/>
    </w:pPr>
  </w:style>
  <w:style w:type="paragraph" w:styleId="Listenumros4">
    <w:name w:val="List Number 4"/>
    <w:basedOn w:val="Normal"/>
    <w:uiPriority w:val="99"/>
    <w:unhideWhenUsed/>
    <w:rsid w:val="004502A1"/>
    <w:pPr>
      <w:numPr>
        <w:numId w:val="9"/>
      </w:numPr>
      <w:contextualSpacing/>
    </w:pPr>
  </w:style>
  <w:style w:type="paragraph" w:styleId="Listenumros5">
    <w:name w:val="List Number 5"/>
    <w:basedOn w:val="Normal"/>
    <w:uiPriority w:val="99"/>
    <w:unhideWhenUsed/>
    <w:rsid w:val="004502A1"/>
    <w:pPr>
      <w:numPr>
        <w:numId w:val="10"/>
      </w:numPr>
      <w:contextualSpacing/>
    </w:pPr>
  </w:style>
  <w:style w:type="paragraph" w:styleId="NormalWeb">
    <w:name w:val="Normal (Web)"/>
    <w:basedOn w:val="Normal"/>
    <w:uiPriority w:val="99"/>
    <w:unhideWhenUsed/>
    <w:rsid w:val="004111F2"/>
    <w:rPr>
      <w:rFonts w:ascii="Times New Roman" w:hAnsi="Times New Roman" w:cs="Times New Roman"/>
      <w:sz w:val="24"/>
      <w:szCs w:val="24"/>
    </w:rPr>
  </w:style>
  <w:style w:type="paragraph" w:styleId="Rvision">
    <w:name w:val="Revision"/>
    <w:hidden/>
    <w:uiPriority w:val="99"/>
    <w:semiHidden/>
    <w:rsid w:val="00B006A7"/>
    <w:pPr>
      <w:spacing w:after="0" w:line="240" w:lineRule="auto"/>
    </w:pPr>
    <w:rPr>
      <w:color w:val="262626" w:themeColor="text1" w:themeTint="D9"/>
    </w:rPr>
  </w:style>
  <w:style w:type="paragraph" w:customStyle="1" w:styleId="pf0">
    <w:name w:val="pf0"/>
    <w:basedOn w:val="Normal"/>
    <w:rsid w:val="00E732C2"/>
    <w:pPr>
      <w:spacing w:before="100" w:beforeAutospacing="1" w:after="100" w:afterAutospacing="1" w:line="240" w:lineRule="auto"/>
      <w:jc w:val="left"/>
    </w:pPr>
    <w:rPr>
      <w:rFonts w:ascii="Times New Roman" w:eastAsia="Times New Roman" w:hAnsi="Times New Roman" w:cs="Times New Roman"/>
      <w:color w:val="auto"/>
      <w:sz w:val="24"/>
      <w:szCs w:val="24"/>
      <w:lang w:eastAsia="fr-FR"/>
    </w:rPr>
  </w:style>
  <w:style w:type="character" w:customStyle="1" w:styleId="cf01">
    <w:name w:val="cf01"/>
    <w:basedOn w:val="Policepardfaut"/>
    <w:rsid w:val="00E732C2"/>
    <w:rPr>
      <w:rFonts w:ascii="Segoe UI" w:hAnsi="Segoe UI" w:cs="Segoe UI" w:hint="default"/>
      <w:color w:val="262626"/>
      <w:sz w:val="18"/>
      <w:szCs w:val="18"/>
    </w:rPr>
  </w:style>
  <w:style w:type="paragraph" w:customStyle="1" w:styleId="retenir">
    <w:name w:val="à retenir"/>
    <w:basedOn w:val="TitreEncart"/>
    <w:link w:val="retenirCar"/>
    <w:qFormat/>
    <w:rsid w:val="004C7112"/>
    <w:pPr>
      <w:pBdr>
        <w:top w:val="single" w:sz="18" w:space="1" w:color="155E48"/>
        <w:left w:val="single" w:sz="18" w:space="4" w:color="155E48"/>
        <w:bottom w:val="single" w:sz="18" w:space="1" w:color="155E48"/>
        <w:right w:val="single" w:sz="18" w:space="4" w:color="155E48"/>
        <w:between w:val="none" w:sz="0" w:space="0" w:color="auto"/>
      </w:pBdr>
      <w:shd w:val="clear" w:color="219370" w:fill="155E48"/>
    </w:pPr>
    <w:rPr>
      <w:bCs/>
      <w:color w:val="FFFFFF" w:themeColor="background1"/>
    </w:rPr>
  </w:style>
  <w:style w:type="character" w:customStyle="1" w:styleId="TitreEncartCar">
    <w:name w:val="Titre Encart Car"/>
    <w:basedOn w:val="Policepardfaut"/>
    <w:link w:val="TitreEncart"/>
    <w:rsid w:val="004C7112"/>
    <w:rPr>
      <w:b/>
      <w:color w:val="4B5943"/>
    </w:rPr>
  </w:style>
  <w:style w:type="character" w:customStyle="1" w:styleId="retenirCar">
    <w:name w:val="à retenir Car"/>
    <w:basedOn w:val="TitreEncartCar"/>
    <w:link w:val="retenir"/>
    <w:rsid w:val="004C7112"/>
    <w:rPr>
      <w:b/>
      <w:bCs/>
      <w:color w:val="FFFFFF" w:themeColor="background1"/>
      <w:shd w:val="clear" w:color="219370" w:fill="155E48"/>
    </w:rPr>
  </w:style>
  <w:style w:type="paragraph" w:customStyle="1" w:styleId="TitreencartREX">
    <w:name w:val="Titre encart REX"/>
    <w:basedOn w:val="retenir"/>
    <w:link w:val="TitreencartREXCar"/>
    <w:qFormat/>
    <w:rsid w:val="00F25788"/>
  </w:style>
  <w:style w:type="character" w:customStyle="1" w:styleId="TitreencartREXCar">
    <w:name w:val="Titre encart REX Car"/>
    <w:basedOn w:val="retenirCar"/>
    <w:link w:val="TitreencartREX"/>
    <w:rsid w:val="00F25788"/>
    <w:rPr>
      <w:b/>
      <w:bCs/>
      <w:color w:val="FFFFFF" w:themeColor="background1"/>
      <w:shd w:val="clear" w:color="219370" w:fill="155E48"/>
    </w:rPr>
  </w:style>
  <w:style w:type="paragraph" w:customStyle="1" w:styleId="Default">
    <w:name w:val="Default"/>
    <w:rsid w:val="00754315"/>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529924">
      <w:bodyDiv w:val="1"/>
      <w:marLeft w:val="0"/>
      <w:marRight w:val="0"/>
      <w:marTop w:val="0"/>
      <w:marBottom w:val="0"/>
      <w:divBdr>
        <w:top w:val="none" w:sz="0" w:space="0" w:color="auto"/>
        <w:left w:val="none" w:sz="0" w:space="0" w:color="auto"/>
        <w:bottom w:val="none" w:sz="0" w:space="0" w:color="auto"/>
        <w:right w:val="none" w:sz="0" w:space="0" w:color="auto"/>
      </w:divBdr>
      <w:divsChild>
        <w:div w:id="6173388">
          <w:marLeft w:val="0"/>
          <w:marRight w:val="0"/>
          <w:marTop w:val="0"/>
          <w:marBottom w:val="0"/>
          <w:divBdr>
            <w:top w:val="none" w:sz="0" w:space="0" w:color="auto"/>
            <w:left w:val="none" w:sz="0" w:space="0" w:color="auto"/>
            <w:bottom w:val="none" w:sz="0" w:space="0" w:color="auto"/>
            <w:right w:val="none" w:sz="0" w:space="0" w:color="auto"/>
          </w:divBdr>
        </w:div>
        <w:div w:id="11496321">
          <w:marLeft w:val="0"/>
          <w:marRight w:val="0"/>
          <w:marTop w:val="0"/>
          <w:marBottom w:val="0"/>
          <w:divBdr>
            <w:top w:val="none" w:sz="0" w:space="0" w:color="auto"/>
            <w:left w:val="none" w:sz="0" w:space="0" w:color="auto"/>
            <w:bottom w:val="none" w:sz="0" w:space="0" w:color="auto"/>
            <w:right w:val="none" w:sz="0" w:space="0" w:color="auto"/>
          </w:divBdr>
        </w:div>
        <w:div w:id="13775584">
          <w:marLeft w:val="0"/>
          <w:marRight w:val="0"/>
          <w:marTop w:val="0"/>
          <w:marBottom w:val="0"/>
          <w:divBdr>
            <w:top w:val="none" w:sz="0" w:space="0" w:color="auto"/>
            <w:left w:val="none" w:sz="0" w:space="0" w:color="auto"/>
            <w:bottom w:val="none" w:sz="0" w:space="0" w:color="auto"/>
            <w:right w:val="none" w:sz="0" w:space="0" w:color="auto"/>
          </w:divBdr>
        </w:div>
        <w:div w:id="27223663">
          <w:marLeft w:val="0"/>
          <w:marRight w:val="0"/>
          <w:marTop w:val="0"/>
          <w:marBottom w:val="0"/>
          <w:divBdr>
            <w:top w:val="none" w:sz="0" w:space="0" w:color="auto"/>
            <w:left w:val="none" w:sz="0" w:space="0" w:color="auto"/>
            <w:bottom w:val="none" w:sz="0" w:space="0" w:color="auto"/>
            <w:right w:val="none" w:sz="0" w:space="0" w:color="auto"/>
          </w:divBdr>
        </w:div>
        <w:div w:id="34543051">
          <w:marLeft w:val="0"/>
          <w:marRight w:val="0"/>
          <w:marTop w:val="0"/>
          <w:marBottom w:val="0"/>
          <w:divBdr>
            <w:top w:val="none" w:sz="0" w:space="0" w:color="auto"/>
            <w:left w:val="none" w:sz="0" w:space="0" w:color="auto"/>
            <w:bottom w:val="none" w:sz="0" w:space="0" w:color="auto"/>
            <w:right w:val="none" w:sz="0" w:space="0" w:color="auto"/>
          </w:divBdr>
        </w:div>
        <w:div w:id="45640127">
          <w:marLeft w:val="0"/>
          <w:marRight w:val="0"/>
          <w:marTop w:val="0"/>
          <w:marBottom w:val="0"/>
          <w:divBdr>
            <w:top w:val="none" w:sz="0" w:space="0" w:color="auto"/>
            <w:left w:val="none" w:sz="0" w:space="0" w:color="auto"/>
            <w:bottom w:val="none" w:sz="0" w:space="0" w:color="auto"/>
            <w:right w:val="none" w:sz="0" w:space="0" w:color="auto"/>
          </w:divBdr>
        </w:div>
        <w:div w:id="45757939">
          <w:marLeft w:val="0"/>
          <w:marRight w:val="0"/>
          <w:marTop w:val="0"/>
          <w:marBottom w:val="0"/>
          <w:divBdr>
            <w:top w:val="none" w:sz="0" w:space="0" w:color="auto"/>
            <w:left w:val="none" w:sz="0" w:space="0" w:color="auto"/>
            <w:bottom w:val="none" w:sz="0" w:space="0" w:color="auto"/>
            <w:right w:val="none" w:sz="0" w:space="0" w:color="auto"/>
          </w:divBdr>
        </w:div>
        <w:div w:id="47530970">
          <w:marLeft w:val="0"/>
          <w:marRight w:val="0"/>
          <w:marTop w:val="0"/>
          <w:marBottom w:val="0"/>
          <w:divBdr>
            <w:top w:val="none" w:sz="0" w:space="0" w:color="auto"/>
            <w:left w:val="none" w:sz="0" w:space="0" w:color="auto"/>
            <w:bottom w:val="none" w:sz="0" w:space="0" w:color="auto"/>
            <w:right w:val="none" w:sz="0" w:space="0" w:color="auto"/>
          </w:divBdr>
        </w:div>
        <w:div w:id="61174004">
          <w:marLeft w:val="0"/>
          <w:marRight w:val="0"/>
          <w:marTop w:val="0"/>
          <w:marBottom w:val="0"/>
          <w:divBdr>
            <w:top w:val="none" w:sz="0" w:space="0" w:color="auto"/>
            <w:left w:val="none" w:sz="0" w:space="0" w:color="auto"/>
            <w:bottom w:val="none" w:sz="0" w:space="0" w:color="auto"/>
            <w:right w:val="none" w:sz="0" w:space="0" w:color="auto"/>
          </w:divBdr>
        </w:div>
        <w:div w:id="69696310">
          <w:marLeft w:val="0"/>
          <w:marRight w:val="0"/>
          <w:marTop w:val="0"/>
          <w:marBottom w:val="0"/>
          <w:divBdr>
            <w:top w:val="none" w:sz="0" w:space="0" w:color="auto"/>
            <w:left w:val="none" w:sz="0" w:space="0" w:color="auto"/>
            <w:bottom w:val="none" w:sz="0" w:space="0" w:color="auto"/>
            <w:right w:val="none" w:sz="0" w:space="0" w:color="auto"/>
          </w:divBdr>
        </w:div>
        <w:div w:id="76369618">
          <w:marLeft w:val="0"/>
          <w:marRight w:val="0"/>
          <w:marTop w:val="0"/>
          <w:marBottom w:val="0"/>
          <w:divBdr>
            <w:top w:val="none" w:sz="0" w:space="0" w:color="auto"/>
            <w:left w:val="none" w:sz="0" w:space="0" w:color="auto"/>
            <w:bottom w:val="none" w:sz="0" w:space="0" w:color="auto"/>
            <w:right w:val="none" w:sz="0" w:space="0" w:color="auto"/>
          </w:divBdr>
        </w:div>
        <w:div w:id="99229652">
          <w:marLeft w:val="0"/>
          <w:marRight w:val="0"/>
          <w:marTop w:val="0"/>
          <w:marBottom w:val="0"/>
          <w:divBdr>
            <w:top w:val="none" w:sz="0" w:space="0" w:color="auto"/>
            <w:left w:val="none" w:sz="0" w:space="0" w:color="auto"/>
            <w:bottom w:val="none" w:sz="0" w:space="0" w:color="auto"/>
            <w:right w:val="none" w:sz="0" w:space="0" w:color="auto"/>
          </w:divBdr>
        </w:div>
        <w:div w:id="126238067">
          <w:marLeft w:val="0"/>
          <w:marRight w:val="0"/>
          <w:marTop w:val="0"/>
          <w:marBottom w:val="0"/>
          <w:divBdr>
            <w:top w:val="none" w:sz="0" w:space="0" w:color="auto"/>
            <w:left w:val="none" w:sz="0" w:space="0" w:color="auto"/>
            <w:bottom w:val="none" w:sz="0" w:space="0" w:color="auto"/>
            <w:right w:val="none" w:sz="0" w:space="0" w:color="auto"/>
          </w:divBdr>
        </w:div>
        <w:div w:id="141508425">
          <w:marLeft w:val="0"/>
          <w:marRight w:val="0"/>
          <w:marTop w:val="0"/>
          <w:marBottom w:val="0"/>
          <w:divBdr>
            <w:top w:val="none" w:sz="0" w:space="0" w:color="auto"/>
            <w:left w:val="none" w:sz="0" w:space="0" w:color="auto"/>
            <w:bottom w:val="none" w:sz="0" w:space="0" w:color="auto"/>
            <w:right w:val="none" w:sz="0" w:space="0" w:color="auto"/>
          </w:divBdr>
        </w:div>
        <w:div w:id="148638493">
          <w:marLeft w:val="0"/>
          <w:marRight w:val="0"/>
          <w:marTop w:val="0"/>
          <w:marBottom w:val="0"/>
          <w:divBdr>
            <w:top w:val="none" w:sz="0" w:space="0" w:color="auto"/>
            <w:left w:val="none" w:sz="0" w:space="0" w:color="auto"/>
            <w:bottom w:val="none" w:sz="0" w:space="0" w:color="auto"/>
            <w:right w:val="none" w:sz="0" w:space="0" w:color="auto"/>
          </w:divBdr>
        </w:div>
        <w:div w:id="151600810">
          <w:marLeft w:val="0"/>
          <w:marRight w:val="0"/>
          <w:marTop w:val="0"/>
          <w:marBottom w:val="0"/>
          <w:divBdr>
            <w:top w:val="none" w:sz="0" w:space="0" w:color="auto"/>
            <w:left w:val="none" w:sz="0" w:space="0" w:color="auto"/>
            <w:bottom w:val="none" w:sz="0" w:space="0" w:color="auto"/>
            <w:right w:val="none" w:sz="0" w:space="0" w:color="auto"/>
          </w:divBdr>
        </w:div>
        <w:div w:id="155998989">
          <w:marLeft w:val="0"/>
          <w:marRight w:val="0"/>
          <w:marTop w:val="0"/>
          <w:marBottom w:val="0"/>
          <w:divBdr>
            <w:top w:val="none" w:sz="0" w:space="0" w:color="auto"/>
            <w:left w:val="none" w:sz="0" w:space="0" w:color="auto"/>
            <w:bottom w:val="none" w:sz="0" w:space="0" w:color="auto"/>
            <w:right w:val="none" w:sz="0" w:space="0" w:color="auto"/>
          </w:divBdr>
        </w:div>
        <w:div w:id="158011311">
          <w:marLeft w:val="0"/>
          <w:marRight w:val="0"/>
          <w:marTop w:val="0"/>
          <w:marBottom w:val="0"/>
          <w:divBdr>
            <w:top w:val="none" w:sz="0" w:space="0" w:color="auto"/>
            <w:left w:val="none" w:sz="0" w:space="0" w:color="auto"/>
            <w:bottom w:val="none" w:sz="0" w:space="0" w:color="auto"/>
            <w:right w:val="none" w:sz="0" w:space="0" w:color="auto"/>
          </w:divBdr>
        </w:div>
        <w:div w:id="165941132">
          <w:marLeft w:val="0"/>
          <w:marRight w:val="0"/>
          <w:marTop w:val="0"/>
          <w:marBottom w:val="0"/>
          <w:divBdr>
            <w:top w:val="none" w:sz="0" w:space="0" w:color="auto"/>
            <w:left w:val="none" w:sz="0" w:space="0" w:color="auto"/>
            <w:bottom w:val="none" w:sz="0" w:space="0" w:color="auto"/>
            <w:right w:val="none" w:sz="0" w:space="0" w:color="auto"/>
          </w:divBdr>
        </w:div>
        <w:div w:id="167908739">
          <w:marLeft w:val="0"/>
          <w:marRight w:val="0"/>
          <w:marTop w:val="0"/>
          <w:marBottom w:val="0"/>
          <w:divBdr>
            <w:top w:val="none" w:sz="0" w:space="0" w:color="auto"/>
            <w:left w:val="none" w:sz="0" w:space="0" w:color="auto"/>
            <w:bottom w:val="none" w:sz="0" w:space="0" w:color="auto"/>
            <w:right w:val="none" w:sz="0" w:space="0" w:color="auto"/>
          </w:divBdr>
        </w:div>
        <w:div w:id="177550802">
          <w:marLeft w:val="0"/>
          <w:marRight w:val="0"/>
          <w:marTop w:val="0"/>
          <w:marBottom w:val="0"/>
          <w:divBdr>
            <w:top w:val="none" w:sz="0" w:space="0" w:color="auto"/>
            <w:left w:val="none" w:sz="0" w:space="0" w:color="auto"/>
            <w:bottom w:val="none" w:sz="0" w:space="0" w:color="auto"/>
            <w:right w:val="none" w:sz="0" w:space="0" w:color="auto"/>
          </w:divBdr>
        </w:div>
        <w:div w:id="187178432">
          <w:marLeft w:val="0"/>
          <w:marRight w:val="0"/>
          <w:marTop w:val="0"/>
          <w:marBottom w:val="0"/>
          <w:divBdr>
            <w:top w:val="none" w:sz="0" w:space="0" w:color="auto"/>
            <w:left w:val="none" w:sz="0" w:space="0" w:color="auto"/>
            <w:bottom w:val="none" w:sz="0" w:space="0" w:color="auto"/>
            <w:right w:val="none" w:sz="0" w:space="0" w:color="auto"/>
          </w:divBdr>
        </w:div>
        <w:div w:id="188180149">
          <w:marLeft w:val="0"/>
          <w:marRight w:val="0"/>
          <w:marTop w:val="0"/>
          <w:marBottom w:val="0"/>
          <w:divBdr>
            <w:top w:val="none" w:sz="0" w:space="0" w:color="auto"/>
            <w:left w:val="none" w:sz="0" w:space="0" w:color="auto"/>
            <w:bottom w:val="none" w:sz="0" w:space="0" w:color="auto"/>
            <w:right w:val="none" w:sz="0" w:space="0" w:color="auto"/>
          </w:divBdr>
        </w:div>
        <w:div w:id="191191212">
          <w:marLeft w:val="0"/>
          <w:marRight w:val="0"/>
          <w:marTop w:val="0"/>
          <w:marBottom w:val="0"/>
          <w:divBdr>
            <w:top w:val="none" w:sz="0" w:space="0" w:color="auto"/>
            <w:left w:val="none" w:sz="0" w:space="0" w:color="auto"/>
            <w:bottom w:val="none" w:sz="0" w:space="0" w:color="auto"/>
            <w:right w:val="none" w:sz="0" w:space="0" w:color="auto"/>
          </w:divBdr>
        </w:div>
        <w:div w:id="192772683">
          <w:marLeft w:val="0"/>
          <w:marRight w:val="0"/>
          <w:marTop w:val="0"/>
          <w:marBottom w:val="0"/>
          <w:divBdr>
            <w:top w:val="none" w:sz="0" w:space="0" w:color="auto"/>
            <w:left w:val="none" w:sz="0" w:space="0" w:color="auto"/>
            <w:bottom w:val="none" w:sz="0" w:space="0" w:color="auto"/>
            <w:right w:val="none" w:sz="0" w:space="0" w:color="auto"/>
          </w:divBdr>
        </w:div>
        <w:div w:id="194273535">
          <w:marLeft w:val="0"/>
          <w:marRight w:val="0"/>
          <w:marTop w:val="0"/>
          <w:marBottom w:val="0"/>
          <w:divBdr>
            <w:top w:val="none" w:sz="0" w:space="0" w:color="auto"/>
            <w:left w:val="none" w:sz="0" w:space="0" w:color="auto"/>
            <w:bottom w:val="none" w:sz="0" w:space="0" w:color="auto"/>
            <w:right w:val="none" w:sz="0" w:space="0" w:color="auto"/>
          </w:divBdr>
        </w:div>
        <w:div w:id="207382880">
          <w:marLeft w:val="0"/>
          <w:marRight w:val="0"/>
          <w:marTop w:val="0"/>
          <w:marBottom w:val="0"/>
          <w:divBdr>
            <w:top w:val="none" w:sz="0" w:space="0" w:color="auto"/>
            <w:left w:val="none" w:sz="0" w:space="0" w:color="auto"/>
            <w:bottom w:val="none" w:sz="0" w:space="0" w:color="auto"/>
            <w:right w:val="none" w:sz="0" w:space="0" w:color="auto"/>
          </w:divBdr>
        </w:div>
        <w:div w:id="210776171">
          <w:marLeft w:val="0"/>
          <w:marRight w:val="0"/>
          <w:marTop w:val="0"/>
          <w:marBottom w:val="0"/>
          <w:divBdr>
            <w:top w:val="none" w:sz="0" w:space="0" w:color="auto"/>
            <w:left w:val="none" w:sz="0" w:space="0" w:color="auto"/>
            <w:bottom w:val="none" w:sz="0" w:space="0" w:color="auto"/>
            <w:right w:val="none" w:sz="0" w:space="0" w:color="auto"/>
          </w:divBdr>
        </w:div>
        <w:div w:id="215556224">
          <w:marLeft w:val="0"/>
          <w:marRight w:val="0"/>
          <w:marTop w:val="0"/>
          <w:marBottom w:val="0"/>
          <w:divBdr>
            <w:top w:val="none" w:sz="0" w:space="0" w:color="auto"/>
            <w:left w:val="none" w:sz="0" w:space="0" w:color="auto"/>
            <w:bottom w:val="none" w:sz="0" w:space="0" w:color="auto"/>
            <w:right w:val="none" w:sz="0" w:space="0" w:color="auto"/>
          </w:divBdr>
        </w:div>
        <w:div w:id="224683860">
          <w:marLeft w:val="0"/>
          <w:marRight w:val="0"/>
          <w:marTop w:val="0"/>
          <w:marBottom w:val="0"/>
          <w:divBdr>
            <w:top w:val="none" w:sz="0" w:space="0" w:color="auto"/>
            <w:left w:val="none" w:sz="0" w:space="0" w:color="auto"/>
            <w:bottom w:val="none" w:sz="0" w:space="0" w:color="auto"/>
            <w:right w:val="none" w:sz="0" w:space="0" w:color="auto"/>
          </w:divBdr>
        </w:div>
        <w:div w:id="233971974">
          <w:marLeft w:val="0"/>
          <w:marRight w:val="0"/>
          <w:marTop w:val="0"/>
          <w:marBottom w:val="0"/>
          <w:divBdr>
            <w:top w:val="none" w:sz="0" w:space="0" w:color="auto"/>
            <w:left w:val="none" w:sz="0" w:space="0" w:color="auto"/>
            <w:bottom w:val="none" w:sz="0" w:space="0" w:color="auto"/>
            <w:right w:val="none" w:sz="0" w:space="0" w:color="auto"/>
          </w:divBdr>
        </w:div>
        <w:div w:id="236936898">
          <w:marLeft w:val="0"/>
          <w:marRight w:val="0"/>
          <w:marTop w:val="0"/>
          <w:marBottom w:val="0"/>
          <w:divBdr>
            <w:top w:val="none" w:sz="0" w:space="0" w:color="auto"/>
            <w:left w:val="none" w:sz="0" w:space="0" w:color="auto"/>
            <w:bottom w:val="none" w:sz="0" w:space="0" w:color="auto"/>
            <w:right w:val="none" w:sz="0" w:space="0" w:color="auto"/>
          </w:divBdr>
        </w:div>
        <w:div w:id="247930834">
          <w:marLeft w:val="0"/>
          <w:marRight w:val="0"/>
          <w:marTop w:val="0"/>
          <w:marBottom w:val="0"/>
          <w:divBdr>
            <w:top w:val="none" w:sz="0" w:space="0" w:color="auto"/>
            <w:left w:val="none" w:sz="0" w:space="0" w:color="auto"/>
            <w:bottom w:val="none" w:sz="0" w:space="0" w:color="auto"/>
            <w:right w:val="none" w:sz="0" w:space="0" w:color="auto"/>
          </w:divBdr>
        </w:div>
        <w:div w:id="262080555">
          <w:marLeft w:val="0"/>
          <w:marRight w:val="0"/>
          <w:marTop w:val="0"/>
          <w:marBottom w:val="0"/>
          <w:divBdr>
            <w:top w:val="none" w:sz="0" w:space="0" w:color="auto"/>
            <w:left w:val="none" w:sz="0" w:space="0" w:color="auto"/>
            <w:bottom w:val="none" w:sz="0" w:space="0" w:color="auto"/>
            <w:right w:val="none" w:sz="0" w:space="0" w:color="auto"/>
          </w:divBdr>
        </w:div>
        <w:div w:id="265431103">
          <w:marLeft w:val="0"/>
          <w:marRight w:val="0"/>
          <w:marTop w:val="0"/>
          <w:marBottom w:val="0"/>
          <w:divBdr>
            <w:top w:val="none" w:sz="0" w:space="0" w:color="auto"/>
            <w:left w:val="none" w:sz="0" w:space="0" w:color="auto"/>
            <w:bottom w:val="none" w:sz="0" w:space="0" w:color="auto"/>
            <w:right w:val="none" w:sz="0" w:space="0" w:color="auto"/>
          </w:divBdr>
        </w:div>
        <w:div w:id="301352417">
          <w:marLeft w:val="0"/>
          <w:marRight w:val="0"/>
          <w:marTop w:val="0"/>
          <w:marBottom w:val="0"/>
          <w:divBdr>
            <w:top w:val="none" w:sz="0" w:space="0" w:color="auto"/>
            <w:left w:val="none" w:sz="0" w:space="0" w:color="auto"/>
            <w:bottom w:val="none" w:sz="0" w:space="0" w:color="auto"/>
            <w:right w:val="none" w:sz="0" w:space="0" w:color="auto"/>
          </w:divBdr>
        </w:div>
        <w:div w:id="348144283">
          <w:marLeft w:val="0"/>
          <w:marRight w:val="0"/>
          <w:marTop w:val="0"/>
          <w:marBottom w:val="0"/>
          <w:divBdr>
            <w:top w:val="none" w:sz="0" w:space="0" w:color="auto"/>
            <w:left w:val="none" w:sz="0" w:space="0" w:color="auto"/>
            <w:bottom w:val="none" w:sz="0" w:space="0" w:color="auto"/>
            <w:right w:val="none" w:sz="0" w:space="0" w:color="auto"/>
          </w:divBdr>
        </w:div>
        <w:div w:id="349992861">
          <w:marLeft w:val="0"/>
          <w:marRight w:val="0"/>
          <w:marTop w:val="0"/>
          <w:marBottom w:val="0"/>
          <w:divBdr>
            <w:top w:val="none" w:sz="0" w:space="0" w:color="auto"/>
            <w:left w:val="none" w:sz="0" w:space="0" w:color="auto"/>
            <w:bottom w:val="none" w:sz="0" w:space="0" w:color="auto"/>
            <w:right w:val="none" w:sz="0" w:space="0" w:color="auto"/>
          </w:divBdr>
        </w:div>
        <w:div w:id="354767328">
          <w:marLeft w:val="0"/>
          <w:marRight w:val="0"/>
          <w:marTop w:val="0"/>
          <w:marBottom w:val="0"/>
          <w:divBdr>
            <w:top w:val="none" w:sz="0" w:space="0" w:color="auto"/>
            <w:left w:val="none" w:sz="0" w:space="0" w:color="auto"/>
            <w:bottom w:val="none" w:sz="0" w:space="0" w:color="auto"/>
            <w:right w:val="none" w:sz="0" w:space="0" w:color="auto"/>
          </w:divBdr>
        </w:div>
        <w:div w:id="403452827">
          <w:marLeft w:val="0"/>
          <w:marRight w:val="0"/>
          <w:marTop w:val="0"/>
          <w:marBottom w:val="0"/>
          <w:divBdr>
            <w:top w:val="none" w:sz="0" w:space="0" w:color="auto"/>
            <w:left w:val="none" w:sz="0" w:space="0" w:color="auto"/>
            <w:bottom w:val="none" w:sz="0" w:space="0" w:color="auto"/>
            <w:right w:val="none" w:sz="0" w:space="0" w:color="auto"/>
          </w:divBdr>
        </w:div>
        <w:div w:id="412748395">
          <w:marLeft w:val="0"/>
          <w:marRight w:val="0"/>
          <w:marTop w:val="0"/>
          <w:marBottom w:val="0"/>
          <w:divBdr>
            <w:top w:val="none" w:sz="0" w:space="0" w:color="auto"/>
            <w:left w:val="none" w:sz="0" w:space="0" w:color="auto"/>
            <w:bottom w:val="none" w:sz="0" w:space="0" w:color="auto"/>
            <w:right w:val="none" w:sz="0" w:space="0" w:color="auto"/>
          </w:divBdr>
        </w:div>
        <w:div w:id="426584801">
          <w:marLeft w:val="0"/>
          <w:marRight w:val="0"/>
          <w:marTop w:val="0"/>
          <w:marBottom w:val="0"/>
          <w:divBdr>
            <w:top w:val="none" w:sz="0" w:space="0" w:color="auto"/>
            <w:left w:val="none" w:sz="0" w:space="0" w:color="auto"/>
            <w:bottom w:val="none" w:sz="0" w:space="0" w:color="auto"/>
            <w:right w:val="none" w:sz="0" w:space="0" w:color="auto"/>
          </w:divBdr>
        </w:div>
        <w:div w:id="442462995">
          <w:marLeft w:val="0"/>
          <w:marRight w:val="0"/>
          <w:marTop w:val="0"/>
          <w:marBottom w:val="0"/>
          <w:divBdr>
            <w:top w:val="none" w:sz="0" w:space="0" w:color="auto"/>
            <w:left w:val="none" w:sz="0" w:space="0" w:color="auto"/>
            <w:bottom w:val="none" w:sz="0" w:space="0" w:color="auto"/>
            <w:right w:val="none" w:sz="0" w:space="0" w:color="auto"/>
          </w:divBdr>
        </w:div>
        <w:div w:id="457384139">
          <w:marLeft w:val="0"/>
          <w:marRight w:val="0"/>
          <w:marTop w:val="0"/>
          <w:marBottom w:val="0"/>
          <w:divBdr>
            <w:top w:val="none" w:sz="0" w:space="0" w:color="auto"/>
            <w:left w:val="none" w:sz="0" w:space="0" w:color="auto"/>
            <w:bottom w:val="none" w:sz="0" w:space="0" w:color="auto"/>
            <w:right w:val="none" w:sz="0" w:space="0" w:color="auto"/>
          </w:divBdr>
        </w:div>
        <w:div w:id="459616004">
          <w:marLeft w:val="0"/>
          <w:marRight w:val="0"/>
          <w:marTop w:val="0"/>
          <w:marBottom w:val="0"/>
          <w:divBdr>
            <w:top w:val="none" w:sz="0" w:space="0" w:color="auto"/>
            <w:left w:val="none" w:sz="0" w:space="0" w:color="auto"/>
            <w:bottom w:val="none" w:sz="0" w:space="0" w:color="auto"/>
            <w:right w:val="none" w:sz="0" w:space="0" w:color="auto"/>
          </w:divBdr>
        </w:div>
        <w:div w:id="465856068">
          <w:marLeft w:val="0"/>
          <w:marRight w:val="0"/>
          <w:marTop w:val="0"/>
          <w:marBottom w:val="0"/>
          <w:divBdr>
            <w:top w:val="none" w:sz="0" w:space="0" w:color="auto"/>
            <w:left w:val="none" w:sz="0" w:space="0" w:color="auto"/>
            <w:bottom w:val="none" w:sz="0" w:space="0" w:color="auto"/>
            <w:right w:val="none" w:sz="0" w:space="0" w:color="auto"/>
          </w:divBdr>
        </w:div>
        <w:div w:id="487988286">
          <w:marLeft w:val="0"/>
          <w:marRight w:val="0"/>
          <w:marTop w:val="0"/>
          <w:marBottom w:val="0"/>
          <w:divBdr>
            <w:top w:val="none" w:sz="0" w:space="0" w:color="auto"/>
            <w:left w:val="none" w:sz="0" w:space="0" w:color="auto"/>
            <w:bottom w:val="none" w:sz="0" w:space="0" w:color="auto"/>
            <w:right w:val="none" w:sz="0" w:space="0" w:color="auto"/>
          </w:divBdr>
        </w:div>
        <w:div w:id="488519065">
          <w:marLeft w:val="0"/>
          <w:marRight w:val="0"/>
          <w:marTop w:val="0"/>
          <w:marBottom w:val="0"/>
          <w:divBdr>
            <w:top w:val="none" w:sz="0" w:space="0" w:color="auto"/>
            <w:left w:val="none" w:sz="0" w:space="0" w:color="auto"/>
            <w:bottom w:val="none" w:sz="0" w:space="0" w:color="auto"/>
            <w:right w:val="none" w:sz="0" w:space="0" w:color="auto"/>
          </w:divBdr>
        </w:div>
        <w:div w:id="498540050">
          <w:marLeft w:val="0"/>
          <w:marRight w:val="0"/>
          <w:marTop w:val="0"/>
          <w:marBottom w:val="0"/>
          <w:divBdr>
            <w:top w:val="none" w:sz="0" w:space="0" w:color="auto"/>
            <w:left w:val="none" w:sz="0" w:space="0" w:color="auto"/>
            <w:bottom w:val="none" w:sz="0" w:space="0" w:color="auto"/>
            <w:right w:val="none" w:sz="0" w:space="0" w:color="auto"/>
          </w:divBdr>
        </w:div>
        <w:div w:id="501552497">
          <w:marLeft w:val="0"/>
          <w:marRight w:val="0"/>
          <w:marTop w:val="0"/>
          <w:marBottom w:val="0"/>
          <w:divBdr>
            <w:top w:val="none" w:sz="0" w:space="0" w:color="auto"/>
            <w:left w:val="none" w:sz="0" w:space="0" w:color="auto"/>
            <w:bottom w:val="none" w:sz="0" w:space="0" w:color="auto"/>
            <w:right w:val="none" w:sz="0" w:space="0" w:color="auto"/>
          </w:divBdr>
        </w:div>
        <w:div w:id="506137854">
          <w:marLeft w:val="0"/>
          <w:marRight w:val="0"/>
          <w:marTop w:val="0"/>
          <w:marBottom w:val="0"/>
          <w:divBdr>
            <w:top w:val="none" w:sz="0" w:space="0" w:color="auto"/>
            <w:left w:val="none" w:sz="0" w:space="0" w:color="auto"/>
            <w:bottom w:val="none" w:sz="0" w:space="0" w:color="auto"/>
            <w:right w:val="none" w:sz="0" w:space="0" w:color="auto"/>
          </w:divBdr>
        </w:div>
        <w:div w:id="506212880">
          <w:marLeft w:val="0"/>
          <w:marRight w:val="0"/>
          <w:marTop w:val="0"/>
          <w:marBottom w:val="0"/>
          <w:divBdr>
            <w:top w:val="none" w:sz="0" w:space="0" w:color="auto"/>
            <w:left w:val="none" w:sz="0" w:space="0" w:color="auto"/>
            <w:bottom w:val="none" w:sz="0" w:space="0" w:color="auto"/>
            <w:right w:val="none" w:sz="0" w:space="0" w:color="auto"/>
          </w:divBdr>
        </w:div>
        <w:div w:id="522477707">
          <w:marLeft w:val="0"/>
          <w:marRight w:val="0"/>
          <w:marTop w:val="0"/>
          <w:marBottom w:val="0"/>
          <w:divBdr>
            <w:top w:val="none" w:sz="0" w:space="0" w:color="auto"/>
            <w:left w:val="none" w:sz="0" w:space="0" w:color="auto"/>
            <w:bottom w:val="none" w:sz="0" w:space="0" w:color="auto"/>
            <w:right w:val="none" w:sz="0" w:space="0" w:color="auto"/>
          </w:divBdr>
        </w:div>
        <w:div w:id="523707988">
          <w:marLeft w:val="0"/>
          <w:marRight w:val="0"/>
          <w:marTop w:val="0"/>
          <w:marBottom w:val="0"/>
          <w:divBdr>
            <w:top w:val="none" w:sz="0" w:space="0" w:color="auto"/>
            <w:left w:val="none" w:sz="0" w:space="0" w:color="auto"/>
            <w:bottom w:val="none" w:sz="0" w:space="0" w:color="auto"/>
            <w:right w:val="none" w:sz="0" w:space="0" w:color="auto"/>
          </w:divBdr>
        </w:div>
        <w:div w:id="527107403">
          <w:marLeft w:val="0"/>
          <w:marRight w:val="0"/>
          <w:marTop w:val="0"/>
          <w:marBottom w:val="0"/>
          <w:divBdr>
            <w:top w:val="none" w:sz="0" w:space="0" w:color="auto"/>
            <w:left w:val="none" w:sz="0" w:space="0" w:color="auto"/>
            <w:bottom w:val="none" w:sz="0" w:space="0" w:color="auto"/>
            <w:right w:val="none" w:sz="0" w:space="0" w:color="auto"/>
          </w:divBdr>
        </w:div>
        <w:div w:id="549145961">
          <w:marLeft w:val="0"/>
          <w:marRight w:val="0"/>
          <w:marTop w:val="0"/>
          <w:marBottom w:val="0"/>
          <w:divBdr>
            <w:top w:val="none" w:sz="0" w:space="0" w:color="auto"/>
            <w:left w:val="none" w:sz="0" w:space="0" w:color="auto"/>
            <w:bottom w:val="none" w:sz="0" w:space="0" w:color="auto"/>
            <w:right w:val="none" w:sz="0" w:space="0" w:color="auto"/>
          </w:divBdr>
        </w:div>
        <w:div w:id="566843561">
          <w:marLeft w:val="0"/>
          <w:marRight w:val="0"/>
          <w:marTop w:val="0"/>
          <w:marBottom w:val="0"/>
          <w:divBdr>
            <w:top w:val="none" w:sz="0" w:space="0" w:color="auto"/>
            <w:left w:val="none" w:sz="0" w:space="0" w:color="auto"/>
            <w:bottom w:val="none" w:sz="0" w:space="0" w:color="auto"/>
            <w:right w:val="none" w:sz="0" w:space="0" w:color="auto"/>
          </w:divBdr>
        </w:div>
        <w:div w:id="581915835">
          <w:marLeft w:val="0"/>
          <w:marRight w:val="0"/>
          <w:marTop w:val="0"/>
          <w:marBottom w:val="0"/>
          <w:divBdr>
            <w:top w:val="none" w:sz="0" w:space="0" w:color="auto"/>
            <w:left w:val="none" w:sz="0" w:space="0" w:color="auto"/>
            <w:bottom w:val="none" w:sz="0" w:space="0" w:color="auto"/>
            <w:right w:val="none" w:sz="0" w:space="0" w:color="auto"/>
          </w:divBdr>
        </w:div>
        <w:div w:id="612130863">
          <w:marLeft w:val="0"/>
          <w:marRight w:val="0"/>
          <w:marTop w:val="0"/>
          <w:marBottom w:val="0"/>
          <w:divBdr>
            <w:top w:val="none" w:sz="0" w:space="0" w:color="auto"/>
            <w:left w:val="none" w:sz="0" w:space="0" w:color="auto"/>
            <w:bottom w:val="none" w:sz="0" w:space="0" w:color="auto"/>
            <w:right w:val="none" w:sz="0" w:space="0" w:color="auto"/>
          </w:divBdr>
        </w:div>
        <w:div w:id="622615205">
          <w:marLeft w:val="0"/>
          <w:marRight w:val="0"/>
          <w:marTop w:val="0"/>
          <w:marBottom w:val="0"/>
          <w:divBdr>
            <w:top w:val="none" w:sz="0" w:space="0" w:color="auto"/>
            <w:left w:val="none" w:sz="0" w:space="0" w:color="auto"/>
            <w:bottom w:val="none" w:sz="0" w:space="0" w:color="auto"/>
            <w:right w:val="none" w:sz="0" w:space="0" w:color="auto"/>
          </w:divBdr>
        </w:div>
        <w:div w:id="634218476">
          <w:marLeft w:val="0"/>
          <w:marRight w:val="0"/>
          <w:marTop w:val="0"/>
          <w:marBottom w:val="0"/>
          <w:divBdr>
            <w:top w:val="none" w:sz="0" w:space="0" w:color="auto"/>
            <w:left w:val="none" w:sz="0" w:space="0" w:color="auto"/>
            <w:bottom w:val="none" w:sz="0" w:space="0" w:color="auto"/>
            <w:right w:val="none" w:sz="0" w:space="0" w:color="auto"/>
          </w:divBdr>
        </w:div>
        <w:div w:id="636687371">
          <w:marLeft w:val="0"/>
          <w:marRight w:val="0"/>
          <w:marTop w:val="0"/>
          <w:marBottom w:val="0"/>
          <w:divBdr>
            <w:top w:val="none" w:sz="0" w:space="0" w:color="auto"/>
            <w:left w:val="none" w:sz="0" w:space="0" w:color="auto"/>
            <w:bottom w:val="none" w:sz="0" w:space="0" w:color="auto"/>
            <w:right w:val="none" w:sz="0" w:space="0" w:color="auto"/>
          </w:divBdr>
        </w:div>
        <w:div w:id="640427027">
          <w:marLeft w:val="0"/>
          <w:marRight w:val="0"/>
          <w:marTop w:val="0"/>
          <w:marBottom w:val="0"/>
          <w:divBdr>
            <w:top w:val="none" w:sz="0" w:space="0" w:color="auto"/>
            <w:left w:val="none" w:sz="0" w:space="0" w:color="auto"/>
            <w:bottom w:val="none" w:sz="0" w:space="0" w:color="auto"/>
            <w:right w:val="none" w:sz="0" w:space="0" w:color="auto"/>
          </w:divBdr>
        </w:div>
        <w:div w:id="675225740">
          <w:marLeft w:val="0"/>
          <w:marRight w:val="0"/>
          <w:marTop w:val="0"/>
          <w:marBottom w:val="0"/>
          <w:divBdr>
            <w:top w:val="none" w:sz="0" w:space="0" w:color="auto"/>
            <w:left w:val="none" w:sz="0" w:space="0" w:color="auto"/>
            <w:bottom w:val="none" w:sz="0" w:space="0" w:color="auto"/>
            <w:right w:val="none" w:sz="0" w:space="0" w:color="auto"/>
          </w:divBdr>
        </w:div>
        <w:div w:id="690912805">
          <w:marLeft w:val="0"/>
          <w:marRight w:val="0"/>
          <w:marTop w:val="0"/>
          <w:marBottom w:val="0"/>
          <w:divBdr>
            <w:top w:val="none" w:sz="0" w:space="0" w:color="auto"/>
            <w:left w:val="none" w:sz="0" w:space="0" w:color="auto"/>
            <w:bottom w:val="none" w:sz="0" w:space="0" w:color="auto"/>
            <w:right w:val="none" w:sz="0" w:space="0" w:color="auto"/>
          </w:divBdr>
        </w:div>
        <w:div w:id="700520472">
          <w:marLeft w:val="0"/>
          <w:marRight w:val="0"/>
          <w:marTop w:val="0"/>
          <w:marBottom w:val="0"/>
          <w:divBdr>
            <w:top w:val="none" w:sz="0" w:space="0" w:color="auto"/>
            <w:left w:val="none" w:sz="0" w:space="0" w:color="auto"/>
            <w:bottom w:val="none" w:sz="0" w:space="0" w:color="auto"/>
            <w:right w:val="none" w:sz="0" w:space="0" w:color="auto"/>
          </w:divBdr>
        </w:div>
        <w:div w:id="701323860">
          <w:marLeft w:val="0"/>
          <w:marRight w:val="0"/>
          <w:marTop w:val="0"/>
          <w:marBottom w:val="0"/>
          <w:divBdr>
            <w:top w:val="none" w:sz="0" w:space="0" w:color="auto"/>
            <w:left w:val="none" w:sz="0" w:space="0" w:color="auto"/>
            <w:bottom w:val="none" w:sz="0" w:space="0" w:color="auto"/>
            <w:right w:val="none" w:sz="0" w:space="0" w:color="auto"/>
          </w:divBdr>
        </w:div>
        <w:div w:id="704646354">
          <w:marLeft w:val="0"/>
          <w:marRight w:val="0"/>
          <w:marTop w:val="0"/>
          <w:marBottom w:val="0"/>
          <w:divBdr>
            <w:top w:val="none" w:sz="0" w:space="0" w:color="auto"/>
            <w:left w:val="none" w:sz="0" w:space="0" w:color="auto"/>
            <w:bottom w:val="none" w:sz="0" w:space="0" w:color="auto"/>
            <w:right w:val="none" w:sz="0" w:space="0" w:color="auto"/>
          </w:divBdr>
        </w:div>
        <w:div w:id="705370854">
          <w:marLeft w:val="0"/>
          <w:marRight w:val="0"/>
          <w:marTop w:val="0"/>
          <w:marBottom w:val="0"/>
          <w:divBdr>
            <w:top w:val="none" w:sz="0" w:space="0" w:color="auto"/>
            <w:left w:val="none" w:sz="0" w:space="0" w:color="auto"/>
            <w:bottom w:val="none" w:sz="0" w:space="0" w:color="auto"/>
            <w:right w:val="none" w:sz="0" w:space="0" w:color="auto"/>
          </w:divBdr>
        </w:div>
        <w:div w:id="728961201">
          <w:marLeft w:val="0"/>
          <w:marRight w:val="0"/>
          <w:marTop w:val="0"/>
          <w:marBottom w:val="0"/>
          <w:divBdr>
            <w:top w:val="none" w:sz="0" w:space="0" w:color="auto"/>
            <w:left w:val="none" w:sz="0" w:space="0" w:color="auto"/>
            <w:bottom w:val="none" w:sz="0" w:space="0" w:color="auto"/>
            <w:right w:val="none" w:sz="0" w:space="0" w:color="auto"/>
          </w:divBdr>
        </w:div>
        <w:div w:id="731387953">
          <w:marLeft w:val="0"/>
          <w:marRight w:val="0"/>
          <w:marTop w:val="0"/>
          <w:marBottom w:val="0"/>
          <w:divBdr>
            <w:top w:val="none" w:sz="0" w:space="0" w:color="auto"/>
            <w:left w:val="none" w:sz="0" w:space="0" w:color="auto"/>
            <w:bottom w:val="none" w:sz="0" w:space="0" w:color="auto"/>
            <w:right w:val="none" w:sz="0" w:space="0" w:color="auto"/>
          </w:divBdr>
        </w:div>
        <w:div w:id="733966936">
          <w:marLeft w:val="0"/>
          <w:marRight w:val="0"/>
          <w:marTop w:val="0"/>
          <w:marBottom w:val="0"/>
          <w:divBdr>
            <w:top w:val="none" w:sz="0" w:space="0" w:color="auto"/>
            <w:left w:val="none" w:sz="0" w:space="0" w:color="auto"/>
            <w:bottom w:val="none" w:sz="0" w:space="0" w:color="auto"/>
            <w:right w:val="none" w:sz="0" w:space="0" w:color="auto"/>
          </w:divBdr>
        </w:div>
        <w:div w:id="739866914">
          <w:marLeft w:val="0"/>
          <w:marRight w:val="0"/>
          <w:marTop w:val="0"/>
          <w:marBottom w:val="0"/>
          <w:divBdr>
            <w:top w:val="none" w:sz="0" w:space="0" w:color="auto"/>
            <w:left w:val="none" w:sz="0" w:space="0" w:color="auto"/>
            <w:bottom w:val="none" w:sz="0" w:space="0" w:color="auto"/>
            <w:right w:val="none" w:sz="0" w:space="0" w:color="auto"/>
          </w:divBdr>
        </w:div>
        <w:div w:id="747968268">
          <w:marLeft w:val="0"/>
          <w:marRight w:val="0"/>
          <w:marTop w:val="0"/>
          <w:marBottom w:val="0"/>
          <w:divBdr>
            <w:top w:val="none" w:sz="0" w:space="0" w:color="auto"/>
            <w:left w:val="none" w:sz="0" w:space="0" w:color="auto"/>
            <w:bottom w:val="none" w:sz="0" w:space="0" w:color="auto"/>
            <w:right w:val="none" w:sz="0" w:space="0" w:color="auto"/>
          </w:divBdr>
        </w:div>
        <w:div w:id="763263077">
          <w:marLeft w:val="0"/>
          <w:marRight w:val="0"/>
          <w:marTop w:val="0"/>
          <w:marBottom w:val="0"/>
          <w:divBdr>
            <w:top w:val="none" w:sz="0" w:space="0" w:color="auto"/>
            <w:left w:val="none" w:sz="0" w:space="0" w:color="auto"/>
            <w:bottom w:val="none" w:sz="0" w:space="0" w:color="auto"/>
            <w:right w:val="none" w:sz="0" w:space="0" w:color="auto"/>
          </w:divBdr>
        </w:div>
        <w:div w:id="781613808">
          <w:marLeft w:val="0"/>
          <w:marRight w:val="0"/>
          <w:marTop w:val="0"/>
          <w:marBottom w:val="0"/>
          <w:divBdr>
            <w:top w:val="none" w:sz="0" w:space="0" w:color="auto"/>
            <w:left w:val="none" w:sz="0" w:space="0" w:color="auto"/>
            <w:bottom w:val="none" w:sz="0" w:space="0" w:color="auto"/>
            <w:right w:val="none" w:sz="0" w:space="0" w:color="auto"/>
          </w:divBdr>
        </w:div>
        <w:div w:id="790243636">
          <w:marLeft w:val="0"/>
          <w:marRight w:val="0"/>
          <w:marTop w:val="0"/>
          <w:marBottom w:val="0"/>
          <w:divBdr>
            <w:top w:val="none" w:sz="0" w:space="0" w:color="auto"/>
            <w:left w:val="none" w:sz="0" w:space="0" w:color="auto"/>
            <w:bottom w:val="none" w:sz="0" w:space="0" w:color="auto"/>
            <w:right w:val="none" w:sz="0" w:space="0" w:color="auto"/>
          </w:divBdr>
        </w:div>
        <w:div w:id="795566557">
          <w:marLeft w:val="0"/>
          <w:marRight w:val="0"/>
          <w:marTop w:val="0"/>
          <w:marBottom w:val="0"/>
          <w:divBdr>
            <w:top w:val="none" w:sz="0" w:space="0" w:color="auto"/>
            <w:left w:val="none" w:sz="0" w:space="0" w:color="auto"/>
            <w:bottom w:val="none" w:sz="0" w:space="0" w:color="auto"/>
            <w:right w:val="none" w:sz="0" w:space="0" w:color="auto"/>
          </w:divBdr>
        </w:div>
        <w:div w:id="805318008">
          <w:marLeft w:val="0"/>
          <w:marRight w:val="0"/>
          <w:marTop w:val="0"/>
          <w:marBottom w:val="0"/>
          <w:divBdr>
            <w:top w:val="none" w:sz="0" w:space="0" w:color="auto"/>
            <w:left w:val="none" w:sz="0" w:space="0" w:color="auto"/>
            <w:bottom w:val="none" w:sz="0" w:space="0" w:color="auto"/>
            <w:right w:val="none" w:sz="0" w:space="0" w:color="auto"/>
          </w:divBdr>
        </w:div>
        <w:div w:id="809900857">
          <w:marLeft w:val="0"/>
          <w:marRight w:val="0"/>
          <w:marTop w:val="0"/>
          <w:marBottom w:val="0"/>
          <w:divBdr>
            <w:top w:val="none" w:sz="0" w:space="0" w:color="auto"/>
            <w:left w:val="none" w:sz="0" w:space="0" w:color="auto"/>
            <w:bottom w:val="none" w:sz="0" w:space="0" w:color="auto"/>
            <w:right w:val="none" w:sz="0" w:space="0" w:color="auto"/>
          </w:divBdr>
        </w:div>
        <w:div w:id="817528061">
          <w:marLeft w:val="0"/>
          <w:marRight w:val="0"/>
          <w:marTop w:val="0"/>
          <w:marBottom w:val="0"/>
          <w:divBdr>
            <w:top w:val="none" w:sz="0" w:space="0" w:color="auto"/>
            <w:left w:val="none" w:sz="0" w:space="0" w:color="auto"/>
            <w:bottom w:val="none" w:sz="0" w:space="0" w:color="auto"/>
            <w:right w:val="none" w:sz="0" w:space="0" w:color="auto"/>
          </w:divBdr>
        </w:div>
        <w:div w:id="822086180">
          <w:marLeft w:val="0"/>
          <w:marRight w:val="0"/>
          <w:marTop w:val="0"/>
          <w:marBottom w:val="0"/>
          <w:divBdr>
            <w:top w:val="none" w:sz="0" w:space="0" w:color="auto"/>
            <w:left w:val="none" w:sz="0" w:space="0" w:color="auto"/>
            <w:bottom w:val="none" w:sz="0" w:space="0" w:color="auto"/>
            <w:right w:val="none" w:sz="0" w:space="0" w:color="auto"/>
          </w:divBdr>
        </w:div>
        <w:div w:id="827985452">
          <w:marLeft w:val="0"/>
          <w:marRight w:val="0"/>
          <w:marTop w:val="0"/>
          <w:marBottom w:val="0"/>
          <w:divBdr>
            <w:top w:val="none" w:sz="0" w:space="0" w:color="auto"/>
            <w:left w:val="none" w:sz="0" w:space="0" w:color="auto"/>
            <w:bottom w:val="none" w:sz="0" w:space="0" w:color="auto"/>
            <w:right w:val="none" w:sz="0" w:space="0" w:color="auto"/>
          </w:divBdr>
        </w:div>
        <w:div w:id="828598936">
          <w:marLeft w:val="0"/>
          <w:marRight w:val="0"/>
          <w:marTop w:val="0"/>
          <w:marBottom w:val="0"/>
          <w:divBdr>
            <w:top w:val="none" w:sz="0" w:space="0" w:color="auto"/>
            <w:left w:val="none" w:sz="0" w:space="0" w:color="auto"/>
            <w:bottom w:val="none" w:sz="0" w:space="0" w:color="auto"/>
            <w:right w:val="none" w:sz="0" w:space="0" w:color="auto"/>
          </w:divBdr>
        </w:div>
        <w:div w:id="839396661">
          <w:marLeft w:val="0"/>
          <w:marRight w:val="0"/>
          <w:marTop w:val="0"/>
          <w:marBottom w:val="0"/>
          <w:divBdr>
            <w:top w:val="none" w:sz="0" w:space="0" w:color="auto"/>
            <w:left w:val="none" w:sz="0" w:space="0" w:color="auto"/>
            <w:bottom w:val="none" w:sz="0" w:space="0" w:color="auto"/>
            <w:right w:val="none" w:sz="0" w:space="0" w:color="auto"/>
          </w:divBdr>
        </w:div>
        <w:div w:id="844592936">
          <w:marLeft w:val="0"/>
          <w:marRight w:val="0"/>
          <w:marTop w:val="0"/>
          <w:marBottom w:val="0"/>
          <w:divBdr>
            <w:top w:val="none" w:sz="0" w:space="0" w:color="auto"/>
            <w:left w:val="none" w:sz="0" w:space="0" w:color="auto"/>
            <w:bottom w:val="none" w:sz="0" w:space="0" w:color="auto"/>
            <w:right w:val="none" w:sz="0" w:space="0" w:color="auto"/>
          </w:divBdr>
        </w:div>
        <w:div w:id="854149660">
          <w:marLeft w:val="0"/>
          <w:marRight w:val="0"/>
          <w:marTop w:val="0"/>
          <w:marBottom w:val="0"/>
          <w:divBdr>
            <w:top w:val="none" w:sz="0" w:space="0" w:color="auto"/>
            <w:left w:val="none" w:sz="0" w:space="0" w:color="auto"/>
            <w:bottom w:val="none" w:sz="0" w:space="0" w:color="auto"/>
            <w:right w:val="none" w:sz="0" w:space="0" w:color="auto"/>
          </w:divBdr>
        </w:div>
        <w:div w:id="855728345">
          <w:marLeft w:val="0"/>
          <w:marRight w:val="0"/>
          <w:marTop w:val="0"/>
          <w:marBottom w:val="0"/>
          <w:divBdr>
            <w:top w:val="none" w:sz="0" w:space="0" w:color="auto"/>
            <w:left w:val="none" w:sz="0" w:space="0" w:color="auto"/>
            <w:bottom w:val="none" w:sz="0" w:space="0" w:color="auto"/>
            <w:right w:val="none" w:sz="0" w:space="0" w:color="auto"/>
          </w:divBdr>
        </w:div>
        <w:div w:id="877208112">
          <w:marLeft w:val="0"/>
          <w:marRight w:val="0"/>
          <w:marTop w:val="0"/>
          <w:marBottom w:val="0"/>
          <w:divBdr>
            <w:top w:val="none" w:sz="0" w:space="0" w:color="auto"/>
            <w:left w:val="none" w:sz="0" w:space="0" w:color="auto"/>
            <w:bottom w:val="none" w:sz="0" w:space="0" w:color="auto"/>
            <w:right w:val="none" w:sz="0" w:space="0" w:color="auto"/>
          </w:divBdr>
        </w:div>
        <w:div w:id="899681000">
          <w:marLeft w:val="0"/>
          <w:marRight w:val="0"/>
          <w:marTop w:val="0"/>
          <w:marBottom w:val="0"/>
          <w:divBdr>
            <w:top w:val="none" w:sz="0" w:space="0" w:color="auto"/>
            <w:left w:val="none" w:sz="0" w:space="0" w:color="auto"/>
            <w:bottom w:val="none" w:sz="0" w:space="0" w:color="auto"/>
            <w:right w:val="none" w:sz="0" w:space="0" w:color="auto"/>
          </w:divBdr>
        </w:div>
        <w:div w:id="900137762">
          <w:marLeft w:val="0"/>
          <w:marRight w:val="0"/>
          <w:marTop w:val="0"/>
          <w:marBottom w:val="0"/>
          <w:divBdr>
            <w:top w:val="none" w:sz="0" w:space="0" w:color="auto"/>
            <w:left w:val="none" w:sz="0" w:space="0" w:color="auto"/>
            <w:bottom w:val="none" w:sz="0" w:space="0" w:color="auto"/>
            <w:right w:val="none" w:sz="0" w:space="0" w:color="auto"/>
          </w:divBdr>
        </w:div>
        <w:div w:id="900208980">
          <w:marLeft w:val="0"/>
          <w:marRight w:val="0"/>
          <w:marTop w:val="0"/>
          <w:marBottom w:val="0"/>
          <w:divBdr>
            <w:top w:val="none" w:sz="0" w:space="0" w:color="auto"/>
            <w:left w:val="none" w:sz="0" w:space="0" w:color="auto"/>
            <w:bottom w:val="none" w:sz="0" w:space="0" w:color="auto"/>
            <w:right w:val="none" w:sz="0" w:space="0" w:color="auto"/>
          </w:divBdr>
        </w:div>
        <w:div w:id="900215182">
          <w:marLeft w:val="0"/>
          <w:marRight w:val="0"/>
          <w:marTop w:val="0"/>
          <w:marBottom w:val="0"/>
          <w:divBdr>
            <w:top w:val="none" w:sz="0" w:space="0" w:color="auto"/>
            <w:left w:val="none" w:sz="0" w:space="0" w:color="auto"/>
            <w:bottom w:val="none" w:sz="0" w:space="0" w:color="auto"/>
            <w:right w:val="none" w:sz="0" w:space="0" w:color="auto"/>
          </w:divBdr>
        </w:div>
        <w:div w:id="901411009">
          <w:marLeft w:val="0"/>
          <w:marRight w:val="0"/>
          <w:marTop w:val="0"/>
          <w:marBottom w:val="0"/>
          <w:divBdr>
            <w:top w:val="none" w:sz="0" w:space="0" w:color="auto"/>
            <w:left w:val="none" w:sz="0" w:space="0" w:color="auto"/>
            <w:bottom w:val="none" w:sz="0" w:space="0" w:color="auto"/>
            <w:right w:val="none" w:sz="0" w:space="0" w:color="auto"/>
          </w:divBdr>
        </w:div>
        <w:div w:id="905070033">
          <w:marLeft w:val="0"/>
          <w:marRight w:val="0"/>
          <w:marTop w:val="0"/>
          <w:marBottom w:val="0"/>
          <w:divBdr>
            <w:top w:val="none" w:sz="0" w:space="0" w:color="auto"/>
            <w:left w:val="none" w:sz="0" w:space="0" w:color="auto"/>
            <w:bottom w:val="none" w:sz="0" w:space="0" w:color="auto"/>
            <w:right w:val="none" w:sz="0" w:space="0" w:color="auto"/>
          </w:divBdr>
        </w:div>
        <w:div w:id="907882261">
          <w:marLeft w:val="0"/>
          <w:marRight w:val="0"/>
          <w:marTop w:val="0"/>
          <w:marBottom w:val="0"/>
          <w:divBdr>
            <w:top w:val="none" w:sz="0" w:space="0" w:color="auto"/>
            <w:left w:val="none" w:sz="0" w:space="0" w:color="auto"/>
            <w:bottom w:val="none" w:sz="0" w:space="0" w:color="auto"/>
            <w:right w:val="none" w:sz="0" w:space="0" w:color="auto"/>
          </w:divBdr>
        </w:div>
        <w:div w:id="922223189">
          <w:marLeft w:val="0"/>
          <w:marRight w:val="0"/>
          <w:marTop w:val="0"/>
          <w:marBottom w:val="0"/>
          <w:divBdr>
            <w:top w:val="none" w:sz="0" w:space="0" w:color="auto"/>
            <w:left w:val="none" w:sz="0" w:space="0" w:color="auto"/>
            <w:bottom w:val="none" w:sz="0" w:space="0" w:color="auto"/>
            <w:right w:val="none" w:sz="0" w:space="0" w:color="auto"/>
          </w:divBdr>
        </w:div>
        <w:div w:id="946621170">
          <w:marLeft w:val="0"/>
          <w:marRight w:val="0"/>
          <w:marTop w:val="0"/>
          <w:marBottom w:val="0"/>
          <w:divBdr>
            <w:top w:val="none" w:sz="0" w:space="0" w:color="auto"/>
            <w:left w:val="none" w:sz="0" w:space="0" w:color="auto"/>
            <w:bottom w:val="none" w:sz="0" w:space="0" w:color="auto"/>
            <w:right w:val="none" w:sz="0" w:space="0" w:color="auto"/>
          </w:divBdr>
        </w:div>
        <w:div w:id="962881672">
          <w:marLeft w:val="0"/>
          <w:marRight w:val="0"/>
          <w:marTop w:val="0"/>
          <w:marBottom w:val="0"/>
          <w:divBdr>
            <w:top w:val="none" w:sz="0" w:space="0" w:color="auto"/>
            <w:left w:val="none" w:sz="0" w:space="0" w:color="auto"/>
            <w:bottom w:val="none" w:sz="0" w:space="0" w:color="auto"/>
            <w:right w:val="none" w:sz="0" w:space="0" w:color="auto"/>
          </w:divBdr>
        </w:div>
        <w:div w:id="976180009">
          <w:marLeft w:val="0"/>
          <w:marRight w:val="0"/>
          <w:marTop w:val="0"/>
          <w:marBottom w:val="0"/>
          <w:divBdr>
            <w:top w:val="none" w:sz="0" w:space="0" w:color="auto"/>
            <w:left w:val="none" w:sz="0" w:space="0" w:color="auto"/>
            <w:bottom w:val="none" w:sz="0" w:space="0" w:color="auto"/>
            <w:right w:val="none" w:sz="0" w:space="0" w:color="auto"/>
          </w:divBdr>
        </w:div>
        <w:div w:id="981740099">
          <w:marLeft w:val="0"/>
          <w:marRight w:val="0"/>
          <w:marTop w:val="0"/>
          <w:marBottom w:val="0"/>
          <w:divBdr>
            <w:top w:val="none" w:sz="0" w:space="0" w:color="auto"/>
            <w:left w:val="none" w:sz="0" w:space="0" w:color="auto"/>
            <w:bottom w:val="none" w:sz="0" w:space="0" w:color="auto"/>
            <w:right w:val="none" w:sz="0" w:space="0" w:color="auto"/>
          </w:divBdr>
        </w:div>
        <w:div w:id="982739508">
          <w:marLeft w:val="0"/>
          <w:marRight w:val="0"/>
          <w:marTop w:val="0"/>
          <w:marBottom w:val="0"/>
          <w:divBdr>
            <w:top w:val="none" w:sz="0" w:space="0" w:color="auto"/>
            <w:left w:val="none" w:sz="0" w:space="0" w:color="auto"/>
            <w:bottom w:val="none" w:sz="0" w:space="0" w:color="auto"/>
            <w:right w:val="none" w:sz="0" w:space="0" w:color="auto"/>
          </w:divBdr>
        </w:div>
        <w:div w:id="991449028">
          <w:marLeft w:val="0"/>
          <w:marRight w:val="0"/>
          <w:marTop w:val="0"/>
          <w:marBottom w:val="0"/>
          <w:divBdr>
            <w:top w:val="none" w:sz="0" w:space="0" w:color="auto"/>
            <w:left w:val="none" w:sz="0" w:space="0" w:color="auto"/>
            <w:bottom w:val="none" w:sz="0" w:space="0" w:color="auto"/>
            <w:right w:val="none" w:sz="0" w:space="0" w:color="auto"/>
          </w:divBdr>
        </w:div>
        <w:div w:id="996687665">
          <w:marLeft w:val="0"/>
          <w:marRight w:val="0"/>
          <w:marTop w:val="0"/>
          <w:marBottom w:val="0"/>
          <w:divBdr>
            <w:top w:val="none" w:sz="0" w:space="0" w:color="auto"/>
            <w:left w:val="none" w:sz="0" w:space="0" w:color="auto"/>
            <w:bottom w:val="none" w:sz="0" w:space="0" w:color="auto"/>
            <w:right w:val="none" w:sz="0" w:space="0" w:color="auto"/>
          </w:divBdr>
        </w:div>
        <w:div w:id="1003434327">
          <w:marLeft w:val="0"/>
          <w:marRight w:val="0"/>
          <w:marTop w:val="0"/>
          <w:marBottom w:val="0"/>
          <w:divBdr>
            <w:top w:val="none" w:sz="0" w:space="0" w:color="auto"/>
            <w:left w:val="none" w:sz="0" w:space="0" w:color="auto"/>
            <w:bottom w:val="none" w:sz="0" w:space="0" w:color="auto"/>
            <w:right w:val="none" w:sz="0" w:space="0" w:color="auto"/>
          </w:divBdr>
        </w:div>
        <w:div w:id="1005322406">
          <w:marLeft w:val="0"/>
          <w:marRight w:val="0"/>
          <w:marTop w:val="0"/>
          <w:marBottom w:val="0"/>
          <w:divBdr>
            <w:top w:val="none" w:sz="0" w:space="0" w:color="auto"/>
            <w:left w:val="none" w:sz="0" w:space="0" w:color="auto"/>
            <w:bottom w:val="none" w:sz="0" w:space="0" w:color="auto"/>
            <w:right w:val="none" w:sz="0" w:space="0" w:color="auto"/>
          </w:divBdr>
        </w:div>
        <w:div w:id="1005403421">
          <w:marLeft w:val="0"/>
          <w:marRight w:val="0"/>
          <w:marTop w:val="0"/>
          <w:marBottom w:val="0"/>
          <w:divBdr>
            <w:top w:val="none" w:sz="0" w:space="0" w:color="auto"/>
            <w:left w:val="none" w:sz="0" w:space="0" w:color="auto"/>
            <w:bottom w:val="none" w:sz="0" w:space="0" w:color="auto"/>
            <w:right w:val="none" w:sz="0" w:space="0" w:color="auto"/>
          </w:divBdr>
        </w:div>
        <w:div w:id="1006636062">
          <w:marLeft w:val="0"/>
          <w:marRight w:val="0"/>
          <w:marTop w:val="0"/>
          <w:marBottom w:val="0"/>
          <w:divBdr>
            <w:top w:val="none" w:sz="0" w:space="0" w:color="auto"/>
            <w:left w:val="none" w:sz="0" w:space="0" w:color="auto"/>
            <w:bottom w:val="none" w:sz="0" w:space="0" w:color="auto"/>
            <w:right w:val="none" w:sz="0" w:space="0" w:color="auto"/>
          </w:divBdr>
        </w:div>
        <w:div w:id="1016543260">
          <w:marLeft w:val="0"/>
          <w:marRight w:val="0"/>
          <w:marTop w:val="0"/>
          <w:marBottom w:val="0"/>
          <w:divBdr>
            <w:top w:val="none" w:sz="0" w:space="0" w:color="auto"/>
            <w:left w:val="none" w:sz="0" w:space="0" w:color="auto"/>
            <w:bottom w:val="none" w:sz="0" w:space="0" w:color="auto"/>
            <w:right w:val="none" w:sz="0" w:space="0" w:color="auto"/>
          </w:divBdr>
        </w:div>
        <w:div w:id="1017080380">
          <w:marLeft w:val="0"/>
          <w:marRight w:val="0"/>
          <w:marTop w:val="0"/>
          <w:marBottom w:val="0"/>
          <w:divBdr>
            <w:top w:val="none" w:sz="0" w:space="0" w:color="auto"/>
            <w:left w:val="none" w:sz="0" w:space="0" w:color="auto"/>
            <w:bottom w:val="none" w:sz="0" w:space="0" w:color="auto"/>
            <w:right w:val="none" w:sz="0" w:space="0" w:color="auto"/>
          </w:divBdr>
        </w:div>
        <w:div w:id="1019697963">
          <w:marLeft w:val="0"/>
          <w:marRight w:val="0"/>
          <w:marTop w:val="0"/>
          <w:marBottom w:val="0"/>
          <w:divBdr>
            <w:top w:val="none" w:sz="0" w:space="0" w:color="auto"/>
            <w:left w:val="none" w:sz="0" w:space="0" w:color="auto"/>
            <w:bottom w:val="none" w:sz="0" w:space="0" w:color="auto"/>
            <w:right w:val="none" w:sz="0" w:space="0" w:color="auto"/>
          </w:divBdr>
        </w:div>
        <w:div w:id="1042830970">
          <w:marLeft w:val="0"/>
          <w:marRight w:val="0"/>
          <w:marTop w:val="0"/>
          <w:marBottom w:val="0"/>
          <w:divBdr>
            <w:top w:val="none" w:sz="0" w:space="0" w:color="auto"/>
            <w:left w:val="none" w:sz="0" w:space="0" w:color="auto"/>
            <w:bottom w:val="none" w:sz="0" w:space="0" w:color="auto"/>
            <w:right w:val="none" w:sz="0" w:space="0" w:color="auto"/>
          </w:divBdr>
        </w:div>
        <w:div w:id="1051225095">
          <w:marLeft w:val="0"/>
          <w:marRight w:val="0"/>
          <w:marTop w:val="0"/>
          <w:marBottom w:val="0"/>
          <w:divBdr>
            <w:top w:val="none" w:sz="0" w:space="0" w:color="auto"/>
            <w:left w:val="none" w:sz="0" w:space="0" w:color="auto"/>
            <w:bottom w:val="none" w:sz="0" w:space="0" w:color="auto"/>
            <w:right w:val="none" w:sz="0" w:space="0" w:color="auto"/>
          </w:divBdr>
        </w:div>
        <w:div w:id="1052120567">
          <w:marLeft w:val="0"/>
          <w:marRight w:val="0"/>
          <w:marTop w:val="0"/>
          <w:marBottom w:val="0"/>
          <w:divBdr>
            <w:top w:val="none" w:sz="0" w:space="0" w:color="auto"/>
            <w:left w:val="none" w:sz="0" w:space="0" w:color="auto"/>
            <w:bottom w:val="none" w:sz="0" w:space="0" w:color="auto"/>
            <w:right w:val="none" w:sz="0" w:space="0" w:color="auto"/>
          </w:divBdr>
        </w:div>
        <w:div w:id="1052386006">
          <w:marLeft w:val="0"/>
          <w:marRight w:val="0"/>
          <w:marTop w:val="0"/>
          <w:marBottom w:val="0"/>
          <w:divBdr>
            <w:top w:val="none" w:sz="0" w:space="0" w:color="auto"/>
            <w:left w:val="none" w:sz="0" w:space="0" w:color="auto"/>
            <w:bottom w:val="none" w:sz="0" w:space="0" w:color="auto"/>
            <w:right w:val="none" w:sz="0" w:space="0" w:color="auto"/>
          </w:divBdr>
        </w:div>
        <w:div w:id="1052386575">
          <w:marLeft w:val="0"/>
          <w:marRight w:val="0"/>
          <w:marTop w:val="0"/>
          <w:marBottom w:val="0"/>
          <w:divBdr>
            <w:top w:val="none" w:sz="0" w:space="0" w:color="auto"/>
            <w:left w:val="none" w:sz="0" w:space="0" w:color="auto"/>
            <w:bottom w:val="none" w:sz="0" w:space="0" w:color="auto"/>
            <w:right w:val="none" w:sz="0" w:space="0" w:color="auto"/>
          </w:divBdr>
        </w:div>
        <w:div w:id="1059595061">
          <w:marLeft w:val="0"/>
          <w:marRight w:val="0"/>
          <w:marTop w:val="0"/>
          <w:marBottom w:val="0"/>
          <w:divBdr>
            <w:top w:val="none" w:sz="0" w:space="0" w:color="auto"/>
            <w:left w:val="none" w:sz="0" w:space="0" w:color="auto"/>
            <w:bottom w:val="none" w:sz="0" w:space="0" w:color="auto"/>
            <w:right w:val="none" w:sz="0" w:space="0" w:color="auto"/>
          </w:divBdr>
        </w:div>
        <w:div w:id="1076707768">
          <w:marLeft w:val="0"/>
          <w:marRight w:val="0"/>
          <w:marTop w:val="0"/>
          <w:marBottom w:val="0"/>
          <w:divBdr>
            <w:top w:val="none" w:sz="0" w:space="0" w:color="auto"/>
            <w:left w:val="none" w:sz="0" w:space="0" w:color="auto"/>
            <w:bottom w:val="none" w:sz="0" w:space="0" w:color="auto"/>
            <w:right w:val="none" w:sz="0" w:space="0" w:color="auto"/>
          </w:divBdr>
        </w:div>
        <w:div w:id="1083257620">
          <w:marLeft w:val="0"/>
          <w:marRight w:val="0"/>
          <w:marTop w:val="0"/>
          <w:marBottom w:val="0"/>
          <w:divBdr>
            <w:top w:val="none" w:sz="0" w:space="0" w:color="auto"/>
            <w:left w:val="none" w:sz="0" w:space="0" w:color="auto"/>
            <w:bottom w:val="none" w:sz="0" w:space="0" w:color="auto"/>
            <w:right w:val="none" w:sz="0" w:space="0" w:color="auto"/>
          </w:divBdr>
        </w:div>
        <w:div w:id="1099718423">
          <w:marLeft w:val="0"/>
          <w:marRight w:val="0"/>
          <w:marTop w:val="0"/>
          <w:marBottom w:val="0"/>
          <w:divBdr>
            <w:top w:val="none" w:sz="0" w:space="0" w:color="auto"/>
            <w:left w:val="none" w:sz="0" w:space="0" w:color="auto"/>
            <w:bottom w:val="none" w:sz="0" w:space="0" w:color="auto"/>
            <w:right w:val="none" w:sz="0" w:space="0" w:color="auto"/>
          </w:divBdr>
        </w:div>
        <w:div w:id="1108741960">
          <w:marLeft w:val="0"/>
          <w:marRight w:val="0"/>
          <w:marTop w:val="0"/>
          <w:marBottom w:val="0"/>
          <w:divBdr>
            <w:top w:val="none" w:sz="0" w:space="0" w:color="auto"/>
            <w:left w:val="none" w:sz="0" w:space="0" w:color="auto"/>
            <w:bottom w:val="none" w:sz="0" w:space="0" w:color="auto"/>
            <w:right w:val="none" w:sz="0" w:space="0" w:color="auto"/>
          </w:divBdr>
        </w:div>
        <w:div w:id="1110322182">
          <w:marLeft w:val="0"/>
          <w:marRight w:val="0"/>
          <w:marTop w:val="0"/>
          <w:marBottom w:val="0"/>
          <w:divBdr>
            <w:top w:val="none" w:sz="0" w:space="0" w:color="auto"/>
            <w:left w:val="none" w:sz="0" w:space="0" w:color="auto"/>
            <w:bottom w:val="none" w:sz="0" w:space="0" w:color="auto"/>
            <w:right w:val="none" w:sz="0" w:space="0" w:color="auto"/>
          </w:divBdr>
        </w:div>
        <w:div w:id="1120106140">
          <w:marLeft w:val="0"/>
          <w:marRight w:val="0"/>
          <w:marTop w:val="0"/>
          <w:marBottom w:val="0"/>
          <w:divBdr>
            <w:top w:val="none" w:sz="0" w:space="0" w:color="auto"/>
            <w:left w:val="none" w:sz="0" w:space="0" w:color="auto"/>
            <w:bottom w:val="none" w:sz="0" w:space="0" w:color="auto"/>
            <w:right w:val="none" w:sz="0" w:space="0" w:color="auto"/>
          </w:divBdr>
        </w:div>
        <w:div w:id="1125271679">
          <w:marLeft w:val="0"/>
          <w:marRight w:val="0"/>
          <w:marTop w:val="0"/>
          <w:marBottom w:val="0"/>
          <w:divBdr>
            <w:top w:val="none" w:sz="0" w:space="0" w:color="auto"/>
            <w:left w:val="none" w:sz="0" w:space="0" w:color="auto"/>
            <w:bottom w:val="none" w:sz="0" w:space="0" w:color="auto"/>
            <w:right w:val="none" w:sz="0" w:space="0" w:color="auto"/>
          </w:divBdr>
        </w:div>
        <w:div w:id="1128622985">
          <w:marLeft w:val="0"/>
          <w:marRight w:val="0"/>
          <w:marTop w:val="0"/>
          <w:marBottom w:val="0"/>
          <w:divBdr>
            <w:top w:val="none" w:sz="0" w:space="0" w:color="auto"/>
            <w:left w:val="none" w:sz="0" w:space="0" w:color="auto"/>
            <w:bottom w:val="none" w:sz="0" w:space="0" w:color="auto"/>
            <w:right w:val="none" w:sz="0" w:space="0" w:color="auto"/>
          </w:divBdr>
        </w:div>
        <w:div w:id="1133715573">
          <w:marLeft w:val="0"/>
          <w:marRight w:val="0"/>
          <w:marTop w:val="0"/>
          <w:marBottom w:val="0"/>
          <w:divBdr>
            <w:top w:val="none" w:sz="0" w:space="0" w:color="auto"/>
            <w:left w:val="none" w:sz="0" w:space="0" w:color="auto"/>
            <w:bottom w:val="none" w:sz="0" w:space="0" w:color="auto"/>
            <w:right w:val="none" w:sz="0" w:space="0" w:color="auto"/>
          </w:divBdr>
        </w:div>
        <w:div w:id="1134756111">
          <w:marLeft w:val="0"/>
          <w:marRight w:val="0"/>
          <w:marTop w:val="0"/>
          <w:marBottom w:val="0"/>
          <w:divBdr>
            <w:top w:val="none" w:sz="0" w:space="0" w:color="auto"/>
            <w:left w:val="none" w:sz="0" w:space="0" w:color="auto"/>
            <w:bottom w:val="none" w:sz="0" w:space="0" w:color="auto"/>
            <w:right w:val="none" w:sz="0" w:space="0" w:color="auto"/>
          </w:divBdr>
        </w:div>
        <w:div w:id="1135828177">
          <w:marLeft w:val="0"/>
          <w:marRight w:val="0"/>
          <w:marTop w:val="0"/>
          <w:marBottom w:val="0"/>
          <w:divBdr>
            <w:top w:val="none" w:sz="0" w:space="0" w:color="auto"/>
            <w:left w:val="none" w:sz="0" w:space="0" w:color="auto"/>
            <w:bottom w:val="none" w:sz="0" w:space="0" w:color="auto"/>
            <w:right w:val="none" w:sz="0" w:space="0" w:color="auto"/>
          </w:divBdr>
        </w:div>
        <w:div w:id="1141457813">
          <w:marLeft w:val="0"/>
          <w:marRight w:val="0"/>
          <w:marTop w:val="0"/>
          <w:marBottom w:val="0"/>
          <w:divBdr>
            <w:top w:val="none" w:sz="0" w:space="0" w:color="auto"/>
            <w:left w:val="none" w:sz="0" w:space="0" w:color="auto"/>
            <w:bottom w:val="none" w:sz="0" w:space="0" w:color="auto"/>
            <w:right w:val="none" w:sz="0" w:space="0" w:color="auto"/>
          </w:divBdr>
        </w:div>
        <w:div w:id="1160852832">
          <w:marLeft w:val="0"/>
          <w:marRight w:val="0"/>
          <w:marTop w:val="0"/>
          <w:marBottom w:val="0"/>
          <w:divBdr>
            <w:top w:val="none" w:sz="0" w:space="0" w:color="auto"/>
            <w:left w:val="none" w:sz="0" w:space="0" w:color="auto"/>
            <w:bottom w:val="none" w:sz="0" w:space="0" w:color="auto"/>
            <w:right w:val="none" w:sz="0" w:space="0" w:color="auto"/>
          </w:divBdr>
        </w:div>
        <w:div w:id="1179928890">
          <w:marLeft w:val="0"/>
          <w:marRight w:val="0"/>
          <w:marTop w:val="0"/>
          <w:marBottom w:val="0"/>
          <w:divBdr>
            <w:top w:val="none" w:sz="0" w:space="0" w:color="auto"/>
            <w:left w:val="none" w:sz="0" w:space="0" w:color="auto"/>
            <w:bottom w:val="none" w:sz="0" w:space="0" w:color="auto"/>
            <w:right w:val="none" w:sz="0" w:space="0" w:color="auto"/>
          </w:divBdr>
        </w:div>
        <w:div w:id="1186483828">
          <w:marLeft w:val="0"/>
          <w:marRight w:val="0"/>
          <w:marTop w:val="0"/>
          <w:marBottom w:val="0"/>
          <w:divBdr>
            <w:top w:val="none" w:sz="0" w:space="0" w:color="auto"/>
            <w:left w:val="none" w:sz="0" w:space="0" w:color="auto"/>
            <w:bottom w:val="none" w:sz="0" w:space="0" w:color="auto"/>
            <w:right w:val="none" w:sz="0" w:space="0" w:color="auto"/>
          </w:divBdr>
        </w:div>
        <w:div w:id="1187132385">
          <w:marLeft w:val="0"/>
          <w:marRight w:val="0"/>
          <w:marTop w:val="0"/>
          <w:marBottom w:val="0"/>
          <w:divBdr>
            <w:top w:val="none" w:sz="0" w:space="0" w:color="auto"/>
            <w:left w:val="none" w:sz="0" w:space="0" w:color="auto"/>
            <w:bottom w:val="none" w:sz="0" w:space="0" w:color="auto"/>
            <w:right w:val="none" w:sz="0" w:space="0" w:color="auto"/>
          </w:divBdr>
        </w:div>
        <w:div w:id="1189293923">
          <w:marLeft w:val="0"/>
          <w:marRight w:val="0"/>
          <w:marTop w:val="0"/>
          <w:marBottom w:val="0"/>
          <w:divBdr>
            <w:top w:val="none" w:sz="0" w:space="0" w:color="auto"/>
            <w:left w:val="none" w:sz="0" w:space="0" w:color="auto"/>
            <w:bottom w:val="none" w:sz="0" w:space="0" w:color="auto"/>
            <w:right w:val="none" w:sz="0" w:space="0" w:color="auto"/>
          </w:divBdr>
        </w:div>
        <w:div w:id="1235623709">
          <w:marLeft w:val="0"/>
          <w:marRight w:val="0"/>
          <w:marTop w:val="0"/>
          <w:marBottom w:val="0"/>
          <w:divBdr>
            <w:top w:val="none" w:sz="0" w:space="0" w:color="auto"/>
            <w:left w:val="none" w:sz="0" w:space="0" w:color="auto"/>
            <w:bottom w:val="none" w:sz="0" w:space="0" w:color="auto"/>
            <w:right w:val="none" w:sz="0" w:space="0" w:color="auto"/>
          </w:divBdr>
        </w:div>
        <w:div w:id="1237475342">
          <w:marLeft w:val="0"/>
          <w:marRight w:val="0"/>
          <w:marTop w:val="0"/>
          <w:marBottom w:val="0"/>
          <w:divBdr>
            <w:top w:val="none" w:sz="0" w:space="0" w:color="auto"/>
            <w:left w:val="none" w:sz="0" w:space="0" w:color="auto"/>
            <w:bottom w:val="none" w:sz="0" w:space="0" w:color="auto"/>
            <w:right w:val="none" w:sz="0" w:space="0" w:color="auto"/>
          </w:divBdr>
        </w:div>
        <w:div w:id="1249536432">
          <w:marLeft w:val="0"/>
          <w:marRight w:val="0"/>
          <w:marTop w:val="0"/>
          <w:marBottom w:val="0"/>
          <w:divBdr>
            <w:top w:val="none" w:sz="0" w:space="0" w:color="auto"/>
            <w:left w:val="none" w:sz="0" w:space="0" w:color="auto"/>
            <w:bottom w:val="none" w:sz="0" w:space="0" w:color="auto"/>
            <w:right w:val="none" w:sz="0" w:space="0" w:color="auto"/>
          </w:divBdr>
        </w:div>
        <w:div w:id="1259869883">
          <w:marLeft w:val="0"/>
          <w:marRight w:val="0"/>
          <w:marTop w:val="0"/>
          <w:marBottom w:val="0"/>
          <w:divBdr>
            <w:top w:val="none" w:sz="0" w:space="0" w:color="auto"/>
            <w:left w:val="none" w:sz="0" w:space="0" w:color="auto"/>
            <w:bottom w:val="none" w:sz="0" w:space="0" w:color="auto"/>
            <w:right w:val="none" w:sz="0" w:space="0" w:color="auto"/>
          </w:divBdr>
        </w:div>
        <w:div w:id="1277524248">
          <w:marLeft w:val="0"/>
          <w:marRight w:val="0"/>
          <w:marTop w:val="0"/>
          <w:marBottom w:val="0"/>
          <w:divBdr>
            <w:top w:val="none" w:sz="0" w:space="0" w:color="auto"/>
            <w:left w:val="none" w:sz="0" w:space="0" w:color="auto"/>
            <w:bottom w:val="none" w:sz="0" w:space="0" w:color="auto"/>
            <w:right w:val="none" w:sz="0" w:space="0" w:color="auto"/>
          </w:divBdr>
        </w:div>
        <w:div w:id="1284532044">
          <w:marLeft w:val="0"/>
          <w:marRight w:val="0"/>
          <w:marTop w:val="0"/>
          <w:marBottom w:val="0"/>
          <w:divBdr>
            <w:top w:val="none" w:sz="0" w:space="0" w:color="auto"/>
            <w:left w:val="none" w:sz="0" w:space="0" w:color="auto"/>
            <w:bottom w:val="none" w:sz="0" w:space="0" w:color="auto"/>
            <w:right w:val="none" w:sz="0" w:space="0" w:color="auto"/>
          </w:divBdr>
        </w:div>
        <w:div w:id="1289506837">
          <w:marLeft w:val="0"/>
          <w:marRight w:val="0"/>
          <w:marTop w:val="0"/>
          <w:marBottom w:val="0"/>
          <w:divBdr>
            <w:top w:val="none" w:sz="0" w:space="0" w:color="auto"/>
            <w:left w:val="none" w:sz="0" w:space="0" w:color="auto"/>
            <w:bottom w:val="none" w:sz="0" w:space="0" w:color="auto"/>
            <w:right w:val="none" w:sz="0" w:space="0" w:color="auto"/>
          </w:divBdr>
        </w:div>
        <w:div w:id="1295523349">
          <w:marLeft w:val="0"/>
          <w:marRight w:val="0"/>
          <w:marTop w:val="0"/>
          <w:marBottom w:val="0"/>
          <w:divBdr>
            <w:top w:val="none" w:sz="0" w:space="0" w:color="auto"/>
            <w:left w:val="none" w:sz="0" w:space="0" w:color="auto"/>
            <w:bottom w:val="none" w:sz="0" w:space="0" w:color="auto"/>
            <w:right w:val="none" w:sz="0" w:space="0" w:color="auto"/>
          </w:divBdr>
        </w:div>
        <w:div w:id="1295982555">
          <w:marLeft w:val="0"/>
          <w:marRight w:val="0"/>
          <w:marTop w:val="0"/>
          <w:marBottom w:val="0"/>
          <w:divBdr>
            <w:top w:val="none" w:sz="0" w:space="0" w:color="auto"/>
            <w:left w:val="none" w:sz="0" w:space="0" w:color="auto"/>
            <w:bottom w:val="none" w:sz="0" w:space="0" w:color="auto"/>
            <w:right w:val="none" w:sz="0" w:space="0" w:color="auto"/>
          </w:divBdr>
        </w:div>
        <w:div w:id="1299454529">
          <w:marLeft w:val="0"/>
          <w:marRight w:val="0"/>
          <w:marTop w:val="0"/>
          <w:marBottom w:val="0"/>
          <w:divBdr>
            <w:top w:val="none" w:sz="0" w:space="0" w:color="auto"/>
            <w:left w:val="none" w:sz="0" w:space="0" w:color="auto"/>
            <w:bottom w:val="none" w:sz="0" w:space="0" w:color="auto"/>
            <w:right w:val="none" w:sz="0" w:space="0" w:color="auto"/>
          </w:divBdr>
        </w:div>
        <w:div w:id="1302229762">
          <w:marLeft w:val="0"/>
          <w:marRight w:val="0"/>
          <w:marTop w:val="0"/>
          <w:marBottom w:val="0"/>
          <w:divBdr>
            <w:top w:val="none" w:sz="0" w:space="0" w:color="auto"/>
            <w:left w:val="none" w:sz="0" w:space="0" w:color="auto"/>
            <w:bottom w:val="none" w:sz="0" w:space="0" w:color="auto"/>
            <w:right w:val="none" w:sz="0" w:space="0" w:color="auto"/>
          </w:divBdr>
        </w:div>
        <w:div w:id="1307394080">
          <w:marLeft w:val="0"/>
          <w:marRight w:val="0"/>
          <w:marTop w:val="0"/>
          <w:marBottom w:val="0"/>
          <w:divBdr>
            <w:top w:val="none" w:sz="0" w:space="0" w:color="auto"/>
            <w:left w:val="none" w:sz="0" w:space="0" w:color="auto"/>
            <w:bottom w:val="none" w:sz="0" w:space="0" w:color="auto"/>
            <w:right w:val="none" w:sz="0" w:space="0" w:color="auto"/>
          </w:divBdr>
        </w:div>
        <w:div w:id="1307472182">
          <w:marLeft w:val="0"/>
          <w:marRight w:val="0"/>
          <w:marTop w:val="0"/>
          <w:marBottom w:val="0"/>
          <w:divBdr>
            <w:top w:val="none" w:sz="0" w:space="0" w:color="auto"/>
            <w:left w:val="none" w:sz="0" w:space="0" w:color="auto"/>
            <w:bottom w:val="none" w:sz="0" w:space="0" w:color="auto"/>
            <w:right w:val="none" w:sz="0" w:space="0" w:color="auto"/>
          </w:divBdr>
        </w:div>
        <w:div w:id="1309474824">
          <w:marLeft w:val="0"/>
          <w:marRight w:val="0"/>
          <w:marTop w:val="0"/>
          <w:marBottom w:val="0"/>
          <w:divBdr>
            <w:top w:val="none" w:sz="0" w:space="0" w:color="auto"/>
            <w:left w:val="none" w:sz="0" w:space="0" w:color="auto"/>
            <w:bottom w:val="none" w:sz="0" w:space="0" w:color="auto"/>
            <w:right w:val="none" w:sz="0" w:space="0" w:color="auto"/>
          </w:divBdr>
        </w:div>
        <w:div w:id="1316300823">
          <w:marLeft w:val="0"/>
          <w:marRight w:val="0"/>
          <w:marTop w:val="0"/>
          <w:marBottom w:val="0"/>
          <w:divBdr>
            <w:top w:val="none" w:sz="0" w:space="0" w:color="auto"/>
            <w:left w:val="none" w:sz="0" w:space="0" w:color="auto"/>
            <w:bottom w:val="none" w:sz="0" w:space="0" w:color="auto"/>
            <w:right w:val="none" w:sz="0" w:space="0" w:color="auto"/>
          </w:divBdr>
        </w:div>
        <w:div w:id="1340279092">
          <w:marLeft w:val="0"/>
          <w:marRight w:val="0"/>
          <w:marTop w:val="0"/>
          <w:marBottom w:val="0"/>
          <w:divBdr>
            <w:top w:val="none" w:sz="0" w:space="0" w:color="auto"/>
            <w:left w:val="none" w:sz="0" w:space="0" w:color="auto"/>
            <w:bottom w:val="none" w:sz="0" w:space="0" w:color="auto"/>
            <w:right w:val="none" w:sz="0" w:space="0" w:color="auto"/>
          </w:divBdr>
        </w:div>
        <w:div w:id="1342048299">
          <w:marLeft w:val="0"/>
          <w:marRight w:val="0"/>
          <w:marTop w:val="0"/>
          <w:marBottom w:val="0"/>
          <w:divBdr>
            <w:top w:val="none" w:sz="0" w:space="0" w:color="auto"/>
            <w:left w:val="none" w:sz="0" w:space="0" w:color="auto"/>
            <w:bottom w:val="none" w:sz="0" w:space="0" w:color="auto"/>
            <w:right w:val="none" w:sz="0" w:space="0" w:color="auto"/>
          </w:divBdr>
        </w:div>
        <w:div w:id="1343319356">
          <w:marLeft w:val="0"/>
          <w:marRight w:val="0"/>
          <w:marTop w:val="0"/>
          <w:marBottom w:val="0"/>
          <w:divBdr>
            <w:top w:val="none" w:sz="0" w:space="0" w:color="auto"/>
            <w:left w:val="none" w:sz="0" w:space="0" w:color="auto"/>
            <w:bottom w:val="none" w:sz="0" w:space="0" w:color="auto"/>
            <w:right w:val="none" w:sz="0" w:space="0" w:color="auto"/>
          </w:divBdr>
        </w:div>
        <w:div w:id="1367485136">
          <w:marLeft w:val="0"/>
          <w:marRight w:val="0"/>
          <w:marTop w:val="0"/>
          <w:marBottom w:val="0"/>
          <w:divBdr>
            <w:top w:val="none" w:sz="0" w:space="0" w:color="auto"/>
            <w:left w:val="none" w:sz="0" w:space="0" w:color="auto"/>
            <w:bottom w:val="none" w:sz="0" w:space="0" w:color="auto"/>
            <w:right w:val="none" w:sz="0" w:space="0" w:color="auto"/>
          </w:divBdr>
        </w:div>
        <w:div w:id="1376076036">
          <w:marLeft w:val="0"/>
          <w:marRight w:val="0"/>
          <w:marTop w:val="0"/>
          <w:marBottom w:val="0"/>
          <w:divBdr>
            <w:top w:val="none" w:sz="0" w:space="0" w:color="auto"/>
            <w:left w:val="none" w:sz="0" w:space="0" w:color="auto"/>
            <w:bottom w:val="none" w:sz="0" w:space="0" w:color="auto"/>
            <w:right w:val="none" w:sz="0" w:space="0" w:color="auto"/>
          </w:divBdr>
        </w:div>
        <w:div w:id="1411385832">
          <w:marLeft w:val="0"/>
          <w:marRight w:val="0"/>
          <w:marTop w:val="0"/>
          <w:marBottom w:val="0"/>
          <w:divBdr>
            <w:top w:val="none" w:sz="0" w:space="0" w:color="auto"/>
            <w:left w:val="none" w:sz="0" w:space="0" w:color="auto"/>
            <w:bottom w:val="none" w:sz="0" w:space="0" w:color="auto"/>
            <w:right w:val="none" w:sz="0" w:space="0" w:color="auto"/>
          </w:divBdr>
        </w:div>
        <w:div w:id="1418819901">
          <w:marLeft w:val="0"/>
          <w:marRight w:val="0"/>
          <w:marTop w:val="0"/>
          <w:marBottom w:val="0"/>
          <w:divBdr>
            <w:top w:val="none" w:sz="0" w:space="0" w:color="auto"/>
            <w:left w:val="none" w:sz="0" w:space="0" w:color="auto"/>
            <w:bottom w:val="none" w:sz="0" w:space="0" w:color="auto"/>
            <w:right w:val="none" w:sz="0" w:space="0" w:color="auto"/>
          </w:divBdr>
        </w:div>
        <w:div w:id="1420247045">
          <w:marLeft w:val="0"/>
          <w:marRight w:val="0"/>
          <w:marTop w:val="0"/>
          <w:marBottom w:val="0"/>
          <w:divBdr>
            <w:top w:val="none" w:sz="0" w:space="0" w:color="auto"/>
            <w:left w:val="none" w:sz="0" w:space="0" w:color="auto"/>
            <w:bottom w:val="none" w:sz="0" w:space="0" w:color="auto"/>
            <w:right w:val="none" w:sz="0" w:space="0" w:color="auto"/>
          </w:divBdr>
        </w:div>
        <w:div w:id="1421488730">
          <w:marLeft w:val="0"/>
          <w:marRight w:val="0"/>
          <w:marTop w:val="0"/>
          <w:marBottom w:val="0"/>
          <w:divBdr>
            <w:top w:val="none" w:sz="0" w:space="0" w:color="auto"/>
            <w:left w:val="none" w:sz="0" w:space="0" w:color="auto"/>
            <w:bottom w:val="none" w:sz="0" w:space="0" w:color="auto"/>
            <w:right w:val="none" w:sz="0" w:space="0" w:color="auto"/>
          </w:divBdr>
        </w:div>
        <w:div w:id="1421557513">
          <w:marLeft w:val="0"/>
          <w:marRight w:val="0"/>
          <w:marTop w:val="0"/>
          <w:marBottom w:val="0"/>
          <w:divBdr>
            <w:top w:val="none" w:sz="0" w:space="0" w:color="auto"/>
            <w:left w:val="none" w:sz="0" w:space="0" w:color="auto"/>
            <w:bottom w:val="none" w:sz="0" w:space="0" w:color="auto"/>
            <w:right w:val="none" w:sz="0" w:space="0" w:color="auto"/>
          </w:divBdr>
        </w:div>
        <w:div w:id="1426536845">
          <w:marLeft w:val="0"/>
          <w:marRight w:val="0"/>
          <w:marTop w:val="0"/>
          <w:marBottom w:val="0"/>
          <w:divBdr>
            <w:top w:val="none" w:sz="0" w:space="0" w:color="auto"/>
            <w:left w:val="none" w:sz="0" w:space="0" w:color="auto"/>
            <w:bottom w:val="none" w:sz="0" w:space="0" w:color="auto"/>
            <w:right w:val="none" w:sz="0" w:space="0" w:color="auto"/>
          </w:divBdr>
        </w:div>
        <w:div w:id="1426921811">
          <w:marLeft w:val="0"/>
          <w:marRight w:val="0"/>
          <w:marTop w:val="0"/>
          <w:marBottom w:val="0"/>
          <w:divBdr>
            <w:top w:val="none" w:sz="0" w:space="0" w:color="auto"/>
            <w:left w:val="none" w:sz="0" w:space="0" w:color="auto"/>
            <w:bottom w:val="none" w:sz="0" w:space="0" w:color="auto"/>
            <w:right w:val="none" w:sz="0" w:space="0" w:color="auto"/>
          </w:divBdr>
        </w:div>
        <w:div w:id="1439371503">
          <w:marLeft w:val="0"/>
          <w:marRight w:val="0"/>
          <w:marTop w:val="0"/>
          <w:marBottom w:val="0"/>
          <w:divBdr>
            <w:top w:val="none" w:sz="0" w:space="0" w:color="auto"/>
            <w:left w:val="none" w:sz="0" w:space="0" w:color="auto"/>
            <w:bottom w:val="none" w:sz="0" w:space="0" w:color="auto"/>
            <w:right w:val="none" w:sz="0" w:space="0" w:color="auto"/>
          </w:divBdr>
        </w:div>
        <w:div w:id="1448312822">
          <w:marLeft w:val="0"/>
          <w:marRight w:val="0"/>
          <w:marTop w:val="0"/>
          <w:marBottom w:val="0"/>
          <w:divBdr>
            <w:top w:val="none" w:sz="0" w:space="0" w:color="auto"/>
            <w:left w:val="none" w:sz="0" w:space="0" w:color="auto"/>
            <w:bottom w:val="none" w:sz="0" w:space="0" w:color="auto"/>
            <w:right w:val="none" w:sz="0" w:space="0" w:color="auto"/>
          </w:divBdr>
        </w:div>
        <w:div w:id="1448545986">
          <w:marLeft w:val="0"/>
          <w:marRight w:val="0"/>
          <w:marTop w:val="0"/>
          <w:marBottom w:val="0"/>
          <w:divBdr>
            <w:top w:val="none" w:sz="0" w:space="0" w:color="auto"/>
            <w:left w:val="none" w:sz="0" w:space="0" w:color="auto"/>
            <w:bottom w:val="none" w:sz="0" w:space="0" w:color="auto"/>
            <w:right w:val="none" w:sz="0" w:space="0" w:color="auto"/>
          </w:divBdr>
        </w:div>
        <w:div w:id="1461528841">
          <w:marLeft w:val="0"/>
          <w:marRight w:val="0"/>
          <w:marTop w:val="0"/>
          <w:marBottom w:val="0"/>
          <w:divBdr>
            <w:top w:val="none" w:sz="0" w:space="0" w:color="auto"/>
            <w:left w:val="none" w:sz="0" w:space="0" w:color="auto"/>
            <w:bottom w:val="none" w:sz="0" w:space="0" w:color="auto"/>
            <w:right w:val="none" w:sz="0" w:space="0" w:color="auto"/>
          </w:divBdr>
        </w:div>
        <w:div w:id="1468746281">
          <w:marLeft w:val="0"/>
          <w:marRight w:val="0"/>
          <w:marTop w:val="0"/>
          <w:marBottom w:val="0"/>
          <w:divBdr>
            <w:top w:val="none" w:sz="0" w:space="0" w:color="auto"/>
            <w:left w:val="none" w:sz="0" w:space="0" w:color="auto"/>
            <w:bottom w:val="none" w:sz="0" w:space="0" w:color="auto"/>
            <w:right w:val="none" w:sz="0" w:space="0" w:color="auto"/>
          </w:divBdr>
        </w:div>
        <w:div w:id="1490945659">
          <w:marLeft w:val="0"/>
          <w:marRight w:val="0"/>
          <w:marTop w:val="0"/>
          <w:marBottom w:val="0"/>
          <w:divBdr>
            <w:top w:val="none" w:sz="0" w:space="0" w:color="auto"/>
            <w:left w:val="none" w:sz="0" w:space="0" w:color="auto"/>
            <w:bottom w:val="none" w:sz="0" w:space="0" w:color="auto"/>
            <w:right w:val="none" w:sz="0" w:space="0" w:color="auto"/>
          </w:divBdr>
        </w:div>
        <w:div w:id="1491170628">
          <w:marLeft w:val="0"/>
          <w:marRight w:val="0"/>
          <w:marTop w:val="0"/>
          <w:marBottom w:val="0"/>
          <w:divBdr>
            <w:top w:val="none" w:sz="0" w:space="0" w:color="auto"/>
            <w:left w:val="none" w:sz="0" w:space="0" w:color="auto"/>
            <w:bottom w:val="none" w:sz="0" w:space="0" w:color="auto"/>
            <w:right w:val="none" w:sz="0" w:space="0" w:color="auto"/>
          </w:divBdr>
        </w:div>
        <w:div w:id="1504054626">
          <w:marLeft w:val="0"/>
          <w:marRight w:val="0"/>
          <w:marTop w:val="0"/>
          <w:marBottom w:val="0"/>
          <w:divBdr>
            <w:top w:val="none" w:sz="0" w:space="0" w:color="auto"/>
            <w:left w:val="none" w:sz="0" w:space="0" w:color="auto"/>
            <w:bottom w:val="none" w:sz="0" w:space="0" w:color="auto"/>
            <w:right w:val="none" w:sz="0" w:space="0" w:color="auto"/>
          </w:divBdr>
        </w:div>
        <w:div w:id="1504465765">
          <w:marLeft w:val="0"/>
          <w:marRight w:val="0"/>
          <w:marTop w:val="0"/>
          <w:marBottom w:val="0"/>
          <w:divBdr>
            <w:top w:val="none" w:sz="0" w:space="0" w:color="auto"/>
            <w:left w:val="none" w:sz="0" w:space="0" w:color="auto"/>
            <w:bottom w:val="none" w:sz="0" w:space="0" w:color="auto"/>
            <w:right w:val="none" w:sz="0" w:space="0" w:color="auto"/>
          </w:divBdr>
        </w:div>
        <w:div w:id="1506095354">
          <w:marLeft w:val="0"/>
          <w:marRight w:val="0"/>
          <w:marTop w:val="0"/>
          <w:marBottom w:val="0"/>
          <w:divBdr>
            <w:top w:val="none" w:sz="0" w:space="0" w:color="auto"/>
            <w:left w:val="none" w:sz="0" w:space="0" w:color="auto"/>
            <w:bottom w:val="none" w:sz="0" w:space="0" w:color="auto"/>
            <w:right w:val="none" w:sz="0" w:space="0" w:color="auto"/>
          </w:divBdr>
        </w:div>
        <w:div w:id="1511527053">
          <w:marLeft w:val="0"/>
          <w:marRight w:val="0"/>
          <w:marTop w:val="0"/>
          <w:marBottom w:val="0"/>
          <w:divBdr>
            <w:top w:val="none" w:sz="0" w:space="0" w:color="auto"/>
            <w:left w:val="none" w:sz="0" w:space="0" w:color="auto"/>
            <w:bottom w:val="none" w:sz="0" w:space="0" w:color="auto"/>
            <w:right w:val="none" w:sz="0" w:space="0" w:color="auto"/>
          </w:divBdr>
        </w:div>
        <w:div w:id="1532841340">
          <w:marLeft w:val="0"/>
          <w:marRight w:val="0"/>
          <w:marTop w:val="0"/>
          <w:marBottom w:val="0"/>
          <w:divBdr>
            <w:top w:val="none" w:sz="0" w:space="0" w:color="auto"/>
            <w:left w:val="none" w:sz="0" w:space="0" w:color="auto"/>
            <w:bottom w:val="none" w:sz="0" w:space="0" w:color="auto"/>
            <w:right w:val="none" w:sz="0" w:space="0" w:color="auto"/>
          </w:divBdr>
        </w:div>
        <w:div w:id="1543906466">
          <w:marLeft w:val="0"/>
          <w:marRight w:val="0"/>
          <w:marTop w:val="0"/>
          <w:marBottom w:val="0"/>
          <w:divBdr>
            <w:top w:val="none" w:sz="0" w:space="0" w:color="auto"/>
            <w:left w:val="none" w:sz="0" w:space="0" w:color="auto"/>
            <w:bottom w:val="none" w:sz="0" w:space="0" w:color="auto"/>
            <w:right w:val="none" w:sz="0" w:space="0" w:color="auto"/>
          </w:divBdr>
        </w:div>
        <w:div w:id="1543980193">
          <w:marLeft w:val="0"/>
          <w:marRight w:val="0"/>
          <w:marTop w:val="0"/>
          <w:marBottom w:val="0"/>
          <w:divBdr>
            <w:top w:val="none" w:sz="0" w:space="0" w:color="auto"/>
            <w:left w:val="none" w:sz="0" w:space="0" w:color="auto"/>
            <w:bottom w:val="none" w:sz="0" w:space="0" w:color="auto"/>
            <w:right w:val="none" w:sz="0" w:space="0" w:color="auto"/>
          </w:divBdr>
        </w:div>
        <w:div w:id="1544907680">
          <w:marLeft w:val="0"/>
          <w:marRight w:val="0"/>
          <w:marTop w:val="0"/>
          <w:marBottom w:val="0"/>
          <w:divBdr>
            <w:top w:val="none" w:sz="0" w:space="0" w:color="auto"/>
            <w:left w:val="none" w:sz="0" w:space="0" w:color="auto"/>
            <w:bottom w:val="none" w:sz="0" w:space="0" w:color="auto"/>
            <w:right w:val="none" w:sz="0" w:space="0" w:color="auto"/>
          </w:divBdr>
        </w:div>
        <w:div w:id="1555460044">
          <w:marLeft w:val="0"/>
          <w:marRight w:val="0"/>
          <w:marTop w:val="0"/>
          <w:marBottom w:val="0"/>
          <w:divBdr>
            <w:top w:val="none" w:sz="0" w:space="0" w:color="auto"/>
            <w:left w:val="none" w:sz="0" w:space="0" w:color="auto"/>
            <w:bottom w:val="none" w:sz="0" w:space="0" w:color="auto"/>
            <w:right w:val="none" w:sz="0" w:space="0" w:color="auto"/>
          </w:divBdr>
        </w:div>
        <w:div w:id="1561790745">
          <w:marLeft w:val="0"/>
          <w:marRight w:val="0"/>
          <w:marTop w:val="0"/>
          <w:marBottom w:val="0"/>
          <w:divBdr>
            <w:top w:val="none" w:sz="0" w:space="0" w:color="auto"/>
            <w:left w:val="none" w:sz="0" w:space="0" w:color="auto"/>
            <w:bottom w:val="none" w:sz="0" w:space="0" w:color="auto"/>
            <w:right w:val="none" w:sz="0" w:space="0" w:color="auto"/>
          </w:divBdr>
        </w:div>
        <w:div w:id="1565869626">
          <w:marLeft w:val="0"/>
          <w:marRight w:val="0"/>
          <w:marTop w:val="0"/>
          <w:marBottom w:val="0"/>
          <w:divBdr>
            <w:top w:val="none" w:sz="0" w:space="0" w:color="auto"/>
            <w:left w:val="none" w:sz="0" w:space="0" w:color="auto"/>
            <w:bottom w:val="none" w:sz="0" w:space="0" w:color="auto"/>
            <w:right w:val="none" w:sz="0" w:space="0" w:color="auto"/>
          </w:divBdr>
        </w:div>
        <w:div w:id="1567908815">
          <w:marLeft w:val="0"/>
          <w:marRight w:val="0"/>
          <w:marTop w:val="0"/>
          <w:marBottom w:val="0"/>
          <w:divBdr>
            <w:top w:val="none" w:sz="0" w:space="0" w:color="auto"/>
            <w:left w:val="none" w:sz="0" w:space="0" w:color="auto"/>
            <w:bottom w:val="none" w:sz="0" w:space="0" w:color="auto"/>
            <w:right w:val="none" w:sz="0" w:space="0" w:color="auto"/>
          </w:divBdr>
        </w:div>
        <w:div w:id="1571691553">
          <w:marLeft w:val="0"/>
          <w:marRight w:val="0"/>
          <w:marTop w:val="0"/>
          <w:marBottom w:val="0"/>
          <w:divBdr>
            <w:top w:val="none" w:sz="0" w:space="0" w:color="auto"/>
            <w:left w:val="none" w:sz="0" w:space="0" w:color="auto"/>
            <w:bottom w:val="none" w:sz="0" w:space="0" w:color="auto"/>
            <w:right w:val="none" w:sz="0" w:space="0" w:color="auto"/>
          </w:divBdr>
        </w:div>
        <w:div w:id="1583878258">
          <w:marLeft w:val="0"/>
          <w:marRight w:val="0"/>
          <w:marTop w:val="0"/>
          <w:marBottom w:val="0"/>
          <w:divBdr>
            <w:top w:val="none" w:sz="0" w:space="0" w:color="auto"/>
            <w:left w:val="none" w:sz="0" w:space="0" w:color="auto"/>
            <w:bottom w:val="none" w:sz="0" w:space="0" w:color="auto"/>
            <w:right w:val="none" w:sz="0" w:space="0" w:color="auto"/>
          </w:divBdr>
        </w:div>
        <w:div w:id="1587837277">
          <w:marLeft w:val="0"/>
          <w:marRight w:val="0"/>
          <w:marTop w:val="0"/>
          <w:marBottom w:val="0"/>
          <w:divBdr>
            <w:top w:val="none" w:sz="0" w:space="0" w:color="auto"/>
            <w:left w:val="none" w:sz="0" w:space="0" w:color="auto"/>
            <w:bottom w:val="none" w:sz="0" w:space="0" w:color="auto"/>
            <w:right w:val="none" w:sz="0" w:space="0" w:color="auto"/>
          </w:divBdr>
        </w:div>
        <w:div w:id="1615671153">
          <w:marLeft w:val="0"/>
          <w:marRight w:val="0"/>
          <w:marTop w:val="0"/>
          <w:marBottom w:val="0"/>
          <w:divBdr>
            <w:top w:val="none" w:sz="0" w:space="0" w:color="auto"/>
            <w:left w:val="none" w:sz="0" w:space="0" w:color="auto"/>
            <w:bottom w:val="none" w:sz="0" w:space="0" w:color="auto"/>
            <w:right w:val="none" w:sz="0" w:space="0" w:color="auto"/>
          </w:divBdr>
        </w:div>
        <w:div w:id="1619602239">
          <w:marLeft w:val="0"/>
          <w:marRight w:val="0"/>
          <w:marTop w:val="0"/>
          <w:marBottom w:val="0"/>
          <w:divBdr>
            <w:top w:val="none" w:sz="0" w:space="0" w:color="auto"/>
            <w:left w:val="none" w:sz="0" w:space="0" w:color="auto"/>
            <w:bottom w:val="none" w:sz="0" w:space="0" w:color="auto"/>
            <w:right w:val="none" w:sz="0" w:space="0" w:color="auto"/>
          </w:divBdr>
        </w:div>
        <w:div w:id="1631399262">
          <w:marLeft w:val="0"/>
          <w:marRight w:val="0"/>
          <w:marTop w:val="0"/>
          <w:marBottom w:val="0"/>
          <w:divBdr>
            <w:top w:val="none" w:sz="0" w:space="0" w:color="auto"/>
            <w:left w:val="none" w:sz="0" w:space="0" w:color="auto"/>
            <w:bottom w:val="none" w:sz="0" w:space="0" w:color="auto"/>
            <w:right w:val="none" w:sz="0" w:space="0" w:color="auto"/>
          </w:divBdr>
        </w:div>
        <w:div w:id="1633058033">
          <w:marLeft w:val="0"/>
          <w:marRight w:val="0"/>
          <w:marTop w:val="0"/>
          <w:marBottom w:val="0"/>
          <w:divBdr>
            <w:top w:val="none" w:sz="0" w:space="0" w:color="auto"/>
            <w:left w:val="none" w:sz="0" w:space="0" w:color="auto"/>
            <w:bottom w:val="none" w:sz="0" w:space="0" w:color="auto"/>
            <w:right w:val="none" w:sz="0" w:space="0" w:color="auto"/>
          </w:divBdr>
        </w:div>
        <w:div w:id="1677269227">
          <w:marLeft w:val="0"/>
          <w:marRight w:val="0"/>
          <w:marTop w:val="0"/>
          <w:marBottom w:val="0"/>
          <w:divBdr>
            <w:top w:val="none" w:sz="0" w:space="0" w:color="auto"/>
            <w:left w:val="none" w:sz="0" w:space="0" w:color="auto"/>
            <w:bottom w:val="none" w:sz="0" w:space="0" w:color="auto"/>
            <w:right w:val="none" w:sz="0" w:space="0" w:color="auto"/>
          </w:divBdr>
        </w:div>
        <w:div w:id="1677270890">
          <w:marLeft w:val="0"/>
          <w:marRight w:val="0"/>
          <w:marTop w:val="0"/>
          <w:marBottom w:val="0"/>
          <w:divBdr>
            <w:top w:val="none" w:sz="0" w:space="0" w:color="auto"/>
            <w:left w:val="none" w:sz="0" w:space="0" w:color="auto"/>
            <w:bottom w:val="none" w:sz="0" w:space="0" w:color="auto"/>
            <w:right w:val="none" w:sz="0" w:space="0" w:color="auto"/>
          </w:divBdr>
        </w:div>
        <w:div w:id="1678538814">
          <w:marLeft w:val="0"/>
          <w:marRight w:val="0"/>
          <w:marTop w:val="0"/>
          <w:marBottom w:val="0"/>
          <w:divBdr>
            <w:top w:val="none" w:sz="0" w:space="0" w:color="auto"/>
            <w:left w:val="none" w:sz="0" w:space="0" w:color="auto"/>
            <w:bottom w:val="none" w:sz="0" w:space="0" w:color="auto"/>
            <w:right w:val="none" w:sz="0" w:space="0" w:color="auto"/>
          </w:divBdr>
        </w:div>
        <w:div w:id="1678994255">
          <w:marLeft w:val="0"/>
          <w:marRight w:val="0"/>
          <w:marTop w:val="0"/>
          <w:marBottom w:val="0"/>
          <w:divBdr>
            <w:top w:val="none" w:sz="0" w:space="0" w:color="auto"/>
            <w:left w:val="none" w:sz="0" w:space="0" w:color="auto"/>
            <w:bottom w:val="none" w:sz="0" w:space="0" w:color="auto"/>
            <w:right w:val="none" w:sz="0" w:space="0" w:color="auto"/>
          </w:divBdr>
        </w:div>
        <w:div w:id="1684897018">
          <w:marLeft w:val="0"/>
          <w:marRight w:val="0"/>
          <w:marTop w:val="0"/>
          <w:marBottom w:val="0"/>
          <w:divBdr>
            <w:top w:val="none" w:sz="0" w:space="0" w:color="auto"/>
            <w:left w:val="none" w:sz="0" w:space="0" w:color="auto"/>
            <w:bottom w:val="none" w:sz="0" w:space="0" w:color="auto"/>
            <w:right w:val="none" w:sz="0" w:space="0" w:color="auto"/>
          </w:divBdr>
        </w:div>
        <w:div w:id="1708140848">
          <w:marLeft w:val="0"/>
          <w:marRight w:val="0"/>
          <w:marTop w:val="0"/>
          <w:marBottom w:val="0"/>
          <w:divBdr>
            <w:top w:val="none" w:sz="0" w:space="0" w:color="auto"/>
            <w:left w:val="none" w:sz="0" w:space="0" w:color="auto"/>
            <w:bottom w:val="none" w:sz="0" w:space="0" w:color="auto"/>
            <w:right w:val="none" w:sz="0" w:space="0" w:color="auto"/>
          </w:divBdr>
        </w:div>
        <w:div w:id="1712077298">
          <w:marLeft w:val="0"/>
          <w:marRight w:val="0"/>
          <w:marTop w:val="0"/>
          <w:marBottom w:val="0"/>
          <w:divBdr>
            <w:top w:val="none" w:sz="0" w:space="0" w:color="auto"/>
            <w:left w:val="none" w:sz="0" w:space="0" w:color="auto"/>
            <w:bottom w:val="none" w:sz="0" w:space="0" w:color="auto"/>
            <w:right w:val="none" w:sz="0" w:space="0" w:color="auto"/>
          </w:divBdr>
        </w:div>
        <w:div w:id="1713072388">
          <w:marLeft w:val="0"/>
          <w:marRight w:val="0"/>
          <w:marTop w:val="0"/>
          <w:marBottom w:val="0"/>
          <w:divBdr>
            <w:top w:val="none" w:sz="0" w:space="0" w:color="auto"/>
            <w:left w:val="none" w:sz="0" w:space="0" w:color="auto"/>
            <w:bottom w:val="none" w:sz="0" w:space="0" w:color="auto"/>
            <w:right w:val="none" w:sz="0" w:space="0" w:color="auto"/>
          </w:divBdr>
        </w:div>
        <w:div w:id="1724598617">
          <w:marLeft w:val="0"/>
          <w:marRight w:val="0"/>
          <w:marTop w:val="0"/>
          <w:marBottom w:val="0"/>
          <w:divBdr>
            <w:top w:val="none" w:sz="0" w:space="0" w:color="auto"/>
            <w:left w:val="none" w:sz="0" w:space="0" w:color="auto"/>
            <w:bottom w:val="none" w:sz="0" w:space="0" w:color="auto"/>
            <w:right w:val="none" w:sz="0" w:space="0" w:color="auto"/>
          </w:divBdr>
        </w:div>
        <w:div w:id="1754088243">
          <w:marLeft w:val="0"/>
          <w:marRight w:val="0"/>
          <w:marTop w:val="0"/>
          <w:marBottom w:val="0"/>
          <w:divBdr>
            <w:top w:val="none" w:sz="0" w:space="0" w:color="auto"/>
            <w:left w:val="none" w:sz="0" w:space="0" w:color="auto"/>
            <w:bottom w:val="none" w:sz="0" w:space="0" w:color="auto"/>
            <w:right w:val="none" w:sz="0" w:space="0" w:color="auto"/>
          </w:divBdr>
        </w:div>
        <w:div w:id="1774091788">
          <w:marLeft w:val="0"/>
          <w:marRight w:val="0"/>
          <w:marTop w:val="0"/>
          <w:marBottom w:val="0"/>
          <w:divBdr>
            <w:top w:val="none" w:sz="0" w:space="0" w:color="auto"/>
            <w:left w:val="none" w:sz="0" w:space="0" w:color="auto"/>
            <w:bottom w:val="none" w:sz="0" w:space="0" w:color="auto"/>
            <w:right w:val="none" w:sz="0" w:space="0" w:color="auto"/>
          </w:divBdr>
        </w:div>
        <w:div w:id="1805196862">
          <w:marLeft w:val="0"/>
          <w:marRight w:val="0"/>
          <w:marTop w:val="0"/>
          <w:marBottom w:val="0"/>
          <w:divBdr>
            <w:top w:val="none" w:sz="0" w:space="0" w:color="auto"/>
            <w:left w:val="none" w:sz="0" w:space="0" w:color="auto"/>
            <w:bottom w:val="none" w:sz="0" w:space="0" w:color="auto"/>
            <w:right w:val="none" w:sz="0" w:space="0" w:color="auto"/>
          </w:divBdr>
        </w:div>
        <w:div w:id="1806510016">
          <w:marLeft w:val="0"/>
          <w:marRight w:val="0"/>
          <w:marTop w:val="0"/>
          <w:marBottom w:val="0"/>
          <w:divBdr>
            <w:top w:val="none" w:sz="0" w:space="0" w:color="auto"/>
            <w:left w:val="none" w:sz="0" w:space="0" w:color="auto"/>
            <w:bottom w:val="none" w:sz="0" w:space="0" w:color="auto"/>
            <w:right w:val="none" w:sz="0" w:space="0" w:color="auto"/>
          </w:divBdr>
        </w:div>
        <w:div w:id="1820344180">
          <w:marLeft w:val="0"/>
          <w:marRight w:val="0"/>
          <w:marTop w:val="0"/>
          <w:marBottom w:val="0"/>
          <w:divBdr>
            <w:top w:val="none" w:sz="0" w:space="0" w:color="auto"/>
            <w:left w:val="none" w:sz="0" w:space="0" w:color="auto"/>
            <w:bottom w:val="none" w:sz="0" w:space="0" w:color="auto"/>
            <w:right w:val="none" w:sz="0" w:space="0" w:color="auto"/>
          </w:divBdr>
        </w:div>
        <w:div w:id="1825318921">
          <w:marLeft w:val="0"/>
          <w:marRight w:val="0"/>
          <w:marTop w:val="0"/>
          <w:marBottom w:val="0"/>
          <w:divBdr>
            <w:top w:val="none" w:sz="0" w:space="0" w:color="auto"/>
            <w:left w:val="none" w:sz="0" w:space="0" w:color="auto"/>
            <w:bottom w:val="none" w:sz="0" w:space="0" w:color="auto"/>
            <w:right w:val="none" w:sz="0" w:space="0" w:color="auto"/>
          </w:divBdr>
        </w:div>
        <w:div w:id="1841920599">
          <w:marLeft w:val="0"/>
          <w:marRight w:val="0"/>
          <w:marTop w:val="0"/>
          <w:marBottom w:val="0"/>
          <w:divBdr>
            <w:top w:val="none" w:sz="0" w:space="0" w:color="auto"/>
            <w:left w:val="none" w:sz="0" w:space="0" w:color="auto"/>
            <w:bottom w:val="none" w:sz="0" w:space="0" w:color="auto"/>
            <w:right w:val="none" w:sz="0" w:space="0" w:color="auto"/>
          </w:divBdr>
        </w:div>
        <w:div w:id="1847818767">
          <w:marLeft w:val="0"/>
          <w:marRight w:val="0"/>
          <w:marTop w:val="0"/>
          <w:marBottom w:val="0"/>
          <w:divBdr>
            <w:top w:val="none" w:sz="0" w:space="0" w:color="auto"/>
            <w:left w:val="none" w:sz="0" w:space="0" w:color="auto"/>
            <w:bottom w:val="none" w:sz="0" w:space="0" w:color="auto"/>
            <w:right w:val="none" w:sz="0" w:space="0" w:color="auto"/>
          </w:divBdr>
        </w:div>
        <w:div w:id="1850560175">
          <w:marLeft w:val="0"/>
          <w:marRight w:val="0"/>
          <w:marTop w:val="0"/>
          <w:marBottom w:val="0"/>
          <w:divBdr>
            <w:top w:val="none" w:sz="0" w:space="0" w:color="auto"/>
            <w:left w:val="none" w:sz="0" w:space="0" w:color="auto"/>
            <w:bottom w:val="none" w:sz="0" w:space="0" w:color="auto"/>
            <w:right w:val="none" w:sz="0" w:space="0" w:color="auto"/>
          </w:divBdr>
        </w:div>
        <w:div w:id="1853566855">
          <w:marLeft w:val="0"/>
          <w:marRight w:val="0"/>
          <w:marTop w:val="0"/>
          <w:marBottom w:val="0"/>
          <w:divBdr>
            <w:top w:val="none" w:sz="0" w:space="0" w:color="auto"/>
            <w:left w:val="none" w:sz="0" w:space="0" w:color="auto"/>
            <w:bottom w:val="none" w:sz="0" w:space="0" w:color="auto"/>
            <w:right w:val="none" w:sz="0" w:space="0" w:color="auto"/>
          </w:divBdr>
        </w:div>
        <w:div w:id="1858343951">
          <w:marLeft w:val="0"/>
          <w:marRight w:val="0"/>
          <w:marTop w:val="0"/>
          <w:marBottom w:val="0"/>
          <w:divBdr>
            <w:top w:val="none" w:sz="0" w:space="0" w:color="auto"/>
            <w:left w:val="none" w:sz="0" w:space="0" w:color="auto"/>
            <w:bottom w:val="none" w:sz="0" w:space="0" w:color="auto"/>
            <w:right w:val="none" w:sz="0" w:space="0" w:color="auto"/>
          </w:divBdr>
        </w:div>
        <w:div w:id="1867408826">
          <w:marLeft w:val="0"/>
          <w:marRight w:val="0"/>
          <w:marTop w:val="0"/>
          <w:marBottom w:val="0"/>
          <w:divBdr>
            <w:top w:val="none" w:sz="0" w:space="0" w:color="auto"/>
            <w:left w:val="none" w:sz="0" w:space="0" w:color="auto"/>
            <w:bottom w:val="none" w:sz="0" w:space="0" w:color="auto"/>
            <w:right w:val="none" w:sz="0" w:space="0" w:color="auto"/>
          </w:divBdr>
        </w:div>
        <w:div w:id="1879008199">
          <w:marLeft w:val="0"/>
          <w:marRight w:val="0"/>
          <w:marTop w:val="0"/>
          <w:marBottom w:val="0"/>
          <w:divBdr>
            <w:top w:val="none" w:sz="0" w:space="0" w:color="auto"/>
            <w:left w:val="none" w:sz="0" w:space="0" w:color="auto"/>
            <w:bottom w:val="none" w:sz="0" w:space="0" w:color="auto"/>
            <w:right w:val="none" w:sz="0" w:space="0" w:color="auto"/>
          </w:divBdr>
        </w:div>
        <w:div w:id="1883055959">
          <w:marLeft w:val="0"/>
          <w:marRight w:val="0"/>
          <w:marTop w:val="0"/>
          <w:marBottom w:val="0"/>
          <w:divBdr>
            <w:top w:val="none" w:sz="0" w:space="0" w:color="auto"/>
            <w:left w:val="none" w:sz="0" w:space="0" w:color="auto"/>
            <w:bottom w:val="none" w:sz="0" w:space="0" w:color="auto"/>
            <w:right w:val="none" w:sz="0" w:space="0" w:color="auto"/>
          </w:divBdr>
        </w:div>
        <w:div w:id="1885019419">
          <w:marLeft w:val="0"/>
          <w:marRight w:val="0"/>
          <w:marTop w:val="0"/>
          <w:marBottom w:val="0"/>
          <w:divBdr>
            <w:top w:val="none" w:sz="0" w:space="0" w:color="auto"/>
            <w:left w:val="none" w:sz="0" w:space="0" w:color="auto"/>
            <w:bottom w:val="none" w:sz="0" w:space="0" w:color="auto"/>
            <w:right w:val="none" w:sz="0" w:space="0" w:color="auto"/>
          </w:divBdr>
        </w:div>
        <w:div w:id="1905027710">
          <w:marLeft w:val="0"/>
          <w:marRight w:val="0"/>
          <w:marTop w:val="0"/>
          <w:marBottom w:val="0"/>
          <w:divBdr>
            <w:top w:val="none" w:sz="0" w:space="0" w:color="auto"/>
            <w:left w:val="none" w:sz="0" w:space="0" w:color="auto"/>
            <w:bottom w:val="none" w:sz="0" w:space="0" w:color="auto"/>
            <w:right w:val="none" w:sz="0" w:space="0" w:color="auto"/>
          </w:divBdr>
        </w:div>
        <w:div w:id="1912157179">
          <w:marLeft w:val="0"/>
          <w:marRight w:val="0"/>
          <w:marTop w:val="0"/>
          <w:marBottom w:val="0"/>
          <w:divBdr>
            <w:top w:val="none" w:sz="0" w:space="0" w:color="auto"/>
            <w:left w:val="none" w:sz="0" w:space="0" w:color="auto"/>
            <w:bottom w:val="none" w:sz="0" w:space="0" w:color="auto"/>
            <w:right w:val="none" w:sz="0" w:space="0" w:color="auto"/>
          </w:divBdr>
        </w:div>
        <w:div w:id="1913924831">
          <w:marLeft w:val="0"/>
          <w:marRight w:val="0"/>
          <w:marTop w:val="0"/>
          <w:marBottom w:val="0"/>
          <w:divBdr>
            <w:top w:val="none" w:sz="0" w:space="0" w:color="auto"/>
            <w:left w:val="none" w:sz="0" w:space="0" w:color="auto"/>
            <w:bottom w:val="none" w:sz="0" w:space="0" w:color="auto"/>
            <w:right w:val="none" w:sz="0" w:space="0" w:color="auto"/>
          </w:divBdr>
        </w:div>
        <w:div w:id="1925214953">
          <w:marLeft w:val="0"/>
          <w:marRight w:val="0"/>
          <w:marTop w:val="0"/>
          <w:marBottom w:val="0"/>
          <w:divBdr>
            <w:top w:val="none" w:sz="0" w:space="0" w:color="auto"/>
            <w:left w:val="none" w:sz="0" w:space="0" w:color="auto"/>
            <w:bottom w:val="none" w:sz="0" w:space="0" w:color="auto"/>
            <w:right w:val="none" w:sz="0" w:space="0" w:color="auto"/>
          </w:divBdr>
        </w:div>
        <w:div w:id="1966691778">
          <w:marLeft w:val="0"/>
          <w:marRight w:val="0"/>
          <w:marTop w:val="0"/>
          <w:marBottom w:val="0"/>
          <w:divBdr>
            <w:top w:val="none" w:sz="0" w:space="0" w:color="auto"/>
            <w:left w:val="none" w:sz="0" w:space="0" w:color="auto"/>
            <w:bottom w:val="none" w:sz="0" w:space="0" w:color="auto"/>
            <w:right w:val="none" w:sz="0" w:space="0" w:color="auto"/>
          </w:divBdr>
        </w:div>
        <w:div w:id="1973170548">
          <w:marLeft w:val="0"/>
          <w:marRight w:val="0"/>
          <w:marTop w:val="0"/>
          <w:marBottom w:val="0"/>
          <w:divBdr>
            <w:top w:val="none" w:sz="0" w:space="0" w:color="auto"/>
            <w:left w:val="none" w:sz="0" w:space="0" w:color="auto"/>
            <w:bottom w:val="none" w:sz="0" w:space="0" w:color="auto"/>
            <w:right w:val="none" w:sz="0" w:space="0" w:color="auto"/>
          </w:divBdr>
        </w:div>
        <w:div w:id="1982076313">
          <w:marLeft w:val="0"/>
          <w:marRight w:val="0"/>
          <w:marTop w:val="0"/>
          <w:marBottom w:val="0"/>
          <w:divBdr>
            <w:top w:val="none" w:sz="0" w:space="0" w:color="auto"/>
            <w:left w:val="none" w:sz="0" w:space="0" w:color="auto"/>
            <w:bottom w:val="none" w:sz="0" w:space="0" w:color="auto"/>
            <w:right w:val="none" w:sz="0" w:space="0" w:color="auto"/>
          </w:divBdr>
        </w:div>
        <w:div w:id="1986464913">
          <w:marLeft w:val="0"/>
          <w:marRight w:val="0"/>
          <w:marTop w:val="0"/>
          <w:marBottom w:val="0"/>
          <w:divBdr>
            <w:top w:val="none" w:sz="0" w:space="0" w:color="auto"/>
            <w:left w:val="none" w:sz="0" w:space="0" w:color="auto"/>
            <w:bottom w:val="none" w:sz="0" w:space="0" w:color="auto"/>
            <w:right w:val="none" w:sz="0" w:space="0" w:color="auto"/>
          </w:divBdr>
        </w:div>
        <w:div w:id="2011250435">
          <w:marLeft w:val="0"/>
          <w:marRight w:val="0"/>
          <w:marTop w:val="0"/>
          <w:marBottom w:val="0"/>
          <w:divBdr>
            <w:top w:val="none" w:sz="0" w:space="0" w:color="auto"/>
            <w:left w:val="none" w:sz="0" w:space="0" w:color="auto"/>
            <w:bottom w:val="none" w:sz="0" w:space="0" w:color="auto"/>
            <w:right w:val="none" w:sz="0" w:space="0" w:color="auto"/>
          </w:divBdr>
        </w:div>
        <w:div w:id="2014601254">
          <w:marLeft w:val="0"/>
          <w:marRight w:val="0"/>
          <w:marTop w:val="0"/>
          <w:marBottom w:val="0"/>
          <w:divBdr>
            <w:top w:val="none" w:sz="0" w:space="0" w:color="auto"/>
            <w:left w:val="none" w:sz="0" w:space="0" w:color="auto"/>
            <w:bottom w:val="none" w:sz="0" w:space="0" w:color="auto"/>
            <w:right w:val="none" w:sz="0" w:space="0" w:color="auto"/>
          </w:divBdr>
        </w:div>
        <w:div w:id="2029868527">
          <w:marLeft w:val="0"/>
          <w:marRight w:val="0"/>
          <w:marTop w:val="0"/>
          <w:marBottom w:val="0"/>
          <w:divBdr>
            <w:top w:val="none" w:sz="0" w:space="0" w:color="auto"/>
            <w:left w:val="none" w:sz="0" w:space="0" w:color="auto"/>
            <w:bottom w:val="none" w:sz="0" w:space="0" w:color="auto"/>
            <w:right w:val="none" w:sz="0" w:space="0" w:color="auto"/>
          </w:divBdr>
        </w:div>
        <w:div w:id="2040472679">
          <w:marLeft w:val="0"/>
          <w:marRight w:val="0"/>
          <w:marTop w:val="0"/>
          <w:marBottom w:val="0"/>
          <w:divBdr>
            <w:top w:val="none" w:sz="0" w:space="0" w:color="auto"/>
            <w:left w:val="none" w:sz="0" w:space="0" w:color="auto"/>
            <w:bottom w:val="none" w:sz="0" w:space="0" w:color="auto"/>
            <w:right w:val="none" w:sz="0" w:space="0" w:color="auto"/>
          </w:divBdr>
        </w:div>
        <w:div w:id="2053453812">
          <w:marLeft w:val="0"/>
          <w:marRight w:val="0"/>
          <w:marTop w:val="0"/>
          <w:marBottom w:val="0"/>
          <w:divBdr>
            <w:top w:val="none" w:sz="0" w:space="0" w:color="auto"/>
            <w:left w:val="none" w:sz="0" w:space="0" w:color="auto"/>
            <w:bottom w:val="none" w:sz="0" w:space="0" w:color="auto"/>
            <w:right w:val="none" w:sz="0" w:space="0" w:color="auto"/>
          </w:divBdr>
        </w:div>
        <w:div w:id="2053578667">
          <w:marLeft w:val="0"/>
          <w:marRight w:val="0"/>
          <w:marTop w:val="0"/>
          <w:marBottom w:val="0"/>
          <w:divBdr>
            <w:top w:val="none" w:sz="0" w:space="0" w:color="auto"/>
            <w:left w:val="none" w:sz="0" w:space="0" w:color="auto"/>
            <w:bottom w:val="none" w:sz="0" w:space="0" w:color="auto"/>
            <w:right w:val="none" w:sz="0" w:space="0" w:color="auto"/>
          </w:divBdr>
        </w:div>
        <w:div w:id="2084601234">
          <w:marLeft w:val="0"/>
          <w:marRight w:val="0"/>
          <w:marTop w:val="0"/>
          <w:marBottom w:val="0"/>
          <w:divBdr>
            <w:top w:val="none" w:sz="0" w:space="0" w:color="auto"/>
            <w:left w:val="none" w:sz="0" w:space="0" w:color="auto"/>
            <w:bottom w:val="none" w:sz="0" w:space="0" w:color="auto"/>
            <w:right w:val="none" w:sz="0" w:space="0" w:color="auto"/>
          </w:divBdr>
        </w:div>
        <w:div w:id="2085100739">
          <w:marLeft w:val="0"/>
          <w:marRight w:val="0"/>
          <w:marTop w:val="0"/>
          <w:marBottom w:val="0"/>
          <w:divBdr>
            <w:top w:val="none" w:sz="0" w:space="0" w:color="auto"/>
            <w:left w:val="none" w:sz="0" w:space="0" w:color="auto"/>
            <w:bottom w:val="none" w:sz="0" w:space="0" w:color="auto"/>
            <w:right w:val="none" w:sz="0" w:space="0" w:color="auto"/>
          </w:divBdr>
        </w:div>
        <w:div w:id="2091804497">
          <w:marLeft w:val="0"/>
          <w:marRight w:val="0"/>
          <w:marTop w:val="0"/>
          <w:marBottom w:val="0"/>
          <w:divBdr>
            <w:top w:val="none" w:sz="0" w:space="0" w:color="auto"/>
            <w:left w:val="none" w:sz="0" w:space="0" w:color="auto"/>
            <w:bottom w:val="none" w:sz="0" w:space="0" w:color="auto"/>
            <w:right w:val="none" w:sz="0" w:space="0" w:color="auto"/>
          </w:divBdr>
        </w:div>
        <w:div w:id="2099786894">
          <w:marLeft w:val="0"/>
          <w:marRight w:val="0"/>
          <w:marTop w:val="0"/>
          <w:marBottom w:val="0"/>
          <w:divBdr>
            <w:top w:val="none" w:sz="0" w:space="0" w:color="auto"/>
            <w:left w:val="none" w:sz="0" w:space="0" w:color="auto"/>
            <w:bottom w:val="none" w:sz="0" w:space="0" w:color="auto"/>
            <w:right w:val="none" w:sz="0" w:space="0" w:color="auto"/>
          </w:divBdr>
        </w:div>
        <w:div w:id="2103183859">
          <w:marLeft w:val="0"/>
          <w:marRight w:val="0"/>
          <w:marTop w:val="0"/>
          <w:marBottom w:val="0"/>
          <w:divBdr>
            <w:top w:val="none" w:sz="0" w:space="0" w:color="auto"/>
            <w:left w:val="none" w:sz="0" w:space="0" w:color="auto"/>
            <w:bottom w:val="none" w:sz="0" w:space="0" w:color="auto"/>
            <w:right w:val="none" w:sz="0" w:space="0" w:color="auto"/>
          </w:divBdr>
        </w:div>
        <w:div w:id="2103988898">
          <w:marLeft w:val="0"/>
          <w:marRight w:val="0"/>
          <w:marTop w:val="0"/>
          <w:marBottom w:val="0"/>
          <w:divBdr>
            <w:top w:val="none" w:sz="0" w:space="0" w:color="auto"/>
            <w:left w:val="none" w:sz="0" w:space="0" w:color="auto"/>
            <w:bottom w:val="none" w:sz="0" w:space="0" w:color="auto"/>
            <w:right w:val="none" w:sz="0" w:space="0" w:color="auto"/>
          </w:divBdr>
        </w:div>
        <w:div w:id="2115633846">
          <w:marLeft w:val="0"/>
          <w:marRight w:val="0"/>
          <w:marTop w:val="0"/>
          <w:marBottom w:val="0"/>
          <w:divBdr>
            <w:top w:val="none" w:sz="0" w:space="0" w:color="auto"/>
            <w:left w:val="none" w:sz="0" w:space="0" w:color="auto"/>
            <w:bottom w:val="none" w:sz="0" w:space="0" w:color="auto"/>
            <w:right w:val="none" w:sz="0" w:space="0" w:color="auto"/>
          </w:divBdr>
        </w:div>
        <w:div w:id="2129346241">
          <w:marLeft w:val="0"/>
          <w:marRight w:val="0"/>
          <w:marTop w:val="0"/>
          <w:marBottom w:val="0"/>
          <w:divBdr>
            <w:top w:val="none" w:sz="0" w:space="0" w:color="auto"/>
            <w:left w:val="none" w:sz="0" w:space="0" w:color="auto"/>
            <w:bottom w:val="none" w:sz="0" w:space="0" w:color="auto"/>
            <w:right w:val="none" w:sz="0" w:space="0" w:color="auto"/>
          </w:divBdr>
        </w:div>
        <w:div w:id="2131511829">
          <w:marLeft w:val="0"/>
          <w:marRight w:val="0"/>
          <w:marTop w:val="0"/>
          <w:marBottom w:val="0"/>
          <w:divBdr>
            <w:top w:val="none" w:sz="0" w:space="0" w:color="auto"/>
            <w:left w:val="none" w:sz="0" w:space="0" w:color="auto"/>
            <w:bottom w:val="none" w:sz="0" w:space="0" w:color="auto"/>
            <w:right w:val="none" w:sz="0" w:space="0" w:color="auto"/>
          </w:divBdr>
        </w:div>
        <w:div w:id="2135521365">
          <w:marLeft w:val="0"/>
          <w:marRight w:val="0"/>
          <w:marTop w:val="0"/>
          <w:marBottom w:val="0"/>
          <w:divBdr>
            <w:top w:val="none" w:sz="0" w:space="0" w:color="auto"/>
            <w:left w:val="none" w:sz="0" w:space="0" w:color="auto"/>
            <w:bottom w:val="none" w:sz="0" w:space="0" w:color="auto"/>
            <w:right w:val="none" w:sz="0" w:space="0" w:color="auto"/>
          </w:divBdr>
        </w:div>
        <w:div w:id="2139954507">
          <w:marLeft w:val="0"/>
          <w:marRight w:val="0"/>
          <w:marTop w:val="0"/>
          <w:marBottom w:val="0"/>
          <w:divBdr>
            <w:top w:val="none" w:sz="0" w:space="0" w:color="auto"/>
            <w:left w:val="none" w:sz="0" w:space="0" w:color="auto"/>
            <w:bottom w:val="none" w:sz="0" w:space="0" w:color="auto"/>
            <w:right w:val="none" w:sz="0" w:space="0" w:color="auto"/>
          </w:divBdr>
        </w:div>
        <w:div w:id="2141341665">
          <w:marLeft w:val="0"/>
          <w:marRight w:val="0"/>
          <w:marTop w:val="0"/>
          <w:marBottom w:val="0"/>
          <w:divBdr>
            <w:top w:val="none" w:sz="0" w:space="0" w:color="auto"/>
            <w:left w:val="none" w:sz="0" w:space="0" w:color="auto"/>
            <w:bottom w:val="none" w:sz="0" w:space="0" w:color="auto"/>
            <w:right w:val="none" w:sz="0" w:space="0" w:color="auto"/>
          </w:divBdr>
        </w:div>
        <w:div w:id="2146387335">
          <w:marLeft w:val="0"/>
          <w:marRight w:val="0"/>
          <w:marTop w:val="0"/>
          <w:marBottom w:val="0"/>
          <w:divBdr>
            <w:top w:val="none" w:sz="0" w:space="0" w:color="auto"/>
            <w:left w:val="none" w:sz="0" w:space="0" w:color="auto"/>
            <w:bottom w:val="none" w:sz="0" w:space="0" w:color="auto"/>
            <w:right w:val="none" w:sz="0" w:space="0" w:color="auto"/>
          </w:divBdr>
        </w:div>
      </w:divsChild>
    </w:div>
    <w:div w:id="712071744">
      <w:bodyDiv w:val="1"/>
      <w:marLeft w:val="0"/>
      <w:marRight w:val="0"/>
      <w:marTop w:val="0"/>
      <w:marBottom w:val="0"/>
      <w:divBdr>
        <w:top w:val="none" w:sz="0" w:space="0" w:color="auto"/>
        <w:left w:val="none" w:sz="0" w:space="0" w:color="auto"/>
        <w:bottom w:val="none" w:sz="0" w:space="0" w:color="auto"/>
        <w:right w:val="none" w:sz="0" w:space="0" w:color="auto"/>
      </w:divBdr>
    </w:div>
    <w:div w:id="1381854810">
      <w:bodyDiv w:val="1"/>
      <w:marLeft w:val="0"/>
      <w:marRight w:val="0"/>
      <w:marTop w:val="0"/>
      <w:marBottom w:val="0"/>
      <w:divBdr>
        <w:top w:val="none" w:sz="0" w:space="0" w:color="auto"/>
        <w:left w:val="none" w:sz="0" w:space="0" w:color="auto"/>
        <w:bottom w:val="none" w:sz="0" w:space="0" w:color="auto"/>
        <w:right w:val="none" w:sz="0" w:space="0" w:color="auto"/>
      </w:divBdr>
    </w:div>
    <w:div w:id="1592809129">
      <w:bodyDiv w:val="1"/>
      <w:marLeft w:val="0"/>
      <w:marRight w:val="0"/>
      <w:marTop w:val="0"/>
      <w:marBottom w:val="0"/>
      <w:divBdr>
        <w:top w:val="none" w:sz="0" w:space="0" w:color="auto"/>
        <w:left w:val="none" w:sz="0" w:space="0" w:color="auto"/>
        <w:bottom w:val="none" w:sz="0" w:space="0" w:color="auto"/>
        <w:right w:val="none" w:sz="0" w:space="0" w:color="auto"/>
      </w:divBdr>
    </w:div>
    <w:div w:id="1866287473">
      <w:bodyDiv w:val="1"/>
      <w:marLeft w:val="0"/>
      <w:marRight w:val="0"/>
      <w:marTop w:val="0"/>
      <w:marBottom w:val="0"/>
      <w:divBdr>
        <w:top w:val="none" w:sz="0" w:space="0" w:color="auto"/>
        <w:left w:val="none" w:sz="0" w:space="0" w:color="auto"/>
        <w:bottom w:val="none" w:sz="0" w:space="0" w:color="auto"/>
        <w:right w:val="none" w:sz="0" w:space="0" w:color="auto"/>
      </w:divBdr>
    </w:div>
    <w:div w:id="206949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diagramQuickStyle" Target="diagrams/quickStyle1.xml"/><Relationship Id="rId26"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image" Target="media/image17.sv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diagramLayout" Target="diagrams/layout1.xml"/><Relationship Id="rId25" Type="http://schemas.openxmlformats.org/officeDocument/2006/relationships/image" Target="media/image8.png"/><Relationship Id="rId33"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7.png"/><Relationship Id="rId32" Type="http://schemas.openxmlformats.org/officeDocument/2006/relationships/image" Target="media/image15.sv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youtu.be/NR3sSixtnD0?si=J_XDLE1W_wZcOwQt" TargetMode="External"/><Relationship Id="rId28" Type="http://schemas.openxmlformats.org/officeDocument/2006/relationships/image" Target="media/image11.sv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diagramColors" Target="diagrams/colors1.xml"/><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 Id="rId22" Type="http://schemas.openxmlformats.org/officeDocument/2006/relationships/image" Target="media/image6.svg"/><Relationship Id="rId27" Type="http://schemas.openxmlformats.org/officeDocument/2006/relationships/image" Target="media/image10.png"/><Relationship Id="rId30" Type="http://schemas.openxmlformats.org/officeDocument/2006/relationships/image" Target="media/image13.svg"/><Relationship Id="rId35" Type="http://schemas.openxmlformats.org/officeDocument/2006/relationships/fontTable" Target="fontTable.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notes.xml.rels><?xml version="1.0" encoding="UTF-8" standalone="yes"?>
<Relationships xmlns="http://schemas.openxmlformats.org/package/2006/relationships"><Relationship Id="rId8" Type="http://schemas.openxmlformats.org/officeDocument/2006/relationships/hyperlink" Target="https://www.economie.gouv.fr/dgccrf/les-fiches-pratiques/la-nouvelle-directive-europeenne-accessibilite-pour-des-produits-et-des-services-accessibles-aux-personnes-en-situation" TargetMode="External"/><Relationship Id="rId13" Type="http://schemas.openxmlformats.org/officeDocument/2006/relationships/hyperlink" Target="file:///C:\Users\Chantal%20d'Agrain\Downloads\D&#233;claration%20de%20non-conformit&#233;%20ou%20invocation%20d'une%20exemption%20aux%20obligations%20d'accessibilit&#233;%20num&#233;rique" TargetMode="External"/><Relationship Id="rId18" Type="http://schemas.openxmlformats.org/officeDocument/2006/relationships/hyperlink" Target="https://www.enedis.fr/sites/default/files/documents/pdf/schema-pluriannuel-enedis-2024-2026.pdf" TargetMode="External"/><Relationship Id="rId26" Type="http://schemas.openxmlformats.org/officeDocument/2006/relationships/hyperlink" Target="https://www.avh.asso.fr/nos-solutions/accessibilite/accessibilite-numerique/accessibilite-internet/reseaux-sociaux" TargetMode="External"/><Relationship Id="rId3" Type="http://schemas.openxmlformats.org/officeDocument/2006/relationships/hyperlink" Target="https://www.w3.org/TR/WCAG21/" TargetMode="External"/><Relationship Id="rId21" Type="http://schemas.openxmlformats.org/officeDocument/2006/relationships/hyperlink" Target="https://design.numerique.gouv.fr/outils/accessibilite-marche-public/" TargetMode="External"/><Relationship Id="rId7" Type="http://schemas.openxmlformats.org/officeDocument/2006/relationships/hyperlink" Target="https://accessibilite.numerique.gouv.fr/doc/fr_301549v020102p.pdf" TargetMode="External"/><Relationship Id="rId12" Type="http://schemas.openxmlformats.org/officeDocument/2006/relationships/hyperlink" Target="https://www.legifrance.gouv.fr/loda/article_lc/LEGIARTI000047282795/" TargetMode="External"/><Relationship Id="rId17" Type="http://schemas.openxmlformats.org/officeDocument/2006/relationships/hyperlink" Target="https://www.opiiec.fr/sites/default/files/inline-files/OPIIEC%20-%20Accessibillite%20numeri%20e%20%20pport%20final.pdf" TargetMode="External"/><Relationship Id="rId25" Type="http://schemas.openxmlformats.org/officeDocument/2006/relationships/hyperlink" Target="https://accessibilite.numerique.gouv.fr/obligations/declaration-accessibilite/" TargetMode="External"/><Relationship Id="rId2" Type="http://schemas.openxmlformats.org/officeDocument/2006/relationships/hyperlink" Target="https://www.w3.org/TR/WCAG21/" TargetMode="External"/><Relationship Id="rId16" Type="http://schemas.openxmlformats.org/officeDocument/2006/relationships/hyperlink" Target="https://www.anlci.gouv.fr/illectronisme/lillectronisme-en-chiffres/" TargetMode="External"/><Relationship Id="rId20" Type="http://schemas.openxmlformats.org/officeDocument/2006/relationships/hyperlink" Target="https://ara.numerique.gouv.fr/" TargetMode="External"/><Relationship Id="rId29" Type="http://schemas.openxmlformats.org/officeDocument/2006/relationships/hyperlink" Target="https://a11y-guidelines.orange.com/fr/" TargetMode="External"/><Relationship Id="rId1" Type="http://schemas.openxmlformats.org/officeDocument/2006/relationships/hyperlink" Target="https://www.monparcourshandicap.gouv.fr/actualite/accessibilite-numerique-et-handicap-entree-en-vigueur-de-leaa" TargetMode="External"/><Relationship Id="rId6" Type="http://schemas.openxmlformats.org/officeDocument/2006/relationships/hyperlink" Target="https://www.legifrance.gouv.fr/jorf/id/JORFTEXT000033558455" TargetMode="External"/><Relationship Id="rId11" Type="http://schemas.openxmlformats.org/officeDocument/2006/relationships/hyperlink" Target="https://eur-lex.europa.eu/legal-content/FR/TXT/?uri=CELEX:32019L0882" TargetMode="External"/><Relationship Id="rId24" Type="http://schemas.openxmlformats.org/officeDocument/2006/relationships/hyperlink" Target="https://www.systeme-de-design.gouv.fr/version-courante/fr" TargetMode="External"/><Relationship Id="rId32" Type="http://schemas.openxmlformats.org/officeDocument/2006/relationships/hyperlink" Target="https://opensource.orange.com/fr/actualites/accessibility-fr/tota11ylost/" TargetMode="External"/><Relationship Id="rId5" Type="http://schemas.openxmlformats.org/officeDocument/2006/relationships/hyperlink" Target="https://accessibilite.numerique.gouv.fr/obligations/champ-application/" TargetMode="External"/><Relationship Id="rId15" Type="http://schemas.openxmlformats.org/officeDocument/2006/relationships/hyperlink" Target="https://ecoresponsable.numerique.gouv.fr/publications/referentiel-general-ecoconception/" TargetMode="External"/><Relationship Id="rId23" Type="http://schemas.openxmlformats.org/officeDocument/2006/relationships/hyperlink" Target="https://www.economie.gouv.fr/files/files/directions_services/daj/media-document/Guide-accessibilite-numerique_0.pdf?v=1779378372" TargetMode="External"/><Relationship Id="rId28" Type="http://schemas.openxmlformats.org/officeDocument/2006/relationships/hyperlink" Target="https://www.w3.org/Translations/WCAG20-fr/" TargetMode="External"/><Relationship Id="rId10" Type="http://schemas.openxmlformats.org/officeDocument/2006/relationships/hyperlink" Target="https://www.legifrance.gouv.fr/jorf/id/JORFTEXT000048178413" TargetMode="External"/><Relationship Id="rId19" Type="http://schemas.openxmlformats.org/officeDocument/2006/relationships/hyperlink" Target="https://design.numerique.gouv.fr/outils/diagnostic-flash/" TargetMode="External"/><Relationship Id="rId31" Type="http://schemas.openxmlformats.org/officeDocument/2006/relationships/hyperlink" Target="https://tota11ylost.orange.com/" TargetMode="External"/><Relationship Id="rId4" Type="http://schemas.openxmlformats.org/officeDocument/2006/relationships/hyperlink" Target="https://design.numerique.gouv.fr/accessibilite-numerique/rgaa/" TargetMode="External"/><Relationship Id="rId9" Type="http://schemas.openxmlformats.org/officeDocument/2006/relationships/hyperlink" Target="https://www.legifrance.gouv.fr/jorf/id/JORFTEXT000048178349" TargetMode="External"/><Relationship Id="rId14" Type="http://schemas.openxmlformats.org/officeDocument/2006/relationships/hyperlink" Target="https://observatoire-access-num.aveuglesdefrance.org/donnees/par-filtre/" TargetMode="External"/><Relationship Id="rId22" Type="http://schemas.openxmlformats.org/officeDocument/2006/relationships/hyperlink" Target="https://design.numerique.gouv.fr/assets/doc/clauses-a11y-mi.odt" TargetMode="External"/><Relationship Id="rId27" Type="http://schemas.openxmlformats.org/officeDocument/2006/relationships/hyperlink" Target="https://accessibilite.numerique.gouv.fr/methode/criteres-et-tests/" TargetMode="External"/><Relationship Id="rId30" Type="http://schemas.openxmlformats.org/officeDocument/2006/relationships/hyperlink" Target="https://dequeuniversity.com/checklists/we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lora%20FISCHER\Downloads\Mod&#232;le%20rapport%202023%20VF.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FD010C6-9E6D-4674-88EA-4559F16281D7}"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fr-FR"/>
        </a:p>
      </dgm:t>
    </dgm:pt>
    <dgm:pt modelId="{E9C7671C-B076-43C3-9AFC-972AF1CD8693}">
      <dgm:prSet phldrT="[Texte]" custT="1"/>
      <dgm:spPr>
        <a:ln w="19050"/>
      </dgm:spPr>
      <dgm:t>
        <a:bodyPr/>
        <a:lstStyle/>
        <a:p>
          <a:pPr algn="ctr"/>
          <a:r>
            <a:rPr lang="fr-FR" sz="800" b="0">
              <a:latin typeface="Public Sans" pitchFamily="50" charset="0"/>
            </a:rPr>
            <a:t>CIO Management
Digital Accessibility Lead</a:t>
          </a:r>
        </a:p>
      </dgm:t>
    </dgm:pt>
    <dgm:pt modelId="{8E9B9656-6BC7-4115-8C07-C9BF097F716F}" type="parTrans" cxnId="{A0BDF5B7-2E45-44DC-946E-2DC996E4D8A5}">
      <dgm:prSet/>
      <dgm:spPr/>
      <dgm:t>
        <a:bodyPr/>
        <a:lstStyle/>
        <a:p>
          <a:pPr algn="ctr"/>
          <a:endParaRPr lang="fr-FR" sz="2000"/>
        </a:p>
      </dgm:t>
    </dgm:pt>
    <dgm:pt modelId="{C63A6270-F8A0-4B45-A4C1-80EA03820F71}" type="sibTrans" cxnId="{A0BDF5B7-2E45-44DC-946E-2DC996E4D8A5}">
      <dgm:prSet/>
      <dgm:spPr/>
      <dgm:t>
        <a:bodyPr/>
        <a:lstStyle/>
        <a:p>
          <a:pPr algn="ctr"/>
          <a:endParaRPr lang="fr-FR" sz="2000"/>
        </a:p>
      </dgm:t>
    </dgm:pt>
    <dgm:pt modelId="{EA3C52EB-9F5D-462C-95D7-22CF746D352C}">
      <dgm:prSet phldrT="[Texte]" custT="1"/>
      <dgm:spPr>
        <a:ln w="19050"/>
      </dgm:spPr>
      <dgm:t>
        <a:bodyPr/>
        <a:lstStyle/>
        <a:p>
          <a:pPr algn="ctr"/>
          <a:r>
            <a:rPr lang="fr-FR" sz="800">
              <a:latin typeface="Public Sans" pitchFamily="50" charset="0"/>
            </a:rPr>
            <a:t>DRHTS</a:t>
          </a:r>
          <a:endParaRPr lang="fr-FR" sz="700">
            <a:latin typeface="Public Sans" pitchFamily="50" charset="0"/>
          </a:endParaRPr>
        </a:p>
      </dgm:t>
    </dgm:pt>
    <dgm:pt modelId="{71253B26-356A-4089-95C4-46DE9E440F3B}" type="parTrans" cxnId="{82F70657-F451-4510-ABFB-0175E7552D2D}">
      <dgm:prSet/>
      <dgm:spPr>
        <a:ln w="19050"/>
      </dgm:spPr>
      <dgm:t>
        <a:bodyPr/>
        <a:lstStyle/>
        <a:p>
          <a:pPr algn="ctr"/>
          <a:endParaRPr lang="fr-FR" sz="2000"/>
        </a:p>
      </dgm:t>
    </dgm:pt>
    <dgm:pt modelId="{51825B5C-BD12-44AF-95B7-1163083D8207}" type="sibTrans" cxnId="{82F70657-F451-4510-ABFB-0175E7552D2D}">
      <dgm:prSet/>
      <dgm:spPr/>
      <dgm:t>
        <a:bodyPr/>
        <a:lstStyle/>
        <a:p>
          <a:pPr algn="ctr"/>
          <a:endParaRPr lang="fr-FR" sz="2000"/>
        </a:p>
      </dgm:t>
    </dgm:pt>
    <dgm:pt modelId="{479CD82A-EB19-47FB-A13A-C65F28D4F5D0}">
      <dgm:prSet phldrT="[Texte]" custT="1"/>
      <dgm:spPr>
        <a:ln w="19050"/>
      </dgm:spPr>
      <dgm:t>
        <a:bodyPr/>
        <a:lstStyle/>
        <a:p>
          <a:pPr algn="ctr"/>
          <a:r>
            <a:rPr lang="fr-FR" sz="800">
              <a:latin typeface="Public Sans" pitchFamily="50" charset="0"/>
            </a:rPr>
            <a:t>DIR2S-IT</a:t>
          </a:r>
        </a:p>
      </dgm:t>
    </dgm:pt>
    <dgm:pt modelId="{E926FFE7-F489-499B-9AD4-AFB54C73FEB7}" type="parTrans" cxnId="{78164E37-37EC-4427-8F98-B4668E630A5F}">
      <dgm:prSet/>
      <dgm:spPr>
        <a:ln w="19050"/>
      </dgm:spPr>
      <dgm:t>
        <a:bodyPr/>
        <a:lstStyle/>
        <a:p>
          <a:pPr algn="ctr"/>
          <a:endParaRPr lang="fr-FR" sz="2000"/>
        </a:p>
      </dgm:t>
    </dgm:pt>
    <dgm:pt modelId="{4C7BB6CB-EF2B-4568-8631-BD87594255FC}" type="sibTrans" cxnId="{78164E37-37EC-4427-8F98-B4668E630A5F}">
      <dgm:prSet/>
      <dgm:spPr/>
      <dgm:t>
        <a:bodyPr/>
        <a:lstStyle/>
        <a:p>
          <a:pPr algn="ctr"/>
          <a:endParaRPr lang="fr-FR" sz="2000"/>
        </a:p>
      </dgm:t>
    </dgm:pt>
    <dgm:pt modelId="{3C7AC878-3E86-4A31-8E2C-8AFE6AB645A7}">
      <dgm:prSet custT="1"/>
      <dgm:spPr>
        <a:ln w="19050"/>
      </dgm:spPr>
      <dgm:t>
        <a:bodyPr/>
        <a:lstStyle/>
        <a:p>
          <a:pPr algn="ctr"/>
          <a:r>
            <a:rPr lang="fr-FR" sz="800">
              <a:latin typeface="Public Sans" pitchFamily="50" charset="0"/>
            </a:rPr>
            <a:t>Diversity Department</a:t>
          </a:r>
        </a:p>
      </dgm:t>
    </dgm:pt>
    <dgm:pt modelId="{D5DF2967-4241-418F-8C31-600B422FB3AA}" type="parTrans" cxnId="{F4E7C31A-D9FB-4CFC-AABF-493A0C0EF0ED}">
      <dgm:prSet/>
      <dgm:spPr>
        <a:ln w="19050"/>
      </dgm:spPr>
      <dgm:t>
        <a:bodyPr/>
        <a:lstStyle/>
        <a:p>
          <a:pPr algn="ctr"/>
          <a:endParaRPr lang="fr-FR"/>
        </a:p>
      </dgm:t>
    </dgm:pt>
    <dgm:pt modelId="{53F77E6B-370A-459B-A375-C01E788CE11F}" type="sibTrans" cxnId="{F4E7C31A-D9FB-4CFC-AABF-493A0C0EF0ED}">
      <dgm:prSet/>
      <dgm:spPr/>
      <dgm:t>
        <a:bodyPr/>
        <a:lstStyle/>
        <a:p>
          <a:pPr algn="ctr"/>
          <a:endParaRPr lang="fr-FR"/>
        </a:p>
      </dgm:t>
    </dgm:pt>
    <dgm:pt modelId="{5509AADC-34A7-4FAC-93BE-2ED6C6A055D9}">
      <dgm:prSet phldrT="[Texte]" custT="1"/>
      <dgm:spPr>
        <a:ln w="19050"/>
      </dgm:spPr>
      <dgm:t>
        <a:bodyPr/>
        <a:lstStyle/>
        <a:p>
          <a:pPr algn="ctr"/>
          <a:r>
            <a:rPr lang="fr-FR" sz="800">
              <a:latin typeface="Public Sans" pitchFamily="50" charset="0"/>
            </a:rPr>
            <a:t>IT department</a:t>
          </a:r>
        </a:p>
      </dgm:t>
    </dgm:pt>
    <dgm:pt modelId="{318DC0F2-2D66-4335-94F6-1DCF45E12ED2}" type="parTrans" cxnId="{E5566B28-17CC-40B5-8213-D4DC45732E13}">
      <dgm:prSet/>
      <dgm:spPr/>
      <dgm:t>
        <a:bodyPr/>
        <a:lstStyle/>
        <a:p>
          <a:endParaRPr lang="fr-FR"/>
        </a:p>
      </dgm:t>
    </dgm:pt>
    <dgm:pt modelId="{AC2F8BF1-E3AD-4F2C-A3F5-A7B15CEBE887}" type="sibTrans" cxnId="{E5566B28-17CC-40B5-8213-D4DC45732E13}">
      <dgm:prSet/>
      <dgm:spPr/>
      <dgm:t>
        <a:bodyPr/>
        <a:lstStyle/>
        <a:p>
          <a:endParaRPr lang="fr-FR"/>
        </a:p>
      </dgm:t>
    </dgm:pt>
    <dgm:pt modelId="{C4444A21-3E6C-4000-A2C4-C68BCE93A896}">
      <dgm:prSet phldrT="[Texte]" custT="1"/>
      <dgm:spPr>
        <a:ln w="19050"/>
      </dgm:spPr>
      <dgm:t>
        <a:bodyPr/>
        <a:lstStyle/>
        <a:p>
          <a:pPr algn="ctr"/>
          <a:r>
            <a:rPr lang="fr-FR" sz="800">
              <a:latin typeface="Public Sans" pitchFamily="50" charset="0"/>
            </a:rPr>
            <a:t>Regional Service Hub</a:t>
          </a:r>
        </a:p>
      </dgm:t>
    </dgm:pt>
    <dgm:pt modelId="{4BF79462-1821-4A90-900C-A55B341EFAA2}" type="parTrans" cxnId="{9A60F4EB-E584-49FA-AF71-0279CD343D81}">
      <dgm:prSet/>
      <dgm:spPr/>
      <dgm:t>
        <a:bodyPr/>
        <a:lstStyle/>
        <a:p>
          <a:endParaRPr lang="fr-FR"/>
        </a:p>
      </dgm:t>
    </dgm:pt>
    <dgm:pt modelId="{62AA1ADD-E736-4C19-8AE0-81355A1ECD97}" type="sibTrans" cxnId="{9A60F4EB-E584-49FA-AF71-0279CD343D81}">
      <dgm:prSet/>
      <dgm:spPr/>
      <dgm:t>
        <a:bodyPr/>
        <a:lstStyle/>
        <a:p>
          <a:endParaRPr lang="fr-FR"/>
        </a:p>
      </dgm:t>
    </dgm:pt>
    <dgm:pt modelId="{65637DC8-9A52-4C04-922F-D8D79B01C027}">
      <dgm:prSet phldrT="[Texte]" custT="1"/>
      <dgm:spPr>
        <a:ln w="19050"/>
      </dgm:spPr>
      <dgm:t>
        <a:bodyPr/>
        <a:lstStyle/>
        <a:p>
          <a:pPr algn="ctr"/>
          <a:r>
            <a:rPr lang="fr-FR" sz="800">
              <a:latin typeface="Public Sans" pitchFamily="50" charset="0"/>
            </a:rPr>
            <a:t>Impact and Communications Department</a:t>
          </a:r>
        </a:p>
      </dgm:t>
    </dgm:pt>
    <dgm:pt modelId="{ACFDE670-A9F4-42F7-81B7-E4198A38EA9D}" type="parTrans" cxnId="{A3C5E6E8-BA37-4C4A-84EA-D0A51555C0CA}">
      <dgm:prSet/>
      <dgm:spPr/>
      <dgm:t>
        <a:bodyPr/>
        <a:lstStyle/>
        <a:p>
          <a:endParaRPr lang="fr-FR"/>
        </a:p>
      </dgm:t>
    </dgm:pt>
    <dgm:pt modelId="{B9B9FC37-92E5-44BB-835A-687FA2441190}" type="sibTrans" cxnId="{A3C5E6E8-BA37-4C4A-84EA-D0A51555C0CA}">
      <dgm:prSet/>
      <dgm:spPr/>
      <dgm:t>
        <a:bodyPr/>
        <a:lstStyle/>
        <a:p>
          <a:endParaRPr lang="fr-FR"/>
        </a:p>
      </dgm:t>
    </dgm:pt>
    <dgm:pt modelId="{90A738D5-1132-4D77-A956-229E7431996F}">
      <dgm:prSet phldrT="[Texte]" custT="1"/>
      <dgm:spPr>
        <a:ln w="19050"/>
      </dgm:spPr>
      <dgm:t>
        <a:bodyPr/>
        <a:lstStyle/>
        <a:p>
          <a:pPr algn="ctr"/>
          <a:r>
            <a:rPr lang="fr-FR" sz="800">
              <a:latin typeface="Public Sans" pitchFamily="50" charset="0"/>
            </a:rPr>
            <a:t>Brand and Digital Hub</a:t>
          </a:r>
        </a:p>
      </dgm:t>
    </dgm:pt>
    <dgm:pt modelId="{6518104E-696D-4E7C-974D-DEB6E55D8C49}" type="parTrans" cxnId="{6A13D224-1476-4AF5-9D77-619992908FDB}">
      <dgm:prSet/>
      <dgm:spPr/>
      <dgm:t>
        <a:bodyPr/>
        <a:lstStyle/>
        <a:p>
          <a:endParaRPr lang="fr-FR"/>
        </a:p>
      </dgm:t>
    </dgm:pt>
    <dgm:pt modelId="{E5DC1D60-5FE1-4EBE-B855-729866E101DB}" type="sibTrans" cxnId="{6A13D224-1476-4AF5-9D77-619992908FDB}">
      <dgm:prSet/>
      <dgm:spPr/>
      <dgm:t>
        <a:bodyPr/>
        <a:lstStyle/>
        <a:p>
          <a:endParaRPr lang="fr-FR"/>
        </a:p>
      </dgm:t>
    </dgm:pt>
    <dgm:pt modelId="{9308528B-1344-404D-8443-E038BE4B3BEA}">
      <dgm:prSet phldrT="[Texte]" custT="1"/>
      <dgm:spPr>
        <a:ln w="19050"/>
      </dgm:spPr>
      <dgm:t>
        <a:bodyPr/>
        <a:lstStyle/>
        <a:p>
          <a:pPr algn="ctr"/>
          <a:r>
            <a:rPr lang="fr-FR" sz="800">
              <a:latin typeface="Public Sans" pitchFamily="50" charset="0"/>
            </a:rPr>
            <a:t>CSR Hub</a:t>
          </a:r>
        </a:p>
      </dgm:t>
    </dgm:pt>
    <dgm:pt modelId="{780F43A9-05AC-4905-B75E-843C4F6FD7F8}" type="parTrans" cxnId="{66F69750-3DD8-4B59-B64D-CEAC8C0FBF1C}">
      <dgm:prSet/>
      <dgm:spPr/>
      <dgm:t>
        <a:bodyPr/>
        <a:lstStyle/>
        <a:p>
          <a:endParaRPr lang="fr-FR"/>
        </a:p>
      </dgm:t>
    </dgm:pt>
    <dgm:pt modelId="{A9C49568-0222-4211-A4C3-17A9042D4BB5}" type="sibTrans" cxnId="{66F69750-3DD8-4B59-B64D-CEAC8C0FBF1C}">
      <dgm:prSet/>
      <dgm:spPr/>
      <dgm:t>
        <a:bodyPr/>
        <a:lstStyle/>
        <a:p>
          <a:endParaRPr lang="fr-FR"/>
        </a:p>
      </dgm:t>
    </dgm:pt>
    <dgm:pt modelId="{0CAFAAAC-5AD8-4E4B-A68A-FDC25276E6E3}" type="pres">
      <dgm:prSet presAssocID="{3FD010C6-9E6D-4674-88EA-4559F16281D7}" presName="hierChild1" presStyleCnt="0">
        <dgm:presLayoutVars>
          <dgm:orgChart val="1"/>
          <dgm:chPref val="1"/>
          <dgm:dir/>
          <dgm:animOne val="branch"/>
          <dgm:animLvl val="lvl"/>
          <dgm:resizeHandles/>
        </dgm:presLayoutVars>
      </dgm:prSet>
      <dgm:spPr/>
    </dgm:pt>
    <dgm:pt modelId="{A774FBC4-91E0-43DD-9CDC-D1BB10CDAB70}" type="pres">
      <dgm:prSet presAssocID="{E9C7671C-B076-43C3-9AFC-972AF1CD8693}" presName="hierRoot1" presStyleCnt="0">
        <dgm:presLayoutVars>
          <dgm:hierBranch val="init"/>
        </dgm:presLayoutVars>
      </dgm:prSet>
      <dgm:spPr/>
    </dgm:pt>
    <dgm:pt modelId="{2FD70CDA-EAA4-4F3B-8BF2-22A0A400E562}" type="pres">
      <dgm:prSet presAssocID="{E9C7671C-B076-43C3-9AFC-972AF1CD8693}" presName="rootComposite1" presStyleCnt="0"/>
      <dgm:spPr/>
    </dgm:pt>
    <dgm:pt modelId="{64A9C333-606E-40C7-813B-3F43E4AF3F2B}" type="pres">
      <dgm:prSet presAssocID="{E9C7671C-B076-43C3-9AFC-972AF1CD8693}" presName="rootText1" presStyleLbl="node0" presStyleIdx="0" presStyleCnt="1" custScaleX="132474" custScaleY="146630">
        <dgm:presLayoutVars>
          <dgm:chPref val="3"/>
        </dgm:presLayoutVars>
      </dgm:prSet>
      <dgm:spPr/>
    </dgm:pt>
    <dgm:pt modelId="{3B40F5F0-A980-4015-81AE-1CB237167AF3}" type="pres">
      <dgm:prSet presAssocID="{E9C7671C-B076-43C3-9AFC-972AF1CD8693}" presName="rootConnector1" presStyleLbl="node1" presStyleIdx="0" presStyleCnt="0"/>
      <dgm:spPr/>
    </dgm:pt>
    <dgm:pt modelId="{B1DCAD88-986A-47FC-B000-D63060391E6E}" type="pres">
      <dgm:prSet presAssocID="{E9C7671C-B076-43C3-9AFC-972AF1CD8693}" presName="hierChild2" presStyleCnt="0"/>
      <dgm:spPr/>
    </dgm:pt>
    <dgm:pt modelId="{EFE7D9A3-20EE-46AD-8083-3122B058C740}" type="pres">
      <dgm:prSet presAssocID="{318DC0F2-2D66-4335-94F6-1DCF45E12ED2}" presName="Name37" presStyleLbl="parChTrans1D2" presStyleIdx="0" presStyleCnt="4"/>
      <dgm:spPr/>
    </dgm:pt>
    <dgm:pt modelId="{5C2083E4-FF73-474D-8A32-A202DEAB6473}" type="pres">
      <dgm:prSet presAssocID="{5509AADC-34A7-4FAC-93BE-2ED6C6A055D9}" presName="hierRoot2" presStyleCnt="0">
        <dgm:presLayoutVars>
          <dgm:hierBranch val="init"/>
        </dgm:presLayoutVars>
      </dgm:prSet>
      <dgm:spPr/>
    </dgm:pt>
    <dgm:pt modelId="{A5D63EA5-28C6-41D4-98B9-EB8B99373DEB}" type="pres">
      <dgm:prSet presAssocID="{5509AADC-34A7-4FAC-93BE-2ED6C6A055D9}" presName="rootComposite" presStyleCnt="0"/>
      <dgm:spPr/>
    </dgm:pt>
    <dgm:pt modelId="{9EAD45C6-5867-4A39-8782-957243FD5F0B}" type="pres">
      <dgm:prSet presAssocID="{5509AADC-34A7-4FAC-93BE-2ED6C6A055D9}" presName="rootText" presStyleLbl="node2" presStyleIdx="0" presStyleCnt="4">
        <dgm:presLayoutVars>
          <dgm:chPref val="3"/>
        </dgm:presLayoutVars>
      </dgm:prSet>
      <dgm:spPr/>
    </dgm:pt>
    <dgm:pt modelId="{6EDA1EB4-F7D0-4C24-BC0E-49277DAF64D7}" type="pres">
      <dgm:prSet presAssocID="{5509AADC-34A7-4FAC-93BE-2ED6C6A055D9}" presName="rootConnector" presStyleLbl="node2" presStyleIdx="0" presStyleCnt="4"/>
      <dgm:spPr/>
    </dgm:pt>
    <dgm:pt modelId="{B4F7330E-589F-4448-AD24-32C117C34D19}" type="pres">
      <dgm:prSet presAssocID="{5509AADC-34A7-4FAC-93BE-2ED6C6A055D9}" presName="hierChild4" presStyleCnt="0"/>
      <dgm:spPr/>
    </dgm:pt>
    <dgm:pt modelId="{443D4FFD-A5F9-4446-8187-CF2AE1D90911}" type="pres">
      <dgm:prSet presAssocID="{4BF79462-1821-4A90-900C-A55B341EFAA2}" presName="Name37" presStyleLbl="parChTrans1D3" presStyleIdx="0" presStyleCnt="4"/>
      <dgm:spPr/>
    </dgm:pt>
    <dgm:pt modelId="{CB717EF5-C75E-4B31-9207-6E18635A0B0D}" type="pres">
      <dgm:prSet presAssocID="{C4444A21-3E6C-4000-A2C4-C68BCE93A896}" presName="hierRoot2" presStyleCnt="0">
        <dgm:presLayoutVars>
          <dgm:hierBranch val="init"/>
        </dgm:presLayoutVars>
      </dgm:prSet>
      <dgm:spPr/>
    </dgm:pt>
    <dgm:pt modelId="{39B32646-883A-49B0-A04E-F1E729012F8C}" type="pres">
      <dgm:prSet presAssocID="{C4444A21-3E6C-4000-A2C4-C68BCE93A896}" presName="rootComposite" presStyleCnt="0"/>
      <dgm:spPr/>
    </dgm:pt>
    <dgm:pt modelId="{7B226598-4305-48B3-A846-90E1556F3E5D}" type="pres">
      <dgm:prSet presAssocID="{C4444A21-3E6C-4000-A2C4-C68BCE93A896}" presName="rootText" presStyleLbl="node3" presStyleIdx="0" presStyleCnt="4">
        <dgm:presLayoutVars>
          <dgm:chPref val="3"/>
        </dgm:presLayoutVars>
      </dgm:prSet>
      <dgm:spPr/>
    </dgm:pt>
    <dgm:pt modelId="{E73D44FA-728B-4A9E-BEF3-3394552E03FA}" type="pres">
      <dgm:prSet presAssocID="{C4444A21-3E6C-4000-A2C4-C68BCE93A896}" presName="rootConnector" presStyleLbl="node3" presStyleIdx="0" presStyleCnt="4"/>
      <dgm:spPr/>
    </dgm:pt>
    <dgm:pt modelId="{BBB3DA20-CFF6-49FA-8D8E-C9E17DC8EFF6}" type="pres">
      <dgm:prSet presAssocID="{C4444A21-3E6C-4000-A2C4-C68BCE93A896}" presName="hierChild4" presStyleCnt="0"/>
      <dgm:spPr/>
    </dgm:pt>
    <dgm:pt modelId="{70B5EAC4-6144-4885-BE81-1BD53282467F}" type="pres">
      <dgm:prSet presAssocID="{C4444A21-3E6C-4000-A2C4-C68BCE93A896}" presName="hierChild5" presStyleCnt="0"/>
      <dgm:spPr/>
    </dgm:pt>
    <dgm:pt modelId="{D93D5D4F-36A3-42CF-B7AF-400F44A0DE63}" type="pres">
      <dgm:prSet presAssocID="{5509AADC-34A7-4FAC-93BE-2ED6C6A055D9}" presName="hierChild5" presStyleCnt="0"/>
      <dgm:spPr/>
    </dgm:pt>
    <dgm:pt modelId="{45C58A64-EFBA-46E7-8A1A-C383505F8F92}" type="pres">
      <dgm:prSet presAssocID="{ACFDE670-A9F4-42F7-81B7-E4198A38EA9D}" presName="Name37" presStyleLbl="parChTrans1D2" presStyleIdx="1" presStyleCnt="4"/>
      <dgm:spPr/>
    </dgm:pt>
    <dgm:pt modelId="{6025292A-8153-4301-912F-8EA83396E026}" type="pres">
      <dgm:prSet presAssocID="{65637DC8-9A52-4C04-922F-D8D79B01C027}" presName="hierRoot2" presStyleCnt="0">
        <dgm:presLayoutVars>
          <dgm:hierBranch val="init"/>
        </dgm:presLayoutVars>
      </dgm:prSet>
      <dgm:spPr/>
    </dgm:pt>
    <dgm:pt modelId="{DD6F96B3-8D51-4081-82A6-225283F8C792}" type="pres">
      <dgm:prSet presAssocID="{65637DC8-9A52-4C04-922F-D8D79B01C027}" presName="rootComposite" presStyleCnt="0"/>
      <dgm:spPr/>
    </dgm:pt>
    <dgm:pt modelId="{CDC7E985-67E1-40DE-B307-70CCB4A3AEEF}" type="pres">
      <dgm:prSet presAssocID="{65637DC8-9A52-4C04-922F-D8D79B01C027}" presName="rootText" presStyleLbl="node2" presStyleIdx="1" presStyleCnt="4">
        <dgm:presLayoutVars>
          <dgm:chPref val="3"/>
        </dgm:presLayoutVars>
      </dgm:prSet>
      <dgm:spPr/>
    </dgm:pt>
    <dgm:pt modelId="{C06BDBFA-4C16-4D2B-895F-FA43F62A2034}" type="pres">
      <dgm:prSet presAssocID="{65637DC8-9A52-4C04-922F-D8D79B01C027}" presName="rootConnector" presStyleLbl="node2" presStyleIdx="1" presStyleCnt="4"/>
      <dgm:spPr/>
    </dgm:pt>
    <dgm:pt modelId="{A8A168AF-A5C2-4A7F-9BDE-0C3D5622E6EA}" type="pres">
      <dgm:prSet presAssocID="{65637DC8-9A52-4C04-922F-D8D79B01C027}" presName="hierChild4" presStyleCnt="0"/>
      <dgm:spPr/>
    </dgm:pt>
    <dgm:pt modelId="{9FAF4EE2-3A0D-4BCB-91A2-F7BB4133CEAE}" type="pres">
      <dgm:prSet presAssocID="{780F43A9-05AC-4905-B75E-843C4F6FD7F8}" presName="Name37" presStyleLbl="parChTrans1D3" presStyleIdx="1" presStyleCnt="4"/>
      <dgm:spPr/>
    </dgm:pt>
    <dgm:pt modelId="{F1B83954-6B4E-4161-814F-9CDA9538205C}" type="pres">
      <dgm:prSet presAssocID="{9308528B-1344-404D-8443-E038BE4B3BEA}" presName="hierRoot2" presStyleCnt="0">
        <dgm:presLayoutVars>
          <dgm:hierBranch val="init"/>
        </dgm:presLayoutVars>
      </dgm:prSet>
      <dgm:spPr/>
    </dgm:pt>
    <dgm:pt modelId="{9A6F2F44-BA1C-44AE-AFB8-D7C7D4A50F43}" type="pres">
      <dgm:prSet presAssocID="{9308528B-1344-404D-8443-E038BE4B3BEA}" presName="rootComposite" presStyleCnt="0"/>
      <dgm:spPr/>
    </dgm:pt>
    <dgm:pt modelId="{C6C59A1B-68D4-4BC8-903F-8FB32AEA6319}" type="pres">
      <dgm:prSet presAssocID="{9308528B-1344-404D-8443-E038BE4B3BEA}" presName="rootText" presStyleLbl="node3" presStyleIdx="1" presStyleCnt="4">
        <dgm:presLayoutVars>
          <dgm:chPref val="3"/>
        </dgm:presLayoutVars>
      </dgm:prSet>
      <dgm:spPr/>
    </dgm:pt>
    <dgm:pt modelId="{0B371626-46A7-4E4A-AC58-2EB10B3092B2}" type="pres">
      <dgm:prSet presAssocID="{9308528B-1344-404D-8443-E038BE4B3BEA}" presName="rootConnector" presStyleLbl="node3" presStyleIdx="1" presStyleCnt="4"/>
      <dgm:spPr/>
    </dgm:pt>
    <dgm:pt modelId="{62014686-27F5-4EEB-9C70-67C2A45E5001}" type="pres">
      <dgm:prSet presAssocID="{9308528B-1344-404D-8443-E038BE4B3BEA}" presName="hierChild4" presStyleCnt="0"/>
      <dgm:spPr/>
    </dgm:pt>
    <dgm:pt modelId="{0C00C79A-2801-434A-9344-2EB0A827434E}" type="pres">
      <dgm:prSet presAssocID="{9308528B-1344-404D-8443-E038BE4B3BEA}" presName="hierChild5" presStyleCnt="0"/>
      <dgm:spPr/>
    </dgm:pt>
    <dgm:pt modelId="{7D787D84-99F1-4C91-962A-016214D5507F}" type="pres">
      <dgm:prSet presAssocID="{6518104E-696D-4E7C-974D-DEB6E55D8C49}" presName="Name37" presStyleLbl="parChTrans1D3" presStyleIdx="2" presStyleCnt="4"/>
      <dgm:spPr/>
    </dgm:pt>
    <dgm:pt modelId="{F40CFB3B-FA99-43E1-B760-8CB454FC7A81}" type="pres">
      <dgm:prSet presAssocID="{90A738D5-1132-4D77-A956-229E7431996F}" presName="hierRoot2" presStyleCnt="0">
        <dgm:presLayoutVars>
          <dgm:hierBranch val="init"/>
        </dgm:presLayoutVars>
      </dgm:prSet>
      <dgm:spPr/>
    </dgm:pt>
    <dgm:pt modelId="{2F81338C-2F0B-4AF3-B5D2-4E524E66F1E3}" type="pres">
      <dgm:prSet presAssocID="{90A738D5-1132-4D77-A956-229E7431996F}" presName="rootComposite" presStyleCnt="0"/>
      <dgm:spPr/>
    </dgm:pt>
    <dgm:pt modelId="{89BDA09D-AA8B-45CF-838B-E213FE0F307C}" type="pres">
      <dgm:prSet presAssocID="{90A738D5-1132-4D77-A956-229E7431996F}" presName="rootText" presStyleLbl="node3" presStyleIdx="2" presStyleCnt="4">
        <dgm:presLayoutVars>
          <dgm:chPref val="3"/>
        </dgm:presLayoutVars>
      </dgm:prSet>
      <dgm:spPr/>
    </dgm:pt>
    <dgm:pt modelId="{F1A7407D-DB13-4C94-8059-3D3F09FF813D}" type="pres">
      <dgm:prSet presAssocID="{90A738D5-1132-4D77-A956-229E7431996F}" presName="rootConnector" presStyleLbl="node3" presStyleIdx="2" presStyleCnt="4"/>
      <dgm:spPr/>
    </dgm:pt>
    <dgm:pt modelId="{0EA163FD-0F84-4F4F-BE32-27788A6586D3}" type="pres">
      <dgm:prSet presAssocID="{90A738D5-1132-4D77-A956-229E7431996F}" presName="hierChild4" presStyleCnt="0"/>
      <dgm:spPr/>
    </dgm:pt>
    <dgm:pt modelId="{DE51E6E6-4ED4-4653-866E-FCA9D1A21A8E}" type="pres">
      <dgm:prSet presAssocID="{90A738D5-1132-4D77-A956-229E7431996F}" presName="hierChild5" presStyleCnt="0"/>
      <dgm:spPr/>
    </dgm:pt>
    <dgm:pt modelId="{C4825010-37BD-45D9-9157-81CA92FAEA29}" type="pres">
      <dgm:prSet presAssocID="{65637DC8-9A52-4C04-922F-D8D79B01C027}" presName="hierChild5" presStyleCnt="0"/>
      <dgm:spPr/>
    </dgm:pt>
    <dgm:pt modelId="{DAF92357-A757-4E78-8568-A0A69FFEF24F}" type="pres">
      <dgm:prSet presAssocID="{71253B26-356A-4089-95C4-46DE9E440F3B}" presName="Name37" presStyleLbl="parChTrans1D2" presStyleIdx="2" presStyleCnt="4"/>
      <dgm:spPr/>
    </dgm:pt>
    <dgm:pt modelId="{EE7851AD-309D-4945-9720-99C6799C0BD0}" type="pres">
      <dgm:prSet presAssocID="{EA3C52EB-9F5D-462C-95D7-22CF746D352C}" presName="hierRoot2" presStyleCnt="0">
        <dgm:presLayoutVars>
          <dgm:hierBranch val="init"/>
        </dgm:presLayoutVars>
      </dgm:prSet>
      <dgm:spPr/>
    </dgm:pt>
    <dgm:pt modelId="{40D2336E-A225-4BEC-8B88-215050B49302}" type="pres">
      <dgm:prSet presAssocID="{EA3C52EB-9F5D-462C-95D7-22CF746D352C}" presName="rootComposite" presStyleCnt="0"/>
      <dgm:spPr/>
    </dgm:pt>
    <dgm:pt modelId="{B6F199C8-206B-4121-BA71-98BA88CBF60B}" type="pres">
      <dgm:prSet presAssocID="{EA3C52EB-9F5D-462C-95D7-22CF746D352C}" presName="rootText" presStyleLbl="node2" presStyleIdx="2" presStyleCnt="4">
        <dgm:presLayoutVars>
          <dgm:chPref val="3"/>
        </dgm:presLayoutVars>
      </dgm:prSet>
      <dgm:spPr/>
    </dgm:pt>
    <dgm:pt modelId="{FD9529C5-F329-4576-9F78-C0B43E35ABD2}" type="pres">
      <dgm:prSet presAssocID="{EA3C52EB-9F5D-462C-95D7-22CF746D352C}" presName="rootConnector" presStyleLbl="node2" presStyleIdx="2" presStyleCnt="4"/>
      <dgm:spPr/>
    </dgm:pt>
    <dgm:pt modelId="{76663D36-A0BB-4BCF-A2F3-741695DC8F9B}" type="pres">
      <dgm:prSet presAssocID="{EA3C52EB-9F5D-462C-95D7-22CF746D352C}" presName="hierChild4" presStyleCnt="0"/>
      <dgm:spPr/>
    </dgm:pt>
    <dgm:pt modelId="{67F35202-DA7C-4AD8-9565-C1584F1C64A2}" type="pres">
      <dgm:prSet presAssocID="{D5DF2967-4241-418F-8C31-600B422FB3AA}" presName="Name37" presStyleLbl="parChTrans1D3" presStyleIdx="3" presStyleCnt="4"/>
      <dgm:spPr/>
    </dgm:pt>
    <dgm:pt modelId="{7847D07D-E159-4556-A7B1-44C02D243BBD}" type="pres">
      <dgm:prSet presAssocID="{3C7AC878-3E86-4A31-8E2C-8AFE6AB645A7}" presName="hierRoot2" presStyleCnt="0">
        <dgm:presLayoutVars>
          <dgm:hierBranch val="init"/>
        </dgm:presLayoutVars>
      </dgm:prSet>
      <dgm:spPr/>
    </dgm:pt>
    <dgm:pt modelId="{57022BD6-FF77-4E16-B748-F77C513AE7E1}" type="pres">
      <dgm:prSet presAssocID="{3C7AC878-3E86-4A31-8E2C-8AFE6AB645A7}" presName="rootComposite" presStyleCnt="0"/>
      <dgm:spPr/>
    </dgm:pt>
    <dgm:pt modelId="{F45F407C-9A53-442B-B11B-D5E1CC9E602E}" type="pres">
      <dgm:prSet presAssocID="{3C7AC878-3E86-4A31-8E2C-8AFE6AB645A7}" presName="rootText" presStyleLbl="node3" presStyleIdx="3" presStyleCnt="4">
        <dgm:presLayoutVars>
          <dgm:chPref val="3"/>
        </dgm:presLayoutVars>
      </dgm:prSet>
      <dgm:spPr/>
    </dgm:pt>
    <dgm:pt modelId="{726658EE-1307-4511-AC92-F1C5BF24CC67}" type="pres">
      <dgm:prSet presAssocID="{3C7AC878-3E86-4A31-8E2C-8AFE6AB645A7}" presName="rootConnector" presStyleLbl="node3" presStyleIdx="3" presStyleCnt="4"/>
      <dgm:spPr/>
    </dgm:pt>
    <dgm:pt modelId="{BE4D3970-EAA0-4724-BC99-5788504EB8AE}" type="pres">
      <dgm:prSet presAssocID="{3C7AC878-3E86-4A31-8E2C-8AFE6AB645A7}" presName="hierChild4" presStyleCnt="0"/>
      <dgm:spPr/>
    </dgm:pt>
    <dgm:pt modelId="{142FD3AE-F9DD-4B44-91B6-58A458D6088B}" type="pres">
      <dgm:prSet presAssocID="{3C7AC878-3E86-4A31-8E2C-8AFE6AB645A7}" presName="hierChild5" presStyleCnt="0"/>
      <dgm:spPr/>
    </dgm:pt>
    <dgm:pt modelId="{F2A47A6B-32E1-4976-9E49-5E9F7C092DDC}" type="pres">
      <dgm:prSet presAssocID="{EA3C52EB-9F5D-462C-95D7-22CF746D352C}" presName="hierChild5" presStyleCnt="0"/>
      <dgm:spPr/>
    </dgm:pt>
    <dgm:pt modelId="{A86C9842-3A32-4E00-A091-553CBCF82DE8}" type="pres">
      <dgm:prSet presAssocID="{E926FFE7-F489-499B-9AD4-AFB54C73FEB7}" presName="Name37" presStyleLbl="parChTrans1D2" presStyleIdx="3" presStyleCnt="4"/>
      <dgm:spPr/>
    </dgm:pt>
    <dgm:pt modelId="{80DBAC9A-A35A-4B7F-8C85-C189931DF493}" type="pres">
      <dgm:prSet presAssocID="{479CD82A-EB19-47FB-A13A-C65F28D4F5D0}" presName="hierRoot2" presStyleCnt="0">
        <dgm:presLayoutVars>
          <dgm:hierBranch val="init"/>
        </dgm:presLayoutVars>
      </dgm:prSet>
      <dgm:spPr/>
    </dgm:pt>
    <dgm:pt modelId="{10A994DB-FDB9-4E6A-92A4-4B858FA8A991}" type="pres">
      <dgm:prSet presAssocID="{479CD82A-EB19-47FB-A13A-C65F28D4F5D0}" presName="rootComposite" presStyleCnt="0"/>
      <dgm:spPr/>
    </dgm:pt>
    <dgm:pt modelId="{7630BADA-2B25-4610-92D5-87DD76CE2591}" type="pres">
      <dgm:prSet presAssocID="{479CD82A-EB19-47FB-A13A-C65F28D4F5D0}" presName="rootText" presStyleLbl="node2" presStyleIdx="3" presStyleCnt="4">
        <dgm:presLayoutVars>
          <dgm:chPref val="3"/>
        </dgm:presLayoutVars>
      </dgm:prSet>
      <dgm:spPr/>
    </dgm:pt>
    <dgm:pt modelId="{39DB3160-27FD-4B85-9DAD-F686E7183F64}" type="pres">
      <dgm:prSet presAssocID="{479CD82A-EB19-47FB-A13A-C65F28D4F5D0}" presName="rootConnector" presStyleLbl="node2" presStyleIdx="3" presStyleCnt="4"/>
      <dgm:spPr/>
    </dgm:pt>
    <dgm:pt modelId="{09B3E02C-A9A9-4B64-9551-F54797B82312}" type="pres">
      <dgm:prSet presAssocID="{479CD82A-EB19-47FB-A13A-C65F28D4F5D0}" presName="hierChild4" presStyleCnt="0"/>
      <dgm:spPr/>
    </dgm:pt>
    <dgm:pt modelId="{A9CA9BE8-29D0-4904-ACF7-A5D7BCC89C76}" type="pres">
      <dgm:prSet presAssocID="{479CD82A-EB19-47FB-A13A-C65F28D4F5D0}" presName="hierChild5" presStyleCnt="0"/>
      <dgm:spPr/>
    </dgm:pt>
    <dgm:pt modelId="{948C37B7-3498-446D-8486-ECB46AF55B3E}" type="pres">
      <dgm:prSet presAssocID="{E9C7671C-B076-43C3-9AFC-972AF1CD8693}" presName="hierChild3" presStyleCnt="0"/>
      <dgm:spPr/>
    </dgm:pt>
  </dgm:ptLst>
  <dgm:cxnLst>
    <dgm:cxn modelId="{835CB105-C988-4ECC-98B8-EC1458C06F88}" type="presOf" srcId="{3FD010C6-9E6D-4674-88EA-4559F16281D7}" destId="{0CAFAAAC-5AD8-4E4B-A68A-FDC25276E6E3}" srcOrd="0" destOrd="0" presId="urn:microsoft.com/office/officeart/2005/8/layout/orgChart1"/>
    <dgm:cxn modelId="{F4E7C31A-D9FB-4CFC-AABF-493A0C0EF0ED}" srcId="{EA3C52EB-9F5D-462C-95D7-22CF746D352C}" destId="{3C7AC878-3E86-4A31-8E2C-8AFE6AB645A7}" srcOrd="0" destOrd="0" parTransId="{D5DF2967-4241-418F-8C31-600B422FB3AA}" sibTransId="{53F77E6B-370A-459B-A375-C01E788CE11F}"/>
    <dgm:cxn modelId="{6A13D224-1476-4AF5-9D77-619992908FDB}" srcId="{65637DC8-9A52-4C04-922F-D8D79B01C027}" destId="{90A738D5-1132-4D77-A956-229E7431996F}" srcOrd="1" destOrd="0" parTransId="{6518104E-696D-4E7C-974D-DEB6E55D8C49}" sibTransId="{E5DC1D60-5FE1-4EBE-B855-729866E101DB}"/>
    <dgm:cxn modelId="{3BD5A026-8133-4B5F-8946-ED05D2CD72BB}" type="presOf" srcId="{9308528B-1344-404D-8443-E038BE4B3BEA}" destId="{0B371626-46A7-4E4A-AC58-2EB10B3092B2}" srcOrd="1" destOrd="0" presId="urn:microsoft.com/office/officeart/2005/8/layout/orgChart1"/>
    <dgm:cxn modelId="{81EFBD27-381B-4FBD-A004-A3EA040C956F}" type="presOf" srcId="{E926FFE7-F489-499B-9AD4-AFB54C73FEB7}" destId="{A86C9842-3A32-4E00-A091-553CBCF82DE8}" srcOrd="0" destOrd="0" presId="urn:microsoft.com/office/officeart/2005/8/layout/orgChart1"/>
    <dgm:cxn modelId="{E5566B28-17CC-40B5-8213-D4DC45732E13}" srcId="{E9C7671C-B076-43C3-9AFC-972AF1CD8693}" destId="{5509AADC-34A7-4FAC-93BE-2ED6C6A055D9}" srcOrd="0" destOrd="0" parTransId="{318DC0F2-2D66-4335-94F6-1DCF45E12ED2}" sibTransId="{AC2F8BF1-E3AD-4F2C-A3F5-A7B15CEBE887}"/>
    <dgm:cxn modelId="{3F489728-4CA6-4BC2-86B3-0AB0C7B4B18D}" type="presOf" srcId="{E9C7671C-B076-43C3-9AFC-972AF1CD8693}" destId="{64A9C333-606E-40C7-813B-3F43E4AF3F2B}" srcOrd="0" destOrd="0" presId="urn:microsoft.com/office/officeart/2005/8/layout/orgChart1"/>
    <dgm:cxn modelId="{8117A82F-2DEB-4AC3-AE28-02B5E903E5EB}" type="presOf" srcId="{5509AADC-34A7-4FAC-93BE-2ED6C6A055D9}" destId="{9EAD45C6-5867-4A39-8782-957243FD5F0B}" srcOrd="0" destOrd="0" presId="urn:microsoft.com/office/officeart/2005/8/layout/orgChart1"/>
    <dgm:cxn modelId="{8866B72F-D767-4D7D-9F2B-FD8CB75FA76C}" type="presOf" srcId="{780F43A9-05AC-4905-B75E-843C4F6FD7F8}" destId="{9FAF4EE2-3A0D-4BCB-91A2-F7BB4133CEAE}" srcOrd="0" destOrd="0" presId="urn:microsoft.com/office/officeart/2005/8/layout/orgChart1"/>
    <dgm:cxn modelId="{78164E37-37EC-4427-8F98-B4668E630A5F}" srcId="{E9C7671C-B076-43C3-9AFC-972AF1CD8693}" destId="{479CD82A-EB19-47FB-A13A-C65F28D4F5D0}" srcOrd="3" destOrd="0" parTransId="{E926FFE7-F489-499B-9AD4-AFB54C73FEB7}" sibTransId="{4C7BB6CB-EF2B-4568-8631-BD87594255FC}"/>
    <dgm:cxn modelId="{4C153A3C-CF42-4321-A281-7094F8D629D1}" type="presOf" srcId="{EA3C52EB-9F5D-462C-95D7-22CF746D352C}" destId="{FD9529C5-F329-4576-9F78-C0B43E35ABD2}" srcOrd="1" destOrd="0" presId="urn:microsoft.com/office/officeart/2005/8/layout/orgChart1"/>
    <dgm:cxn modelId="{5895F741-2076-4CC7-B1D9-3F8EB16A5B6C}" type="presOf" srcId="{C4444A21-3E6C-4000-A2C4-C68BCE93A896}" destId="{E73D44FA-728B-4A9E-BEF3-3394552E03FA}" srcOrd="1" destOrd="0" presId="urn:microsoft.com/office/officeart/2005/8/layout/orgChart1"/>
    <dgm:cxn modelId="{ADE2D56B-1850-4E0E-9C2C-5155059D7CFC}" type="presOf" srcId="{71253B26-356A-4089-95C4-46DE9E440F3B}" destId="{DAF92357-A757-4E78-8568-A0A69FFEF24F}" srcOrd="0" destOrd="0" presId="urn:microsoft.com/office/officeart/2005/8/layout/orgChart1"/>
    <dgm:cxn modelId="{526A184C-67DC-4901-BC1A-14BE45F5C03A}" type="presOf" srcId="{E9C7671C-B076-43C3-9AFC-972AF1CD8693}" destId="{3B40F5F0-A980-4015-81AE-1CB237167AF3}" srcOrd="1" destOrd="0" presId="urn:microsoft.com/office/officeart/2005/8/layout/orgChart1"/>
    <dgm:cxn modelId="{35E9184C-7C56-44A6-AF11-88FC645679F2}" type="presOf" srcId="{3C7AC878-3E86-4A31-8E2C-8AFE6AB645A7}" destId="{F45F407C-9A53-442B-B11B-D5E1CC9E602E}" srcOrd="0" destOrd="0" presId="urn:microsoft.com/office/officeart/2005/8/layout/orgChart1"/>
    <dgm:cxn modelId="{853C674E-6EEC-486E-8ABB-FF1FE87EABB7}" type="presOf" srcId="{4BF79462-1821-4A90-900C-A55B341EFAA2}" destId="{443D4FFD-A5F9-4446-8187-CF2AE1D90911}" srcOrd="0" destOrd="0" presId="urn:microsoft.com/office/officeart/2005/8/layout/orgChart1"/>
    <dgm:cxn modelId="{5BD6866F-DF5C-4407-A48B-C7B52A443E0A}" type="presOf" srcId="{65637DC8-9A52-4C04-922F-D8D79B01C027}" destId="{C06BDBFA-4C16-4D2B-895F-FA43F62A2034}" srcOrd="1" destOrd="0" presId="urn:microsoft.com/office/officeart/2005/8/layout/orgChart1"/>
    <dgm:cxn modelId="{66F69750-3DD8-4B59-B64D-CEAC8C0FBF1C}" srcId="{65637DC8-9A52-4C04-922F-D8D79B01C027}" destId="{9308528B-1344-404D-8443-E038BE4B3BEA}" srcOrd="0" destOrd="0" parTransId="{780F43A9-05AC-4905-B75E-843C4F6FD7F8}" sibTransId="{A9C49568-0222-4211-A4C3-17A9042D4BB5}"/>
    <dgm:cxn modelId="{82F70657-F451-4510-ABFB-0175E7552D2D}" srcId="{E9C7671C-B076-43C3-9AFC-972AF1CD8693}" destId="{EA3C52EB-9F5D-462C-95D7-22CF746D352C}" srcOrd="2" destOrd="0" parTransId="{71253B26-356A-4089-95C4-46DE9E440F3B}" sibTransId="{51825B5C-BD12-44AF-95B7-1163083D8207}"/>
    <dgm:cxn modelId="{76A77657-DA76-4453-A407-E0D466E12C1E}" type="presOf" srcId="{D5DF2967-4241-418F-8C31-600B422FB3AA}" destId="{67F35202-DA7C-4AD8-9565-C1584F1C64A2}" srcOrd="0" destOrd="0" presId="urn:microsoft.com/office/officeart/2005/8/layout/orgChart1"/>
    <dgm:cxn modelId="{13BAD378-3C4E-41D4-9AE6-2C6E9DDDB7FD}" type="presOf" srcId="{318DC0F2-2D66-4335-94F6-1DCF45E12ED2}" destId="{EFE7D9A3-20EE-46AD-8083-3122B058C740}" srcOrd="0" destOrd="0" presId="urn:microsoft.com/office/officeart/2005/8/layout/orgChart1"/>
    <dgm:cxn modelId="{FD7FD759-CDBD-40C6-94E3-CA724A6D5138}" type="presOf" srcId="{65637DC8-9A52-4C04-922F-D8D79B01C027}" destId="{CDC7E985-67E1-40DE-B307-70CCB4A3AEEF}" srcOrd="0" destOrd="0" presId="urn:microsoft.com/office/officeart/2005/8/layout/orgChart1"/>
    <dgm:cxn modelId="{1AB2CB7B-F7E9-4019-813D-BBD08D25917F}" type="presOf" srcId="{90A738D5-1132-4D77-A956-229E7431996F}" destId="{F1A7407D-DB13-4C94-8059-3D3F09FF813D}" srcOrd="1" destOrd="0" presId="urn:microsoft.com/office/officeart/2005/8/layout/orgChart1"/>
    <dgm:cxn modelId="{3E2C1584-9F09-4884-B855-F0C4D1939761}" type="presOf" srcId="{ACFDE670-A9F4-42F7-81B7-E4198A38EA9D}" destId="{45C58A64-EFBA-46E7-8A1A-C383505F8F92}" srcOrd="0" destOrd="0" presId="urn:microsoft.com/office/officeart/2005/8/layout/orgChart1"/>
    <dgm:cxn modelId="{8AB730A0-9DB8-4A91-8154-B0907173AFF1}" type="presOf" srcId="{C4444A21-3E6C-4000-A2C4-C68BCE93A896}" destId="{7B226598-4305-48B3-A846-90E1556F3E5D}" srcOrd="0" destOrd="0" presId="urn:microsoft.com/office/officeart/2005/8/layout/orgChart1"/>
    <dgm:cxn modelId="{556854AD-D208-469E-9AEB-5C58F403BA8C}" type="presOf" srcId="{479CD82A-EB19-47FB-A13A-C65F28D4F5D0}" destId="{7630BADA-2B25-4610-92D5-87DD76CE2591}" srcOrd="0" destOrd="0" presId="urn:microsoft.com/office/officeart/2005/8/layout/orgChart1"/>
    <dgm:cxn modelId="{A0BDF5B7-2E45-44DC-946E-2DC996E4D8A5}" srcId="{3FD010C6-9E6D-4674-88EA-4559F16281D7}" destId="{E9C7671C-B076-43C3-9AFC-972AF1CD8693}" srcOrd="0" destOrd="0" parTransId="{8E9B9656-6BC7-4115-8C07-C9BF097F716F}" sibTransId="{C63A6270-F8A0-4B45-A4C1-80EA03820F71}"/>
    <dgm:cxn modelId="{0C694DB8-1D51-436E-8C19-4995756819E3}" type="presOf" srcId="{6518104E-696D-4E7C-974D-DEB6E55D8C49}" destId="{7D787D84-99F1-4C91-962A-016214D5507F}" srcOrd="0" destOrd="0" presId="urn:microsoft.com/office/officeart/2005/8/layout/orgChart1"/>
    <dgm:cxn modelId="{044EDBBB-6709-4086-A65D-F54A828B41CC}" type="presOf" srcId="{90A738D5-1132-4D77-A956-229E7431996F}" destId="{89BDA09D-AA8B-45CF-838B-E213FE0F307C}" srcOrd="0" destOrd="0" presId="urn:microsoft.com/office/officeart/2005/8/layout/orgChart1"/>
    <dgm:cxn modelId="{7C8236C8-529D-448C-A13B-30393277BDA9}" type="presOf" srcId="{EA3C52EB-9F5D-462C-95D7-22CF746D352C}" destId="{B6F199C8-206B-4121-BA71-98BA88CBF60B}" srcOrd="0" destOrd="0" presId="urn:microsoft.com/office/officeart/2005/8/layout/orgChart1"/>
    <dgm:cxn modelId="{EBB6ADD6-8F47-4DF0-91F3-51064FF372E1}" type="presOf" srcId="{9308528B-1344-404D-8443-E038BE4B3BEA}" destId="{C6C59A1B-68D4-4BC8-903F-8FB32AEA6319}" srcOrd="0" destOrd="0" presId="urn:microsoft.com/office/officeart/2005/8/layout/orgChart1"/>
    <dgm:cxn modelId="{1270C2E5-D73F-4AC2-9C54-7D1539F93E38}" type="presOf" srcId="{5509AADC-34A7-4FAC-93BE-2ED6C6A055D9}" destId="{6EDA1EB4-F7D0-4C24-BC0E-49277DAF64D7}" srcOrd="1" destOrd="0" presId="urn:microsoft.com/office/officeart/2005/8/layout/orgChart1"/>
    <dgm:cxn modelId="{A3C5E6E8-BA37-4C4A-84EA-D0A51555C0CA}" srcId="{E9C7671C-B076-43C3-9AFC-972AF1CD8693}" destId="{65637DC8-9A52-4C04-922F-D8D79B01C027}" srcOrd="1" destOrd="0" parTransId="{ACFDE670-A9F4-42F7-81B7-E4198A38EA9D}" sibTransId="{B9B9FC37-92E5-44BB-835A-687FA2441190}"/>
    <dgm:cxn modelId="{9A60F4EB-E584-49FA-AF71-0279CD343D81}" srcId="{5509AADC-34A7-4FAC-93BE-2ED6C6A055D9}" destId="{C4444A21-3E6C-4000-A2C4-C68BCE93A896}" srcOrd="0" destOrd="0" parTransId="{4BF79462-1821-4A90-900C-A55B341EFAA2}" sibTransId="{62AA1ADD-E736-4C19-8AE0-81355A1ECD97}"/>
    <dgm:cxn modelId="{763B84F8-0024-4055-87CE-218A59619925}" type="presOf" srcId="{479CD82A-EB19-47FB-A13A-C65F28D4F5D0}" destId="{39DB3160-27FD-4B85-9DAD-F686E7183F64}" srcOrd="1" destOrd="0" presId="urn:microsoft.com/office/officeart/2005/8/layout/orgChart1"/>
    <dgm:cxn modelId="{AE0AB1F9-2D13-43AB-9464-CDF666C6894E}" type="presOf" srcId="{3C7AC878-3E86-4A31-8E2C-8AFE6AB645A7}" destId="{726658EE-1307-4511-AC92-F1C5BF24CC67}" srcOrd="1" destOrd="0" presId="urn:microsoft.com/office/officeart/2005/8/layout/orgChart1"/>
    <dgm:cxn modelId="{58F10C9C-402B-4643-9B6D-D564B691301E}" type="presParOf" srcId="{0CAFAAAC-5AD8-4E4B-A68A-FDC25276E6E3}" destId="{A774FBC4-91E0-43DD-9CDC-D1BB10CDAB70}" srcOrd="0" destOrd="0" presId="urn:microsoft.com/office/officeart/2005/8/layout/orgChart1"/>
    <dgm:cxn modelId="{71587416-4CDC-48C8-9B5B-1C3493E8AAEA}" type="presParOf" srcId="{A774FBC4-91E0-43DD-9CDC-D1BB10CDAB70}" destId="{2FD70CDA-EAA4-4F3B-8BF2-22A0A400E562}" srcOrd="0" destOrd="0" presId="urn:microsoft.com/office/officeart/2005/8/layout/orgChart1"/>
    <dgm:cxn modelId="{6B96CB91-82EC-409F-9FB0-9A4BCDE85128}" type="presParOf" srcId="{2FD70CDA-EAA4-4F3B-8BF2-22A0A400E562}" destId="{64A9C333-606E-40C7-813B-3F43E4AF3F2B}" srcOrd="0" destOrd="0" presId="urn:microsoft.com/office/officeart/2005/8/layout/orgChart1"/>
    <dgm:cxn modelId="{0D4233B8-8608-4529-B748-118395DB7B07}" type="presParOf" srcId="{2FD70CDA-EAA4-4F3B-8BF2-22A0A400E562}" destId="{3B40F5F0-A980-4015-81AE-1CB237167AF3}" srcOrd="1" destOrd="0" presId="urn:microsoft.com/office/officeart/2005/8/layout/orgChart1"/>
    <dgm:cxn modelId="{F887FBC9-F1C3-4824-AC1D-978F7583C6DA}" type="presParOf" srcId="{A774FBC4-91E0-43DD-9CDC-D1BB10CDAB70}" destId="{B1DCAD88-986A-47FC-B000-D63060391E6E}" srcOrd="1" destOrd="0" presId="urn:microsoft.com/office/officeart/2005/8/layout/orgChart1"/>
    <dgm:cxn modelId="{D2658284-E9AD-4AD9-A7F5-9992E273A2B0}" type="presParOf" srcId="{B1DCAD88-986A-47FC-B000-D63060391E6E}" destId="{EFE7D9A3-20EE-46AD-8083-3122B058C740}" srcOrd="0" destOrd="0" presId="urn:microsoft.com/office/officeart/2005/8/layout/orgChart1"/>
    <dgm:cxn modelId="{EA9C720D-A651-46FF-A13E-918FE2DBD7AD}" type="presParOf" srcId="{B1DCAD88-986A-47FC-B000-D63060391E6E}" destId="{5C2083E4-FF73-474D-8A32-A202DEAB6473}" srcOrd="1" destOrd="0" presId="urn:microsoft.com/office/officeart/2005/8/layout/orgChart1"/>
    <dgm:cxn modelId="{938DE354-D464-4E14-BFBD-D4F1248DB290}" type="presParOf" srcId="{5C2083E4-FF73-474D-8A32-A202DEAB6473}" destId="{A5D63EA5-28C6-41D4-98B9-EB8B99373DEB}" srcOrd="0" destOrd="0" presId="urn:microsoft.com/office/officeart/2005/8/layout/orgChart1"/>
    <dgm:cxn modelId="{6C29376C-37F9-4D38-A526-FFCA6DDE65CA}" type="presParOf" srcId="{A5D63EA5-28C6-41D4-98B9-EB8B99373DEB}" destId="{9EAD45C6-5867-4A39-8782-957243FD5F0B}" srcOrd="0" destOrd="0" presId="urn:microsoft.com/office/officeart/2005/8/layout/orgChart1"/>
    <dgm:cxn modelId="{D73E48B1-0F50-4E7E-AA23-D9517526784C}" type="presParOf" srcId="{A5D63EA5-28C6-41D4-98B9-EB8B99373DEB}" destId="{6EDA1EB4-F7D0-4C24-BC0E-49277DAF64D7}" srcOrd="1" destOrd="0" presId="urn:microsoft.com/office/officeart/2005/8/layout/orgChart1"/>
    <dgm:cxn modelId="{F9DC6200-C294-48F2-BF3E-7842013B065D}" type="presParOf" srcId="{5C2083E4-FF73-474D-8A32-A202DEAB6473}" destId="{B4F7330E-589F-4448-AD24-32C117C34D19}" srcOrd="1" destOrd="0" presId="urn:microsoft.com/office/officeart/2005/8/layout/orgChart1"/>
    <dgm:cxn modelId="{A48EF174-E5CE-4924-B0AF-8076946FB123}" type="presParOf" srcId="{B4F7330E-589F-4448-AD24-32C117C34D19}" destId="{443D4FFD-A5F9-4446-8187-CF2AE1D90911}" srcOrd="0" destOrd="0" presId="urn:microsoft.com/office/officeart/2005/8/layout/orgChart1"/>
    <dgm:cxn modelId="{CD3714AB-6EBC-460F-9C82-67FFCBE0915D}" type="presParOf" srcId="{B4F7330E-589F-4448-AD24-32C117C34D19}" destId="{CB717EF5-C75E-4B31-9207-6E18635A0B0D}" srcOrd="1" destOrd="0" presId="urn:microsoft.com/office/officeart/2005/8/layout/orgChart1"/>
    <dgm:cxn modelId="{6F85D2BB-5F7A-45FD-8111-2ACCFC0C3738}" type="presParOf" srcId="{CB717EF5-C75E-4B31-9207-6E18635A0B0D}" destId="{39B32646-883A-49B0-A04E-F1E729012F8C}" srcOrd="0" destOrd="0" presId="urn:microsoft.com/office/officeart/2005/8/layout/orgChart1"/>
    <dgm:cxn modelId="{1454FA37-6C6F-4C6F-A359-F8E9C016E2B6}" type="presParOf" srcId="{39B32646-883A-49B0-A04E-F1E729012F8C}" destId="{7B226598-4305-48B3-A846-90E1556F3E5D}" srcOrd="0" destOrd="0" presId="urn:microsoft.com/office/officeart/2005/8/layout/orgChart1"/>
    <dgm:cxn modelId="{7C8751D4-C141-446E-A78A-01A210364E47}" type="presParOf" srcId="{39B32646-883A-49B0-A04E-F1E729012F8C}" destId="{E73D44FA-728B-4A9E-BEF3-3394552E03FA}" srcOrd="1" destOrd="0" presId="urn:microsoft.com/office/officeart/2005/8/layout/orgChart1"/>
    <dgm:cxn modelId="{5732237E-DBD7-44B9-BBF5-43C1D123D060}" type="presParOf" srcId="{CB717EF5-C75E-4B31-9207-6E18635A0B0D}" destId="{BBB3DA20-CFF6-49FA-8D8E-C9E17DC8EFF6}" srcOrd="1" destOrd="0" presId="urn:microsoft.com/office/officeart/2005/8/layout/orgChart1"/>
    <dgm:cxn modelId="{57C54DC4-F301-4959-A9B2-7832B2796A5E}" type="presParOf" srcId="{CB717EF5-C75E-4B31-9207-6E18635A0B0D}" destId="{70B5EAC4-6144-4885-BE81-1BD53282467F}" srcOrd="2" destOrd="0" presId="urn:microsoft.com/office/officeart/2005/8/layout/orgChart1"/>
    <dgm:cxn modelId="{EB57BD56-232F-4BED-979D-D3BAAE8B597D}" type="presParOf" srcId="{5C2083E4-FF73-474D-8A32-A202DEAB6473}" destId="{D93D5D4F-36A3-42CF-B7AF-400F44A0DE63}" srcOrd="2" destOrd="0" presId="urn:microsoft.com/office/officeart/2005/8/layout/orgChart1"/>
    <dgm:cxn modelId="{9EC205DF-D534-4C7A-A6ED-98E75434FC57}" type="presParOf" srcId="{B1DCAD88-986A-47FC-B000-D63060391E6E}" destId="{45C58A64-EFBA-46E7-8A1A-C383505F8F92}" srcOrd="2" destOrd="0" presId="urn:microsoft.com/office/officeart/2005/8/layout/orgChart1"/>
    <dgm:cxn modelId="{88A2CB26-97AC-4060-BAA6-3049C690492A}" type="presParOf" srcId="{B1DCAD88-986A-47FC-B000-D63060391E6E}" destId="{6025292A-8153-4301-912F-8EA83396E026}" srcOrd="3" destOrd="0" presId="urn:microsoft.com/office/officeart/2005/8/layout/orgChart1"/>
    <dgm:cxn modelId="{C87E3918-C958-430A-9AAF-06A109E520FE}" type="presParOf" srcId="{6025292A-8153-4301-912F-8EA83396E026}" destId="{DD6F96B3-8D51-4081-82A6-225283F8C792}" srcOrd="0" destOrd="0" presId="urn:microsoft.com/office/officeart/2005/8/layout/orgChart1"/>
    <dgm:cxn modelId="{39440D44-8B85-40BA-9326-97E17A1045FC}" type="presParOf" srcId="{DD6F96B3-8D51-4081-82A6-225283F8C792}" destId="{CDC7E985-67E1-40DE-B307-70CCB4A3AEEF}" srcOrd="0" destOrd="0" presId="urn:microsoft.com/office/officeart/2005/8/layout/orgChart1"/>
    <dgm:cxn modelId="{FD4A1756-6FC3-4110-A95F-6F3498890C3A}" type="presParOf" srcId="{DD6F96B3-8D51-4081-82A6-225283F8C792}" destId="{C06BDBFA-4C16-4D2B-895F-FA43F62A2034}" srcOrd="1" destOrd="0" presId="urn:microsoft.com/office/officeart/2005/8/layout/orgChart1"/>
    <dgm:cxn modelId="{E586C49B-D54C-4943-90F7-92FBF6086DC2}" type="presParOf" srcId="{6025292A-8153-4301-912F-8EA83396E026}" destId="{A8A168AF-A5C2-4A7F-9BDE-0C3D5622E6EA}" srcOrd="1" destOrd="0" presId="urn:microsoft.com/office/officeart/2005/8/layout/orgChart1"/>
    <dgm:cxn modelId="{843360D5-B984-42A9-8E3C-AE0416EC9993}" type="presParOf" srcId="{A8A168AF-A5C2-4A7F-9BDE-0C3D5622E6EA}" destId="{9FAF4EE2-3A0D-4BCB-91A2-F7BB4133CEAE}" srcOrd="0" destOrd="0" presId="urn:microsoft.com/office/officeart/2005/8/layout/orgChart1"/>
    <dgm:cxn modelId="{CDB09846-0ADA-409B-88E3-D90EAFE3DA8E}" type="presParOf" srcId="{A8A168AF-A5C2-4A7F-9BDE-0C3D5622E6EA}" destId="{F1B83954-6B4E-4161-814F-9CDA9538205C}" srcOrd="1" destOrd="0" presId="urn:microsoft.com/office/officeart/2005/8/layout/orgChart1"/>
    <dgm:cxn modelId="{1C89D282-392B-4C41-A4FB-935D9C50C069}" type="presParOf" srcId="{F1B83954-6B4E-4161-814F-9CDA9538205C}" destId="{9A6F2F44-BA1C-44AE-AFB8-D7C7D4A50F43}" srcOrd="0" destOrd="0" presId="urn:microsoft.com/office/officeart/2005/8/layout/orgChart1"/>
    <dgm:cxn modelId="{C41F3A90-B263-465C-BB46-E9A78521592C}" type="presParOf" srcId="{9A6F2F44-BA1C-44AE-AFB8-D7C7D4A50F43}" destId="{C6C59A1B-68D4-4BC8-903F-8FB32AEA6319}" srcOrd="0" destOrd="0" presId="urn:microsoft.com/office/officeart/2005/8/layout/orgChart1"/>
    <dgm:cxn modelId="{2D6E6D17-C0EF-45D2-B008-7983D15D98FF}" type="presParOf" srcId="{9A6F2F44-BA1C-44AE-AFB8-D7C7D4A50F43}" destId="{0B371626-46A7-4E4A-AC58-2EB10B3092B2}" srcOrd="1" destOrd="0" presId="urn:microsoft.com/office/officeart/2005/8/layout/orgChart1"/>
    <dgm:cxn modelId="{0C1EAA31-CE18-4008-ACAF-B82FF56DA441}" type="presParOf" srcId="{F1B83954-6B4E-4161-814F-9CDA9538205C}" destId="{62014686-27F5-4EEB-9C70-67C2A45E5001}" srcOrd="1" destOrd="0" presId="urn:microsoft.com/office/officeart/2005/8/layout/orgChart1"/>
    <dgm:cxn modelId="{20927F2B-8004-487C-83EE-6CB60270ED72}" type="presParOf" srcId="{F1B83954-6B4E-4161-814F-9CDA9538205C}" destId="{0C00C79A-2801-434A-9344-2EB0A827434E}" srcOrd="2" destOrd="0" presId="urn:microsoft.com/office/officeart/2005/8/layout/orgChart1"/>
    <dgm:cxn modelId="{F74A2CBD-3462-4025-A265-64349B7909CA}" type="presParOf" srcId="{A8A168AF-A5C2-4A7F-9BDE-0C3D5622E6EA}" destId="{7D787D84-99F1-4C91-962A-016214D5507F}" srcOrd="2" destOrd="0" presId="urn:microsoft.com/office/officeart/2005/8/layout/orgChart1"/>
    <dgm:cxn modelId="{83042551-F156-465C-A064-030C772FA147}" type="presParOf" srcId="{A8A168AF-A5C2-4A7F-9BDE-0C3D5622E6EA}" destId="{F40CFB3B-FA99-43E1-B760-8CB454FC7A81}" srcOrd="3" destOrd="0" presId="urn:microsoft.com/office/officeart/2005/8/layout/orgChart1"/>
    <dgm:cxn modelId="{8D04F9F5-3A4E-4FCD-BA96-CCB477B855DC}" type="presParOf" srcId="{F40CFB3B-FA99-43E1-B760-8CB454FC7A81}" destId="{2F81338C-2F0B-4AF3-B5D2-4E524E66F1E3}" srcOrd="0" destOrd="0" presId="urn:microsoft.com/office/officeart/2005/8/layout/orgChart1"/>
    <dgm:cxn modelId="{5098338A-1372-4FDC-B851-AC7CE6FB411C}" type="presParOf" srcId="{2F81338C-2F0B-4AF3-B5D2-4E524E66F1E3}" destId="{89BDA09D-AA8B-45CF-838B-E213FE0F307C}" srcOrd="0" destOrd="0" presId="urn:microsoft.com/office/officeart/2005/8/layout/orgChart1"/>
    <dgm:cxn modelId="{6367CA34-AF2C-4BE0-AC2E-F5222DAC4061}" type="presParOf" srcId="{2F81338C-2F0B-4AF3-B5D2-4E524E66F1E3}" destId="{F1A7407D-DB13-4C94-8059-3D3F09FF813D}" srcOrd="1" destOrd="0" presId="urn:microsoft.com/office/officeart/2005/8/layout/orgChart1"/>
    <dgm:cxn modelId="{777CE6B2-4ECA-4D2F-AF29-2BC476F75D01}" type="presParOf" srcId="{F40CFB3B-FA99-43E1-B760-8CB454FC7A81}" destId="{0EA163FD-0F84-4F4F-BE32-27788A6586D3}" srcOrd="1" destOrd="0" presId="urn:microsoft.com/office/officeart/2005/8/layout/orgChart1"/>
    <dgm:cxn modelId="{F4D4ACF2-6529-4108-85AB-8945A1FD4184}" type="presParOf" srcId="{F40CFB3B-FA99-43E1-B760-8CB454FC7A81}" destId="{DE51E6E6-4ED4-4653-866E-FCA9D1A21A8E}" srcOrd="2" destOrd="0" presId="urn:microsoft.com/office/officeart/2005/8/layout/orgChart1"/>
    <dgm:cxn modelId="{42C9DA77-E065-4AF8-8D07-8CD4E631F3A3}" type="presParOf" srcId="{6025292A-8153-4301-912F-8EA83396E026}" destId="{C4825010-37BD-45D9-9157-81CA92FAEA29}" srcOrd="2" destOrd="0" presId="urn:microsoft.com/office/officeart/2005/8/layout/orgChart1"/>
    <dgm:cxn modelId="{208EB62D-787F-4642-BA05-89214C8D96AB}" type="presParOf" srcId="{B1DCAD88-986A-47FC-B000-D63060391E6E}" destId="{DAF92357-A757-4E78-8568-A0A69FFEF24F}" srcOrd="4" destOrd="0" presId="urn:microsoft.com/office/officeart/2005/8/layout/orgChart1"/>
    <dgm:cxn modelId="{BF7B6901-765A-4FB7-AAAA-3E5BDA1B846C}" type="presParOf" srcId="{B1DCAD88-986A-47FC-B000-D63060391E6E}" destId="{EE7851AD-309D-4945-9720-99C6799C0BD0}" srcOrd="5" destOrd="0" presId="urn:microsoft.com/office/officeart/2005/8/layout/orgChart1"/>
    <dgm:cxn modelId="{E932B0AA-E131-48EB-AA47-1F901BAAC0F9}" type="presParOf" srcId="{EE7851AD-309D-4945-9720-99C6799C0BD0}" destId="{40D2336E-A225-4BEC-8B88-215050B49302}" srcOrd="0" destOrd="0" presId="urn:microsoft.com/office/officeart/2005/8/layout/orgChart1"/>
    <dgm:cxn modelId="{20AF3279-C79E-4CC4-90FD-7B88E3E7D64B}" type="presParOf" srcId="{40D2336E-A225-4BEC-8B88-215050B49302}" destId="{B6F199C8-206B-4121-BA71-98BA88CBF60B}" srcOrd="0" destOrd="0" presId="urn:microsoft.com/office/officeart/2005/8/layout/orgChart1"/>
    <dgm:cxn modelId="{4552139A-6174-4281-A6B1-621FC3EC4E5A}" type="presParOf" srcId="{40D2336E-A225-4BEC-8B88-215050B49302}" destId="{FD9529C5-F329-4576-9F78-C0B43E35ABD2}" srcOrd="1" destOrd="0" presId="urn:microsoft.com/office/officeart/2005/8/layout/orgChart1"/>
    <dgm:cxn modelId="{D9E0C916-46C3-4AAE-8637-F7A708A7157C}" type="presParOf" srcId="{EE7851AD-309D-4945-9720-99C6799C0BD0}" destId="{76663D36-A0BB-4BCF-A2F3-741695DC8F9B}" srcOrd="1" destOrd="0" presId="urn:microsoft.com/office/officeart/2005/8/layout/orgChart1"/>
    <dgm:cxn modelId="{ACE749C8-9A52-4672-96A6-99D0AEA053E8}" type="presParOf" srcId="{76663D36-A0BB-4BCF-A2F3-741695DC8F9B}" destId="{67F35202-DA7C-4AD8-9565-C1584F1C64A2}" srcOrd="0" destOrd="0" presId="urn:microsoft.com/office/officeart/2005/8/layout/orgChart1"/>
    <dgm:cxn modelId="{8F8C7B7B-5CA1-498D-8BB0-53F84F6C125E}" type="presParOf" srcId="{76663D36-A0BB-4BCF-A2F3-741695DC8F9B}" destId="{7847D07D-E159-4556-A7B1-44C02D243BBD}" srcOrd="1" destOrd="0" presId="urn:microsoft.com/office/officeart/2005/8/layout/orgChart1"/>
    <dgm:cxn modelId="{E9228565-2758-460D-A50E-991EAB8CA113}" type="presParOf" srcId="{7847D07D-E159-4556-A7B1-44C02D243BBD}" destId="{57022BD6-FF77-4E16-B748-F77C513AE7E1}" srcOrd="0" destOrd="0" presId="urn:microsoft.com/office/officeart/2005/8/layout/orgChart1"/>
    <dgm:cxn modelId="{4AD7190D-DC96-45EC-99FF-98F6E594C2F7}" type="presParOf" srcId="{57022BD6-FF77-4E16-B748-F77C513AE7E1}" destId="{F45F407C-9A53-442B-B11B-D5E1CC9E602E}" srcOrd="0" destOrd="0" presId="urn:microsoft.com/office/officeart/2005/8/layout/orgChart1"/>
    <dgm:cxn modelId="{8597219D-3D10-4F6C-AD27-7EE1370D0985}" type="presParOf" srcId="{57022BD6-FF77-4E16-B748-F77C513AE7E1}" destId="{726658EE-1307-4511-AC92-F1C5BF24CC67}" srcOrd="1" destOrd="0" presId="urn:microsoft.com/office/officeart/2005/8/layout/orgChart1"/>
    <dgm:cxn modelId="{8977BF6B-D48B-4397-B044-6902E612E049}" type="presParOf" srcId="{7847D07D-E159-4556-A7B1-44C02D243BBD}" destId="{BE4D3970-EAA0-4724-BC99-5788504EB8AE}" srcOrd="1" destOrd="0" presId="urn:microsoft.com/office/officeart/2005/8/layout/orgChart1"/>
    <dgm:cxn modelId="{CA5A1AC5-BECB-42F9-8621-DDF63C479618}" type="presParOf" srcId="{7847D07D-E159-4556-A7B1-44C02D243BBD}" destId="{142FD3AE-F9DD-4B44-91B6-58A458D6088B}" srcOrd="2" destOrd="0" presId="urn:microsoft.com/office/officeart/2005/8/layout/orgChart1"/>
    <dgm:cxn modelId="{0D33352A-9342-4250-AF61-C1BB14539D9F}" type="presParOf" srcId="{EE7851AD-309D-4945-9720-99C6799C0BD0}" destId="{F2A47A6B-32E1-4976-9E49-5E9F7C092DDC}" srcOrd="2" destOrd="0" presId="urn:microsoft.com/office/officeart/2005/8/layout/orgChart1"/>
    <dgm:cxn modelId="{BCF925E9-3EFE-4BD1-A4ED-B304C392F93F}" type="presParOf" srcId="{B1DCAD88-986A-47FC-B000-D63060391E6E}" destId="{A86C9842-3A32-4E00-A091-553CBCF82DE8}" srcOrd="6" destOrd="0" presId="urn:microsoft.com/office/officeart/2005/8/layout/orgChart1"/>
    <dgm:cxn modelId="{CCEBCEF2-199D-4E75-BA40-6E5E5640D524}" type="presParOf" srcId="{B1DCAD88-986A-47FC-B000-D63060391E6E}" destId="{80DBAC9A-A35A-4B7F-8C85-C189931DF493}" srcOrd="7" destOrd="0" presId="urn:microsoft.com/office/officeart/2005/8/layout/orgChart1"/>
    <dgm:cxn modelId="{B5245686-066F-4B17-8F89-151868379212}" type="presParOf" srcId="{80DBAC9A-A35A-4B7F-8C85-C189931DF493}" destId="{10A994DB-FDB9-4E6A-92A4-4B858FA8A991}" srcOrd="0" destOrd="0" presId="urn:microsoft.com/office/officeart/2005/8/layout/orgChart1"/>
    <dgm:cxn modelId="{B1625AD8-05B6-47F7-AF95-182C3B0E5360}" type="presParOf" srcId="{10A994DB-FDB9-4E6A-92A4-4B858FA8A991}" destId="{7630BADA-2B25-4610-92D5-87DD76CE2591}" srcOrd="0" destOrd="0" presId="urn:microsoft.com/office/officeart/2005/8/layout/orgChart1"/>
    <dgm:cxn modelId="{0093DDBA-68EF-4EC1-9352-2B3134F495DA}" type="presParOf" srcId="{10A994DB-FDB9-4E6A-92A4-4B858FA8A991}" destId="{39DB3160-27FD-4B85-9DAD-F686E7183F64}" srcOrd="1" destOrd="0" presId="urn:microsoft.com/office/officeart/2005/8/layout/orgChart1"/>
    <dgm:cxn modelId="{81FF8D71-7D2D-42D1-AA98-B41729DC1975}" type="presParOf" srcId="{80DBAC9A-A35A-4B7F-8C85-C189931DF493}" destId="{09B3E02C-A9A9-4B64-9551-F54797B82312}" srcOrd="1" destOrd="0" presId="urn:microsoft.com/office/officeart/2005/8/layout/orgChart1"/>
    <dgm:cxn modelId="{39A027F7-EFF4-4B9F-B4A6-C8357E335F82}" type="presParOf" srcId="{80DBAC9A-A35A-4B7F-8C85-C189931DF493}" destId="{A9CA9BE8-29D0-4904-ACF7-A5D7BCC89C76}" srcOrd="2" destOrd="0" presId="urn:microsoft.com/office/officeart/2005/8/layout/orgChart1"/>
    <dgm:cxn modelId="{A180B540-4D86-4838-81E0-47E0B4E6FCCC}" type="presParOf" srcId="{A774FBC4-91E0-43DD-9CDC-D1BB10CDAB70}" destId="{948C37B7-3498-446D-8486-ECB46AF55B3E}" srcOrd="2" destOrd="0" presId="urn:microsoft.com/office/officeart/2005/8/layout/orgChart1"/>
  </dgm:cxnLst>
  <dgm:bg/>
  <dgm:whole>
    <a:ln w="19050">
      <a:noFill/>
    </a:ln>
  </dgm:whole>
  <dgm:extLst>
    <a:ext uri="http://schemas.microsoft.com/office/drawing/2008/diagram">
      <dsp:dataModelExt xmlns:dsp="http://schemas.microsoft.com/office/drawing/2008/diagram" relId="rId20"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86C9842-3A32-4E00-A091-553CBCF82DE8}">
      <dsp:nvSpPr>
        <dsp:cNvPr id="0" name=""/>
        <dsp:cNvSpPr/>
      </dsp:nvSpPr>
      <dsp:spPr>
        <a:xfrm>
          <a:off x="2743200" y="820220"/>
          <a:ext cx="2026935" cy="234521"/>
        </a:xfrm>
        <a:custGeom>
          <a:avLst/>
          <a:gdLst/>
          <a:ahLst/>
          <a:cxnLst/>
          <a:rect l="0" t="0" r="0" b="0"/>
          <a:pathLst>
            <a:path>
              <a:moveTo>
                <a:pt x="0" y="0"/>
              </a:moveTo>
              <a:lnTo>
                <a:pt x="0" y="117260"/>
              </a:lnTo>
              <a:lnTo>
                <a:pt x="2026935" y="117260"/>
              </a:lnTo>
              <a:lnTo>
                <a:pt x="2026935" y="234521"/>
              </a:lnTo>
            </a:path>
          </a:pathLst>
        </a:custGeom>
        <a:noFill/>
        <a:ln w="190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7F35202-DA7C-4AD8-9565-C1584F1C64A2}">
      <dsp:nvSpPr>
        <dsp:cNvPr id="0" name=""/>
        <dsp:cNvSpPr/>
      </dsp:nvSpPr>
      <dsp:spPr>
        <a:xfrm>
          <a:off x="2972137" y="1613126"/>
          <a:ext cx="167515" cy="513713"/>
        </a:xfrm>
        <a:custGeom>
          <a:avLst/>
          <a:gdLst/>
          <a:ahLst/>
          <a:cxnLst/>
          <a:rect l="0" t="0" r="0" b="0"/>
          <a:pathLst>
            <a:path>
              <a:moveTo>
                <a:pt x="0" y="0"/>
              </a:moveTo>
              <a:lnTo>
                <a:pt x="0" y="513713"/>
              </a:lnTo>
              <a:lnTo>
                <a:pt x="167515" y="513713"/>
              </a:lnTo>
            </a:path>
          </a:pathLst>
        </a:custGeom>
        <a:noFill/>
        <a:ln w="190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DAF92357-A757-4E78-8568-A0A69FFEF24F}">
      <dsp:nvSpPr>
        <dsp:cNvPr id="0" name=""/>
        <dsp:cNvSpPr/>
      </dsp:nvSpPr>
      <dsp:spPr>
        <a:xfrm>
          <a:off x="2743200" y="820220"/>
          <a:ext cx="675645" cy="234521"/>
        </a:xfrm>
        <a:custGeom>
          <a:avLst/>
          <a:gdLst/>
          <a:ahLst/>
          <a:cxnLst/>
          <a:rect l="0" t="0" r="0" b="0"/>
          <a:pathLst>
            <a:path>
              <a:moveTo>
                <a:pt x="0" y="0"/>
              </a:moveTo>
              <a:lnTo>
                <a:pt x="0" y="117260"/>
              </a:lnTo>
              <a:lnTo>
                <a:pt x="675645" y="117260"/>
              </a:lnTo>
              <a:lnTo>
                <a:pt x="675645" y="234521"/>
              </a:lnTo>
            </a:path>
          </a:pathLst>
        </a:custGeom>
        <a:noFill/>
        <a:ln w="1905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7D787D84-99F1-4C91-962A-016214D5507F}">
      <dsp:nvSpPr>
        <dsp:cNvPr id="0" name=""/>
        <dsp:cNvSpPr/>
      </dsp:nvSpPr>
      <dsp:spPr>
        <a:xfrm>
          <a:off x="1620847" y="1613126"/>
          <a:ext cx="167515" cy="1306619"/>
        </a:xfrm>
        <a:custGeom>
          <a:avLst/>
          <a:gdLst/>
          <a:ahLst/>
          <a:cxnLst/>
          <a:rect l="0" t="0" r="0" b="0"/>
          <a:pathLst>
            <a:path>
              <a:moveTo>
                <a:pt x="0" y="0"/>
              </a:moveTo>
              <a:lnTo>
                <a:pt x="0" y="1306619"/>
              </a:lnTo>
              <a:lnTo>
                <a:pt x="167515" y="1306619"/>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9FAF4EE2-3A0D-4BCB-91A2-F7BB4133CEAE}">
      <dsp:nvSpPr>
        <dsp:cNvPr id="0" name=""/>
        <dsp:cNvSpPr/>
      </dsp:nvSpPr>
      <dsp:spPr>
        <a:xfrm>
          <a:off x="1620847" y="1613126"/>
          <a:ext cx="167515" cy="513713"/>
        </a:xfrm>
        <a:custGeom>
          <a:avLst/>
          <a:gdLst/>
          <a:ahLst/>
          <a:cxnLst/>
          <a:rect l="0" t="0" r="0" b="0"/>
          <a:pathLst>
            <a:path>
              <a:moveTo>
                <a:pt x="0" y="0"/>
              </a:moveTo>
              <a:lnTo>
                <a:pt x="0" y="513713"/>
              </a:lnTo>
              <a:lnTo>
                <a:pt x="167515" y="5137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5C58A64-EFBA-46E7-8A1A-C383505F8F92}">
      <dsp:nvSpPr>
        <dsp:cNvPr id="0" name=""/>
        <dsp:cNvSpPr/>
      </dsp:nvSpPr>
      <dsp:spPr>
        <a:xfrm>
          <a:off x="2067554" y="820220"/>
          <a:ext cx="675645" cy="234521"/>
        </a:xfrm>
        <a:custGeom>
          <a:avLst/>
          <a:gdLst/>
          <a:ahLst/>
          <a:cxnLst/>
          <a:rect l="0" t="0" r="0" b="0"/>
          <a:pathLst>
            <a:path>
              <a:moveTo>
                <a:pt x="675645" y="0"/>
              </a:moveTo>
              <a:lnTo>
                <a:pt x="675645" y="117260"/>
              </a:lnTo>
              <a:lnTo>
                <a:pt x="0" y="117260"/>
              </a:lnTo>
              <a:lnTo>
                <a:pt x="0" y="2345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43D4FFD-A5F9-4446-8187-CF2AE1D90911}">
      <dsp:nvSpPr>
        <dsp:cNvPr id="0" name=""/>
        <dsp:cNvSpPr/>
      </dsp:nvSpPr>
      <dsp:spPr>
        <a:xfrm>
          <a:off x="269556" y="1613126"/>
          <a:ext cx="167515" cy="513713"/>
        </a:xfrm>
        <a:custGeom>
          <a:avLst/>
          <a:gdLst/>
          <a:ahLst/>
          <a:cxnLst/>
          <a:rect l="0" t="0" r="0" b="0"/>
          <a:pathLst>
            <a:path>
              <a:moveTo>
                <a:pt x="0" y="0"/>
              </a:moveTo>
              <a:lnTo>
                <a:pt x="0" y="513713"/>
              </a:lnTo>
              <a:lnTo>
                <a:pt x="167515" y="513713"/>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FE7D9A3-20EE-46AD-8083-3122B058C740}">
      <dsp:nvSpPr>
        <dsp:cNvPr id="0" name=""/>
        <dsp:cNvSpPr/>
      </dsp:nvSpPr>
      <dsp:spPr>
        <a:xfrm>
          <a:off x="716264" y="820220"/>
          <a:ext cx="2026935" cy="234521"/>
        </a:xfrm>
        <a:custGeom>
          <a:avLst/>
          <a:gdLst/>
          <a:ahLst/>
          <a:cxnLst/>
          <a:rect l="0" t="0" r="0" b="0"/>
          <a:pathLst>
            <a:path>
              <a:moveTo>
                <a:pt x="2026935" y="0"/>
              </a:moveTo>
              <a:lnTo>
                <a:pt x="2026935" y="117260"/>
              </a:lnTo>
              <a:lnTo>
                <a:pt x="0" y="117260"/>
              </a:lnTo>
              <a:lnTo>
                <a:pt x="0" y="23452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4A9C333-606E-40C7-813B-3F43E4AF3F2B}">
      <dsp:nvSpPr>
        <dsp:cNvPr id="0" name=""/>
        <dsp:cNvSpPr/>
      </dsp:nvSpPr>
      <dsp:spPr>
        <a:xfrm>
          <a:off x="2003485" y="1461"/>
          <a:ext cx="1479428" cy="818759"/>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b="0" kern="1200">
              <a:latin typeface="Public Sans" pitchFamily="50" charset="0"/>
            </a:rPr>
            <a:t>CIO Management
Digital Accessibility Lead</a:t>
          </a:r>
        </a:p>
      </dsp:txBody>
      <dsp:txXfrm>
        <a:off x="2003485" y="1461"/>
        <a:ext cx="1479428" cy="818759"/>
      </dsp:txXfrm>
    </dsp:sp>
    <dsp:sp modelId="{9EAD45C6-5867-4A39-8782-957243FD5F0B}">
      <dsp:nvSpPr>
        <dsp:cNvPr id="0" name=""/>
        <dsp:cNvSpPr/>
      </dsp:nvSpPr>
      <dsp:spPr>
        <a:xfrm>
          <a:off x="157879" y="1054742"/>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IT department</a:t>
          </a:r>
        </a:p>
      </dsp:txBody>
      <dsp:txXfrm>
        <a:off x="157879" y="1054742"/>
        <a:ext cx="1116769" cy="558384"/>
      </dsp:txXfrm>
    </dsp:sp>
    <dsp:sp modelId="{7B226598-4305-48B3-A846-90E1556F3E5D}">
      <dsp:nvSpPr>
        <dsp:cNvPr id="0" name=""/>
        <dsp:cNvSpPr/>
      </dsp:nvSpPr>
      <dsp:spPr>
        <a:xfrm>
          <a:off x="437071" y="1847648"/>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Regional Service Hub</a:t>
          </a:r>
        </a:p>
      </dsp:txBody>
      <dsp:txXfrm>
        <a:off x="437071" y="1847648"/>
        <a:ext cx="1116769" cy="558384"/>
      </dsp:txXfrm>
    </dsp:sp>
    <dsp:sp modelId="{CDC7E985-67E1-40DE-B307-70CCB4A3AEEF}">
      <dsp:nvSpPr>
        <dsp:cNvPr id="0" name=""/>
        <dsp:cNvSpPr/>
      </dsp:nvSpPr>
      <dsp:spPr>
        <a:xfrm>
          <a:off x="1509170" y="1054742"/>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Impact and Communications Department</a:t>
          </a:r>
        </a:p>
      </dsp:txBody>
      <dsp:txXfrm>
        <a:off x="1509170" y="1054742"/>
        <a:ext cx="1116769" cy="558384"/>
      </dsp:txXfrm>
    </dsp:sp>
    <dsp:sp modelId="{C6C59A1B-68D4-4BC8-903F-8FB32AEA6319}">
      <dsp:nvSpPr>
        <dsp:cNvPr id="0" name=""/>
        <dsp:cNvSpPr/>
      </dsp:nvSpPr>
      <dsp:spPr>
        <a:xfrm>
          <a:off x="1788362" y="1847648"/>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CSR Hub</a:t>
          </a:r>
        </a:p>
      </dsp:txBody>
      <dsp:txXfrm>
        <a:off x="1788362" y="1847648"/>
        <a:ext cx="1116769" cy="558384"/>
      </dsp:txXfrm>
    </dsp:sp>
    <dsp:sp modelId="{89BDA09D-AA8B-45CF-838B-E213FE0F307C}">
      <dsp:nvSpPr>
        <dsp:cNvPr id="0" name=""/>
        <dsp:cNvSpPr/>
      </dsp:nvSpPr>
      <dsp:spPr>
        <a:xfrm>
          <a:off x="1788362" y="2640554"/>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Brand and Digital Hub</a:t>
          </a:r>
        </a:p>
      </dsp:txBody>
      <dsp:txXfrm>
        <a:off x="1788362" y="2640554"/>
        <a:ext cx="1116769" cy="558384"/>
      </dsp:txXfrm>
    </dsp:sp>
    <dsp:sp modelId="{B6F199C8-206B-4121-BA71-98BA88CBF60B}">
      <dsp:nvSpPr>
        <dsp:cNvPr id="0" name=""/>
        <dsp:cNvSpPr/>
      </dsp:nvSpPr>
      <dsp:spPr>
        <a:xfrm>
          <a:off x="2860460" y="1054742"/>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DRHTS</a:t>
          </a:r>
          <a:endParaRPr lang="fr-FR" sz="700" kern="1200">
            <a:latin typeface="Public Sans" pitchFamily="50" charset="0"/>
          </a:endParaRPr>
        </a:p>
      </dsp:txBody>
      <dsp:txXfrm>
        <a:off x="2860460" y="1054742"/>
        <a:ext cx="1116769" cy="558384"/>
      </dsp:txXfrm>
    </dsp:sp>
    <dsp:sp modelId="{F45F407C-9A53-442B-B11B-D5E1CC9E602E}">
      <dsp:nvSpPr>
        <dsp:cNvPr id="0" name=""/>
        <dsp:cNvSpPr/>
      </dsp:nvSpPr>
      <dsp:spPr>
        <a:xfrm>
          <a:off x="3139653" y="1847648"/>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Diversity Department</a:t>
          </a:r>
        </a:p>
      </dsp:txBody>
      <dsp:txXfrm>
        <a:off x="3139653" y="1847648"/>
        <a:ext cx="1116769" cy="558384"/>
      </dsp:txXfrm>
    </dsp:sp>
    <dsp:sp modelId="{7630BADA-2B25-4610-92D5-87DD76CE2591}">
      <dsp:nvSpPr>
        <dsp:cNvPr id="0" name=""/>
        <dsp:cNvSpPr/>
      </dsp:nvSpPr>
      <dsp:spPr>
        <a:xfrm>
          <a:off x="4211751" y="1054742"/>
          <a:ext cx="1116769" cy="558384"/>
        </a:xfrm>
        <a:prstGeom prst="rect">
          <a:avLst/>
        </a:prstGeom>
        <a:solidFill>
          <a:schemeClr val="lt1">
            <a:hueOff val="0"/>
            <a:satOff val="0"/>
            <a:lumOff val="0"/>
            <a:alphaOff val="0"/>
          </a:schemeClr>
        </a:solidFill>
        <a:ln w="19050" cap="flat" cmpd="sng" algn="ctr">
          <a:solidFill>
            <a:scrgbClr r="0" g="0" b="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L="0" lvl="0" indent="0" algn="ctr" defTabSz="355600">
            <a:lnSpc>
              <a:spcPct val="90000"/>
            </a:lnSpc>
            <a:spcBef>
              <a:spcPct val="0"/>
            </a:spcBef>
            <a:spcAft>
              <a:spcPct val="35000"/>
            </a:spcAft>
            <a:buNone/>
          </a:pPr>
          <a:r>
            <a:rPr lang="fr-FR" sz="800" kern="1200">
              <a:latin typeface="Public Sans" pitchFamily="50" charset="0"/>
            </a:rPr>
            <a:t>DIR2S-IT</a:t>
          </a:r>
        </a:p>
      </dsp:txBody>
      <dsp:txXfrm>
        <a:off x="4211751" y="1054742"/>
        <a:ext cx="1116769" cy="558384"/>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EE4278529F9F0438B0892585322EE2A" ma:contentTypeVersion="13" ma:contentTypeDescription="Create a new document." ma:contentTypeScope="" ma:versionID="fee922b97537d144c8432dfe743ec9ac">
  <xsd:schema xmlns:xsd="http://www.w3.org/2001/XMLSchema" xmlns:xs="http://www.w3.org/2001/XMLSchema" xmlns:p="http://schemas.microsoft.com/office/2006/metadata/properties" xmlns:ns3="ac97cb03-3329-4a60-9ed2-1b31193e7f56" xmlns:ns4="e1fb3044-baf2-4d3b-b73b-0a9d0f3df07f" targetNamespace="http://schemas.microsoft.com/office/2006/metadata/properties" ma:root="true" ma:fieldsID="03dc610b39a25079cd91566522d04a64" ns3:_="" ns4:_="">
    <xsd:import namespace="ac97cb03-3329-4a60-9ed2-1b31193e7f56"/>
    <xsd:import namespace="e1fb3044-baf2-4d3b-b73b-0a9d0f3df07f"/>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97cb03-3329-4a60-9ed2-1b31193e7f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1fb3044-baf2-4d3b-b73b-0a9d0f3df07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FCFD1A-BDFC-4235-A1D2-72C437D47483}">
  <ds:schemaRefs>
    <ds:schemaRef ds:uri="http://schemas.microsoft.com/sharepoint/v3/contenttype/forms"/>
  </ds:schemaRefs>
</ds:datastoreItem>
</file>

<file path=customXml/itemProps2.xml><?xml version="1.0" encoding="utf-8"?>
<ds:datastoreItem xmlns:ds="http://schemas.openxmlformats.org/officeDocument/2006/customXml" ds:itemID="{82778638-6D16-4B9F-9271-B3EC1DDEEB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97cb03-3329-4a60-9ed2-1b31193e7f56"/>
    <ds:schemaRef ds:uri="e1fb3044-baf2-4d3b-b73b-0a9d0f3df0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BF246-E040-4371-945B-37EB03AAB19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0EC257-C43D-452F-B2F4-38171469FA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rapport 2023 VF</Template>
  <TotalTime>1837</TotalTime>
  <Pages>75</Pages>
  <Words>21221</Words>
  <Characters>126480</Characters>
  <Application>Microsoft Office Word</Application>
  <DocSecurity>8</DocSecurity>
  <Lines>2386</Lines>
  <Paragraphs>1062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Digital accessibility: Organising, managing and equipping large organisations for scaling up</dc:title>
  <dc:subject/>
  <dc:creator>Cigref</dc:creator>
  <cp:keywords>Cigref, digital accessibility, European Accessibility Act, EAA, RGAA, WCAG, digital inclusion, accessibility governance, accessibility lead, accessibility by design, design systems, May 2026 report</cp:keywords>
  <dc:description/>
  <cp:lastModifiedBy>Emilie Grange</cp:lastModifiedBy>
  <cp:revision>17</cp:revision>
  <cp:lastPrinted>2026-05-19T09:32:00Z</cp:lastPrinted>
  <dcterms:created xsi:type="dcterms:W3CDTF">2026-07-16T13:30:00Z</dcterms:created>
  <dcterms:modified xsi:type="dcterms:W3CDTF">2026-07-23T15:50:00Z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463cba9-5f6c-478d-9329-7b2295e4e8ed_Enabled">
    <vt:lpwstr>true</vt:lpwstr>
  </property>
  <property fmtid="{D5CDD505-2E9C-101B-9397-08002B2CF9AE}" pid="3" name="MSIP_Label_e463cba9-5f6c-478d-9329-7b2295e4e8ed_SetDate">
    <vt:lpwstr>2021-04-01T08:25:54Z</vt:lpwstr>
  </property>
  <property fmtid="{D5CDD505-2E9C-101B-9397-08002B2CF9AE}" pid="4" name="MSIP_Label_e463cba9-5f6c-478d-9329-7b2295e4e8ed_Method">
    <vt:lpwstr>Standard</vt:lpwstr>
  </property>
  <property fmtid="{D5CDD505-2E9C-101B-9397-08002B2CF9AE}" pid="5" name="MSIP_Label_e463cba9-5f6c-478d-9329-7b2295e4e8ed_Name">
    <vt:lpwstr>All Employees_2</vt:lpwstr>
  </property>
  <property fmtid="{D5CDD505-2E9C-101B-9397-08002B2CF9AE}" pid="6" name="MSIP_Label_e463cba9-5f6c-478d-9329-7b2295e4e8ed_SiteId">
    <vt:lpwstr>33440fc6-b7c7-412c-bb73-0e70b0198d5a</vt:lpwstr>
  </property>
  <property fmtid="{D5CDD505-2E9C-101B-9397-08002B2CF9AE}" pid="7" name="MSIP_Label_e463cba9-5f6c-478d-9329-7b2295e4e8ed_ActionId">
    <vt:lpwstr>66c56890-6087-43dc-91a9-9cd91a7a146c</vt:lpwstr>
  </property>
  <property fmtid="{D5CDD505-2E9C-101B-9397-08002B2CF9AE}" pid="8" name="MSIP_Label_e463cba9-5f6c-478d-9329-7b2295e4e8ed_ContentBits">
    <vt:lpwstr>0</vt:lpwstr>
  </property>
  <property fmtid="{D5CDD505-2E9C-101B-9397-08002B2CF9AE}" pid="9" name="ContentTypeId">
    <vt:lpwstr>0x0101000EE4278529F9F0438B0892585322EE2A</vt:lpwstr>
  </property>
</Properties>
</file>